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7285C" w14:textId="77777777" w:rsidR="00AE68F4" w:rsidRDefault="00000000">
      <w:pPr>
        <w:spacing w:before="186" w:line="196" w:lineRule="auto"/>
        <w:ind w:left="205" w:right="883"/>
        <w:jc w:val="center"/>
        <w:rPr>
          <w:b/>
          <w:sz w:val="49"/>
        </w:rPr>
      </w:pPr>
      <w:r>
        <w:rPr>
          <w:b/>
          <w:sz w:val="49"/>
        </w:rPr>
        <w:t>Protective Capacity of S Antibody Levels Across Different Age Groups Based on Nationwide Community Surveillance Data in South Korea</w:t>
      </w:r>
    </w:p>
    <w:p w14:paraId="37D42A96" w14:textId="77777777" w:rsidR="00AE68F4" w:rsidRDefault="00AE68F4">
      <w:pPr>
        <w:pStyle w:val="BodyText"/>
        <w:ind w:left="0"/>
        <w:rPr>
          <w:b/>
          <w:sz w:val="20"/>
        </w:rPr>
      </w:pPr>
    </w:p>
    <w:p w14:paraId="61729C2D" w14:textId="77777777" w:rsidR="00AE68F4" w:rsidRDefault="00AE68F4">
      <w:pPr>
        <w:pStyle w:val="BodyText"/>
        <w:spacing w:before="3"/>
        <w:ind w:left="0"/>
        <w:rPr>
          <w:b/>
          <w:sz w:val="18"/>
        </w:rPr>
      </w:pPr>
    </w:p>
    <w:p w14:paraId="04DE4278" w14:textId="77777777" w:rsidR="00AE68F4" w:rsidRDefault="00AE68F4">
      <w:pPr>
        <w:rPr>
          <w:sz w:val="18"/>
        </w:rPr>
        <w:sectPr w:rsidR="00AE68F4">
          <w:footerReference w:type="default" r:id="rId7"/>
          <w:type w:val="continuous"/>
          <w:pgSz w:w="11910" w:h="16840"/>
          <w:pgMar w:top="1180" w:right="620" w:bottom="1040" w:left="1300" w:header="720" w:footer="840" w:gutter="0"/>
          <w:pgNumType w:start="1"/>
          <w:cols w:space="720"/>
        </w:sectPr>
      </w:pPr>
    </w:p>
    <w:p w14:paraId="5DA89A15" w14:textId="77777777" w:rsidR="00AE68F4" w:rsidRDefault="00AE68F4">
      <w:pPr>
        <w:pStyle w:val="BodyText"/>
        <w:ind w:left="0"/>
        <w:rPr>
          <w:b/>
          <w:sz w:val="30"/>
        </w:rPr>
      </w:pPr>
    </w:p>
    <w:p w14:paraId="282C0314" w14:textId="77777777" w:rsidR="00AE68F4" w:rsidRDefault="00AE68F4">
      <w:pPr>
        <w:pStyle w:val="BodyText"/>
        <w:ind w:left="0"/>
        <w:rPr>
          <w:b/>
          <w:sz w:val="30"/>
        </w:rPr>
      </w:pPr>
    </w:p>
    <w:p w14:paraId="3B7EDBE0" w14:textId="77777777" w:rsidR="00AE68F4" w:rsidRDefault="00AE68F4">
      <w:pPr>
        <w:pStyle w:val="BodyText"/>
        <w:ind w:left="0"/>
        <w:rPr>
          <w:b/>
          <w:sz w:val="30"/>
        </w:rPr>
      </w:pPr>
    </w:p>
    <w:p w14:paraId="0CC5F067" w14:textId="77777777" w:rsidR="00AE68F4" w:rsidRDefault="00AE68F4">
      <w:pPr>
        <w:pStyle w:val="BodyText"/>
        <w:ind w:left="0"/>
        <w:rPr>
          <w:b/>
          <w:sz w:val="30"/>
        </w:rPr>
      </w:pPr>
    </w:p>
    <w:p w14:paraId="20A45299" w14:textId="77777777" w:rsidR="00AE68F4" w:rsidRDefault="00AE68F4">
      <w:pPr>
        <w:pStyle w:val="BodyText"/>
        <w:ind w:left="0"/>
        <w:rPr>
          <w:b/>
          <w:sz w:val="30"/>
        </w:rPr>
      </w:pPr>
    </w:p>
    <w:p w14:paraId="5B016D61" w14:textId="77777777" w:rsidR="00AE68F4" w:rsidRDefault="00AE68F4">
      <w:pPr>
        <w:pStyle w:val="BodyText"/>
        <w:spacing w:before="6"/>
        <w:ind w:left="0"/>
        <w:rPr>
          <w:b/>
          <w:sz w:val="27"/>
        </w:rPr>
      </w:pPr>
    </w:p>
    <w:p w14:paraId="60CE0C1C" w14:textId="77777777" w:rsidR="00AE68F4" w:rsidRDefault="00000000">
      <w:pPr>
        <w:spacing w:before="1"/>
        <w:ind w:left="117"/>
        <w:rPr>
          <w:b/>
          <w:sz w:val="24"/>
        </w:rPr>
      </w:pPr>
      <w:r>
        <w:rPr>
          <w:b/>
          <w:sz w:val="24"/>
        </w:rPr>
        <w:t>Abstract</w:t>
      </w:r>
    </w:p>
    <w:p w14:paraId="5BB38143" w14:textId="77777777" w:rsidR="00AE68F4" w:rsidRDefault="00000000">
      <w:pPr>
        <w:spacing w:before="106"/>
        <w:ind w:left="91" w:right="2724"/>
        <w:jc w:val="center"/>
        <w:rPr>
          <w:b/>
          <w:sz w:val="24"/>
        </w:rPr>
      </w:pPr>
      <w:r>
        <w:br w:type="column"/>
      </w:r>
      <w:r>
        <w:rPr>
          <w:b/>
          <w:sz w:val="24"/>
        </w:rPr>
        <w:t>Yifan Zhang</w:t>
      </w:r>
    </w:p>
    <w:p w14:paraId="1072C12F" w14:textId="77777777" w:rsidR="00AE68F4" w:rsidRDefault="00000000">
      <w:pPr>
        <w:pStyle w:val="BodyText"/>
        <w:spacing w:before="13" w:line="252" w:lineRule="auto"/>
        <w:ind w:left="90" w:right="2724"/>
        <w:jc w:val="center"/>
      </w:pPr>
      <w:r>
        <w:t xml:space="preserve">Department of Statistics, University of Connecticut </w:t>
      </w:r>
      <w:hyperlink r:id="rId8">
        <w:r>
          <w:t>zfrank</w:t>
        </w:r>
      </w:hyperlink>
      <w:hyperlink r:id="rId9">
        <w:r>
          <w:t>y6@uconn.edu</w:t>
        </w:r>
      </w:hyperlink>
    </w:p>
    <w:p w14:paraId="1D69D363" w14:textId="77777777" w:rsidR="00AE68F4" w:rsidRDefault="00AE68F4">
      <w:pPr>
        <w:pStyle w:val="BodyText"/>
        <w:spacing w:before="5"/>
        <w:ind w:left="0"/>
      </w:pPr>
    </w:p>
    <w:p w14:paraId="7FDF2FFD" w14:textId="77777777" w:rsidR="00AE68F4" w:rsidRDefault="00000000">
      <w:pPr>
        <w:ind w:left="91" w:right="2724"/>
        <w:jc w:val="center"/>
        <w:rPr>
          <w:b/>
          <w:sz w:val="24"/>
        </w:rPr>
      </w:pPr>
      <w:r>
        <w:rPr>
          <w:b/>
          <w:sz w:val="24"/>
        </w:rPr>
        <w:t>Youngji Jo</w:t>
      </w:r>
    </w:p>
    <w:p w14:paraId="3040F180" w14:textId="77777777" w:rsidR="00AE68F4" w:rsidRDefault="00000000">
      <w:pPr>
        <w:pStyle w:val="BodyText"/>
        <w:spacing w:before="13"/>
        <w:ind w:left="91" w:right="2724"/>
        <w:jc w:val="center"/>
      </w:pPr>
      <w:r>
        <w:t>Department of Public Health Sciences, UConn Health</w:t>
      </w:r>
    </w:p>
    <w:p w14:paraId="467D8741" w14:textId="77777777" w:rsidR="00AE68F4" w:rsidRDefault="00AE68F4">
      <w:pPr>
        <w:jc w:val="center"/>
        <w:sectPr w:rsidR="00AE68F4">
          <w:type w:val="continuous"/>
          <w:pgSz w:w="11910" w:h="16840"/>
          <w:pgMar w:top="1180" w:right="620" w:bottom="1040" w:left="1300" w:header="720" w:footer="720" w:gutter="0"/>
          <w:cols w:num="2" w:space="720" w:equalWidth="0">
            <w:col w:w="1048" w:space="908"/>
            <w:col w:w="8034"/>
          </w:cols>
        </w:sectPr>
      </w:pPr>
    </w:p>
    <w:p w14:paraId="58BA9497" w14:textId="77777777" w:rsidR="00AE68F4" w:rsidRDefault="00000000">
      <w:pPr>
        <w:pStyle w:val="BodyText"/>
        <w:spacing w:before="12" w:line="252" w:lineRule="auto"/>
        <w:ind w:right="795"/>
        <w:jc w:val="both"/>
      </w:pPr>
      <w:r>
        <w:pict w14:anchorId="0871E05B">
          <v:group id="_x0000_s2284" style="position:absolute;left:0;text-align:left;margin-left:70.6pt;margin-top:8.85pt;width:454.05pt;height:.55pt;z-index:-252161024;mso-position-horizontal-relative:page" coordorigin="1412,177" coordsize="9081,11">
            <v:line id="_x0000_s2321" style="position:absolute" from="1412,182" to="1847,182" strokeweight=".18981mm"/>
            <v:line id="_x0000_s2320" style="position:absolute" from="1842,182" to="1919,182" strokeweight=".18981mm"/>
            <v:line id="_x0000_s2319" style="position:absolute" from="1914,182" to="2442,182" strokeweight=".18981mm"/>
            <v:line id="_x0000_s2318" style="position:absolute" from="2437,182" to="2514,182" strokeweight=".18981mm"/>
            <v:line id="_x0000_s2317" style="position:absolute" from="2509,182" to="2906,182" strokeweight=".18981mm"/>
            <v:line id="_x0000_s2316" style="position:absolute" from="2896,182" to="3025,182" strokeweight=".18981mm"/>
            <v:line id="_x0000_s2315" style="position:absolute" from="3015,182" to="3397,182" strokeweight=".18981mm"/>
            <v:line id="_x0000_s2314" style="position:absolute" from="3392,182" to="3469,182" strokeweight=".18981mm"/>
            <v:line id="_x0000_s2313" style="position:absolute" from="3464,182" to="3766,182" strokeweight=".18981mm"/>
            <v:line id="_x0000_s2312" style="position:absolute" from="3761,182" to="3838,182" strokeweight=".18981mm"/>
            <v:line id="_x0000_s2311" style="position:absolute" from="3833,182" to="4162,182" strokeweight=".18981mm"/>
            <v:line id="_x0000_s2310" style="position:absolute" from="4152,182" to="4441,182" strokeweight=".18981mm"/>
            <v:line id="_x0000_s2309" style="position:absolute" from="4431,182" to="4790,182" strokeweight=".18981mm"/>
            <v:line id="_x0000_s2308" style="position:absolute" from="4785,182" to="4861,182" strokeweight=".18981mm"/>
            <v:line id="_x0000_s2307" style="position:absolute" from="4856,182" to="5046,182" strokeweight=".18981mm"/>
            <v:line id="_x0000_s2306" style="position:absolute" from="5036,182" to="5179,182" strokeweight=".18981mm"/>
            <v:line id="_x0000_s2305" style="position:absolute" from="5169,182" to="5614,182" strokeweight=".18981mm"/>
            <v:line id="_x0000_s2304" style="position:absolute" from="5609,182" to="5686,182" strokeweight=".18981mm"/>
            <v:line id="_x0000_s2303" style="position:absolute" from="5681,182" to="5890,182" strokeweight=".18981mm"/>
            <v:line id="_x0000_s2302" style="position:absolute" from="5885,182" to="5962,182" strokeweight=".18981mm"/>
            <v:line id="_x0000_s2301" style="position:absolute" from="5957,182" to="6205,182" strokeweight=".18981mm"/>
            <v:line id="_x0000_s2300" style="position:absolute" from="6195,182" to="6590,182" strokeweight=".18981mm"/>
            <v:line id="_x0000_s2299" style="position:absolute" from="6580,182" to="6669,182" strokeweight=".18981mm"/>
            <v:line id="_x0000_s2298" style="position:absolute" from="6659,182" to="6855,182" strokeweight=".18981mm"/>
            <v:line id="_x0000_s2297" style="position:absolute" from="6845,182" to="7426,182" strokeweight=".18981mm"/>
            <v:line id="_x0000_s2296" style="position:absolute" from="7421,182" to="7498,182" strokeweight=".18981mm"/>
            <v:line id="_x0000_s2295" style="position:absolute" from="7493,182" to="7756,182" strokeweight=".18981mm"/>
            <v:line id="_x0000_s2294" style="position:absolute" from="7746,182" to="8061,182" strokeweight=".18981mm"/>
            <v:line id="_x0000_s2293" style="position:absolute" from="8051,182" to="8433,182" strokeweight=".18981mm"/>
            <v:line id="_x0000_s2292" style="position:absolute" from="8428,182" to="8505,182" strokeweight=".18981mm"/>
            <v:line id="_x0000_s2291" style="position:absolute" from="8500,182" to="8855,182" strokeweight=".18981mm"/>
            <v:line id="_x0000_s2290" style="position:absolute" from="8850,182" to="8927,182" strokeweight=".18981mm"/>
            <v:line id="_x0000_s2289" style="position:absolute" from="8922,182" to="9258,182" strokeweight=".18981mm"/>
            <v:line id="_x0000_s2288" style="position:absolute" from="9248,182" to="9657,182" strokeweight=".18981mm"/>
            <v:line id="_x0000_s2287" style="position:absolute" from="9647,182" to="9736,182" strokeweight=".18981mm"/>
            <v:line id="_x0000_s2286" style="position:absolute" from="9726,182" to="9922,182" strokeweight=".18981mm"/>
            <v:line id="_x0000_s2285" style="position:absolute" from="9912,182" to="10493,182" strokeweight=".18981mm"/>
            <w10:wrap anchorx="page"/>
          </v:group>
        </w:pict>
      </w:r>
      <w:r>
        <w:pict w14:anchorId="13B8A827">
          <v:group id="_x0000_s2244" style="position:absolute;left:0;text-align:left;margin-left:70.6pt;margin-top:23.3pt;width:454.05pt;height:.55pt;z-index:-252160000;mso-position-horizontal-relative:page" coordorigin="1412,466" coordsize="9081,11">
            <v:line id="_x0000_s2283" style="position:absolute" from="1412,471" to="1675,471" strokeweight=".18981mm"/>
            <v:line id="_x0000_s2282" style="position:absolute" from="1665,471" to="1980,471" strokeweight=".18981mm"/>
            <v:line id="_x0000_s2281" style="position:absolute" from="1970,471" to="2352,471" strokeweight=".18981mm"/>
            <v:line id="_x0000_s2280" style="position:absolute" from="2347,471" to="2405,471" strokeweight=".18981mm"/>
            <v:line id="_x0000_s2279" style="position:absolute" from="2400,471" to="3086,471" strokeweight=".18981mm"/>
            <v:line id="_x0000_s2278" style="position:absolute" from="3081,471" to="3138,471" strokeweight=".18981mm"/>
            <v:line id="_x0000_s2277" style="position:absolute" from="3133,471" to="3741,471" strokeweight=".18981mm"/>
            <v:line id="_x0000_s2276" style="position:absolute" from="3731,471" to="3821,471" strokeweight=".18981mm"/>
            <v:line id="_x0000_s2275" style="position:absolute" from="3811,471" to="4272,471" strokeweight=".18981mm"/>
            <v:line id="_x0000_s2274" style="position:absolute" from="4238,471" to="4328,471" strokeweight=".18981mm"/>
            <v:line id="_x0000_s2273" style="position:absolute" from="4318,471" to="4507,471" strokeweight=".18981mm"/>
            <v:line id="_x0000_s2272" style="position:absolute" from="4502,471" to="4560,471" strokeweight=".18981mm"/>
            <v:line id="_x0000_s2271" style="position:absolute" from="4555,471" to="4764,471" strokeweight=".18981mm"/>
            <v:line id="_x0000_s2270" style="position:absolute" from="4754,471" to="5082,471" strokeweight=".18981mm"/>
            <v:line id="_x0000_s2269" style="position:absolute" from="5072,471" to="5388,471" strokeweight=".18981mm"/>
            <v:line id="_x0000_s2268" style="position:absolute" from="5383,471" to="5440,471" strokeweight=".18981mm"/>
            <v:line id="_x0000_s2267" style="position:absolute" from="5435,471" to="5684,471" strokeweight=".18981mm"/>
            <v:line id="_x0000_s2266" style="position:absolute" from="5679,471" to="5737,471" strokeweight=".18981mm"/>
            <v:line id="_x0000_s2265" style="position:absolute" from="5732,471" to="6512,471" strokeweight=".18981mm"/>
            <v:line id="_x0000_s2264" style="position:absolute" from="6507,471" to="6564,471" strokeweight=".18981mm"/>
            <v:line id="_x0000_s2263" style="position:absolute" from="6559,471" to="6755,471" strokeweight=".18981mm"/>
            <v:line id="_x0000_s2262" style="position:absolute" from="6750,471" to="6807,471" strokeweight=".18981mm"/>
            <v:line id="_x0000_s2261" style="position:absolute" from="6802,471" to="7314,471" strokeweight=".18981mm"/>
            <v:line id="_x0000_s2260" style="position:absolute" from="7309,471" to="7367,471" strokeweight=".18981mm"/>
            <v:line id="_x0000_s2259" style="position:absolute" from="7362,471" to="7664,471" strokeweight=".18981mm"/>
            <v:line id="_x0000_s2258" style="position:absolute" from="7659,471" to="7716,471" strokeweight=".18981mm"/>
            <v:line id="_x0000_s2257" style="position:absolute" from="7711,471" to="7947,471" strokeweight=".18981mm"/>
            <v:line id="_x0000_s2256" style="position:absolute" from="7937,471" to="8080,471" strokeweight=".18981mm"/>
            <v:line id="_x0000_s2255" style="position:absolute" from="8070,471" to="8558,471" strokeweight=".18981mm"/>
            <v:line id="_x0000_s2254" style="position:absolute" from="8553,471" to="8610,471" strokeweight=".18981mm"/>
            <v:line id="_x0000_s2253" style="position:absolute" from="8605,471" to="8898,471" strokeweight=".18981mm"/>
            <v:line id="_x0000_s2252" style="position:absolute" from="8888,471" to="9223,471" strokeweight=".18981mm"/>
            <v:line id="_x0000_s2251" style="position:absolute" from="9218,471" to="9275,471" strokeweight=".18981mm"/>
            <v:line id="_x0000_s2250" style="position:absolute" from="9270,471" to="9586,471" strokeweight=".18981mm"/>
            <v:line id="_x0000_s2249" style="position:absolute" from="9576,471" to="9825,471" strokeweight=".18981mm"/>
            <v:line id="_x0000_s2248" style="position:absolute" from="9815,471" to="10131,471" strokeweight=".18981mm"/>
            <v:line id="_x0000_s2247" style="position:absolute" from="10126,471" to="10183,471" strokeweight=".18981mm"/>
            <v:line id="_x0000_s2246" style="position:absolute" from="10178,471" to="10414,471" strokeweight=".18981mm"/>
            <v:line id="_x0000_s2245" style="position:absolute" from="10404,471" to="10493,471" strokeweight=".18981mm"/>
            <w10:wrap anchorx="page"/>
          </v:group>
        </w:pict>
      </w:r>
      <w:r>
        <w:pict w14:anchorId="2E179046">
          <v:group id="_x0000_s2208" style="position:absolute;left:0;text-align:left;margin-left:70.6pt;margin-top:37.75pt;width:454.05pt;height:.55pt;z-index:-252158976;mso-position-horizontal-relative:page" coordorigin="1412,755" coordsize="9081,11">
            <v:line id="_x0000_s2243" style="position:absolute" from="1412,760" to="1794,760" strokeweight=".18981mm"/>
            <v:line id="_x0000_s2242" style="position:absolute" from="1784,760" to="2259,760" strokeweight=".18981mm"/>
            <v:line id="_x0000_s2241" style="position:absolute" from="2254,760" to="2305,760" strokeweight=".18981mm"/>
            <v:line id="_x0000_s2240" style="position:absolute" from="2300,760" to="2722,760" strokeweight=".18981mm"/>
            <v:line id="_x0000_s2239" style="position:absolute" from="2712,760" to="3027,760" strokeweight=".18981mm"/>
            <v:line id="_x0000_s2238" style="position:absolute" from="3017,760" to="3399,760" strokeweight=".18981mm"/>
            <v:line id="_x0000_s2237" style="position:absolute" from="3389,760" to="3479,760" strokeweight=".18981mm"/>
            <v:line id="_x0000_s2236" style="position:absolute" from="3469,760" to="4023,760" strokeweight=".18981mm"/>
            <v:line id="_x0000_s2235" style="position:absolute" from="4018,760" to="4069,760" strokeweight=".18981mm"/>
            <v:line id="_x0000_s2234" style="position:absolute" from="4064,760" to="4721,760" strokeweight=".18981mm"/>
            <v:line id="_x0000_s2233" style="position:absolute" from="4711,760" to="5226,760" strokeweight=".18981mm"/>
            <v:line id="_x0000_s2232" style="position:absolute" from="5221,760" to="5272,760" strokeweight=".18981mm"/>
            <v:line id="_x0000_s2231" style="position:absolute" from="5267,760" to="5675,760" strokeweight=".18981mm"/>
            <v:line id="_x0000_s2230" style="position:absolute" from="5670,760" to="5721,760" strokeweight=".18981mm"/>
            <v:line id="_x0000_s2229" style="position:absolute" from="5716,760" to="6191,760" strokeweight=".18981mm"/>
            <v:line id="_x0000_s2228" style="position:absolute" from="6186,760" to="6237,760" strokeweight=".18981mm"/>
            <v:line id="_x0000_s2227" style="position:absolute" from="6232,760" to="6800,760" strokeweight=".18981mm"/>
            <v:line id="_x0000_s2226" style="position:absolute" from="6795,760" to="6845,760" strokeweight=".18981mm"/>
            <v:line id="_x0000_s2225" style="position:absolute" from="6840,760" to="7134,760" strokeweight=".18981mm"/>
            <v:line id="_x0000_s2224" style="position:absolute" from="7124,760" to="7486,760" strokeweight=".18981mm"/>
            <v:line id="_x0000_s2223" style="position:absolute" from="7481,760" to="7532,760" strokeweight=".18981mm"/>
            <v:line id="_x0000_s2222" style="position:absolute" from="7527,760" to="7816,760" strokeweight=".18981mm"/>
            <v:line id="_x0000_s2221" style="position:absolute" from="7811,760" to="7861,760" strokeweight=".18981mm"/>
            <v:line id="_x0000_s2220" style="position:absolute" from="7856,760" to="8092,760" strokeweight=".18981mm"/>
            <v:line id="_x0000_s2219" style="position:absolute" from="8082,760" to="8198,760" strokeweight=".18981mm"/>
            <v:line id="_x0000_s2218" style="position:absolute" from="8188,760" to="8716,760" strokeweight=".18981mm"/>
            <v:line id="_x0000_s2217" style="position:absolute" from="8711,760" to="8762,760" strokeweight=".18981mm"/>
            <v:line id="_x0000_s2216" style="position:absolute" from="8757,760" to="8873,760" strokeweight=".18981mm"/>
            <v:line id="_x0000_s2215" style="position:absolute" from="8868,760" to="8919,760" strokeweight=".18981mm"/>
            <v:line id="_x0000_s2214" style="position:absolute" from="8914,760" to="9150,760" strokeweight=".18981mm"/>
            <v:line id="_x0000_s2213" style="position:absolute" from="9140,760" to="9535,760" strokeweight=".18981mm"/>
            <v:line id="_x0000_s2212" style="position:absolute" from="9530,760" to="9581,760" strokeweight=".18981mm"/>
            <v:line id="_x0000_s2211" style="position:absolute" from="9576,760" to="9785,760" strokeweight=".18981mm"/>
            <v:line id="_x0000_s2210" style="position:absolute" from="9780,760" to="9831,760" strokeweight=".18981mm"/>
            <v:line id="_x0000_s2209" style="position:absolute" from="9826,760" to="10493,760" strokeweight=".18981mm"/>
            <w10:wrap anchorx="page"/>
          </v:group>
        </w:pict>
      </w:r>
      <w:r>
        <w:pict w14:anchorId="5906986F">
          <v:group id="_x0000_s2166" style="position:absolute;left:0;text-align:left;margin-left:70.6pt;margin-top:52.2pt;width:454.05pt;height:.55pt;z-index:-252157952;mso-position-horizontal-relative:page" coordorigin="1412,1044" coordsize="9081,11">
            <v:line id="_x0000_s2207" style="position:absolute" from="1412,1049" to="1608,1049" strokeweight=".18981mm"/>
            <v:line id="_x0000_s2206" style="position:absolute" from="1598,1049" to="1788,1049" strokeweight=".18981mm"/>
            <v:line id="_x0000_s2205" style="position:absolute" from="1778,1049" to="2094,1049" strokeweight=".18981mm"/>
            <v:line id="_x0000_s2204" style="position:absolute" from="2084,1049" to="2213,1049" strokeweight=".18981mm"/>
            <v:line id="_x0000_s2203" style="position:absolute" from="2204,1049" to="2479,1049" strokeweight=".18981mm"/>
            <v:line id="_x0000_s2202" style="position:absolute" from="2474,1049" to="2535,1049" strokeweight=".18981mm"/>
            <v:line id="_x0000_s2201" style="position:absolute" from="2530,1049" to="3138,1049" strokeweight=".18981mm"/>
            <v:line id="_x0000_s2200" style="position:absolute" from="3133,1049" to="3194,1049" strokeweight=".18981mm"/>
            <v:line id="_x0000_s2199" style="position:absolute" from="3189,1049" to="3558,1049" strokeweight=".18981mm"/>
            <v:line id="_x0000_s2198" style="position:absolute" from="3553,1049" to="3614,1049" strokeweight=".18981mm"/>
            <v:line id="_x0000_s2197" style="position:absolute" from="3609,1049" to="3978,1049" strokeweight=".18981mm"/>
            <v:line id="_x0000_s2196" style="position:absolute" from="3968,1049" to="4217,1049" strokeweight=".18981mm"/>
            <v:line id="_x0000_s2195" style="position:absolute" from="4212,1049" to="4273,1049" strokeweight=".18981mm"/>
            <v:line id="_x0000_s2194" style="position:absolute" from="4268,1049" to="4863,1049" strokeweight=".18981mm"/>
            <v:line id="_x0000_s2193" style="position:absolute" from="4858,1049" to="4919,1049" strokeweight=".18981mm"/>
            <v:line id="_x0000_s2192" style="position:absolute" from="4914,1049" to="5256,1049" strokeweight=".18981mm"/>
            <v:line id="_x0000_s2191" style="position:absolute" from="5246,1049" to="5601,1049" strokeweight=".18981mm"/>
            <v:line id="_x0000_s2190" style="position:absolute" from="5596,1049" to="5657,1049" strokeweight=".18981mm"/>
            <v:line id="_x0000_s2189" style="position:absolute" from="5652,1049" to="6008,1049" strokeweight=".18981mm"/>
            <v:line id="_x0000_s2188" style="position:absolute" from="6003,1049" to="6064,1049" strokeweight=".18981mm"/>
            <v:line id="_x0000_s2187" style="position:absolute" from="6059,1049" to="6427,1049" strokeweight=".18981mm"/>
            <v:line id="_x0000_s2186" style="position:absolute" from="6423,1049" to="6484,1049" strokeweight=".18981mm"/>
            <v:line id="_x0000_s2185" style="position:absolute" from="6479,1049" to="6748,1049" strokeweight=".18981mm"/>
            <v:line id="_x0000_s2184" style="position:absolute" from="6739,1049" to="7141,1049" strokeweight=".18981mm"/>
            <v:line id="_x0000_s2183" style="position:absolute" from="7136,1049" to="7197,1049" strokeweight=".18981mm"/>
            <v:line id="_x0000_s2182" style="position:absolute" from="7192,1049" to="7614,1049" strokeweight=".18981mm"/>
            <v:line id="_x0000_s2181" style="position:absolute" from="7604,1049" to="7680,1049" strokeweight=".18981mm"/>
            <v:line id="_x0000_s2180" style="position:absolute" from="7670,1049" to="7959,1049" strokeweight=".18981mm"/>
            <v:line id="_x0000_s2179" style="position:absolute" from="7954,1049" to="8015,1049" strokeweight=".18981mm"/>
            <v:line id="_x0000_s2178" style="position:absolute" from="8010,1049" to="8204,1049" strokeweight=".18981mm"/>
            <v:line id="_x0000_s2177" style="position:absolute" from="8194,1049" to="8443,1049" strokeweight=".18981mm"/>
            <v:line id="_x0000_s2176" style="position:absolute" from="8433,1049" to="8509,1049" strokeweight=".18981mm"/>
            <v:line id="_x0000_s2175" style="position:absolute" from="8499,1049" to="8901,1049" strokeweight=".18981mm"/>
            <v:line id="_x0000_s2174" style="position:absolute" from="8896,1049" to="8958,1049" strokeweight=".18981mm"/>
            <v:line id="_x0000_s2173" style="position:absolute" from="8953,1049" to="9334,1049" strokeweight=".18981mm"/>
            <v:line id="_x0000_s2172" style="position:absolute" from="9329,1049" to="9391,1049" strokeweight=".18981mm"/>
            <v:line id="_x0000_s2171" style="position:absolute" from="9386,1049" to="9768,1049" strokeweight=".18981mm"/>
            <v:line id="_x0000_s2170" style="position:absolute" from="9758,1049" to="10166,1049" strokeweight=".18981mm"/>
            <v:line id="_x0000_s2169" style="position:absolute" from="10161,1049" to="10223,1049" strokeweight=".18981mm"/>
            <v:line id="_x0000_s2168" style="position:absolute" from="10218,1049" to="10414,1049" strokeweight=".18981mm"/>
            <v:line id="_x0000_s2167" style="position:absolute" from="10404,1049" to="10493,1049" strokeweight=".18981mm"/>
            <w10:wrap anchorx="page"/>
          </v:group>
        </w:pict>
      </w:r>
      <w:r>
        <w:pict w14:anchorId="6D12AD58">
          <v:group id="_x0000_s2131" style="position:absolute;left:0;text-align:left;margin-left:70.6pt;margin-top:66.65pt;width:454.05pt;height:.55pt;z-index:-252156928;mso-position-horizontal-relative:page" coordorigin="1412,1333" coordsize="9081,11">
            <v:line id="_x0000_s2165" style="position:absolute" from="1412,1338" to="1608,1338" strokeweight=".18981mm"/>
            <v:line id="_x0000_s2164" style="position:absolute" from="1598,1338" to="1993,1338" strokeweight=".18981mm"/>
            <v:line id="_x0000_s2163" style="position:absolute" from="1988,1338" to="2083,1338" strokeweight=".18981mm"/>
            <v:line id="_x0000_s2162" style="position:absolute" from="2078,1338" to="2447,1338" strokeweight=".18981mm"/>
            <v:line id="_x0000_s2161" style="position:absolute" from="2442,1338" to="2537,1338" strokeweight=".18981mm"/>
            <v:line id="_x0000_s2160" style="position:absolute" from="2532,1338" to="2780,1338" strokeweight=".18981mm"/>
            <v:line id="_x0000_s2159" style="position:absolute" from="2770,1338" to="3165,1338" strokeweight=".18981mm"/>
            <v:line id="_x0000_s2158" style="position:absolute" from="3155,1338" to="3245,1338" strokeweight=".18981mm"/>
            <v:line id="_x0000_s2157" style="position:absolute" from="3235,1338" to="3431,1338" strokeweight=".18981mm"/>
            <v:line id="_x0000_s2156" style="position:absolute" from="3421,1338" to="4002,1338" strokeweight=".18981mm"/>
            <v:line id="_x0000_s2155" style="position:absolute" from="3997,1338" to="4092,1338" strokeweight=".18981mm"/>
            <v:line id="_x0000_s2154" style="position:absolute" from="4087,1338" to="4349,1338" strokeweight=".18981mm"/>
            <v:line id="_x0000_s2153" style="position:absolute" from="4339,1338" to="4655,1338" strokeweight=".18981mm"/>
            <v:line id="_x0000_s2152" style="position:absolute" from="4645,1338" to="5027,1338" strokeweight=".18981mm"/>
            <v:line id="_x0000_s2151" style="position:absolute" from="5022,1338" to="5117,1338" strokeweight=".18981mm"/>
            <v:line id="_x0000_s2150" style="position:absolute" from="5112,1338" to="5315,1338" strokeweight=".18981mm"/>
            <v:line id="_x0000_s2149" style="position:absolute" from="5305,1338" to="5673,1338" strokeweight=".18981mm"/>
            <v:line id="_x0000_s2148" style="position:absolute" from="5668,1338" to="5764,1338" strokeweight=".18981mm"/>
            <v:line id="_x0000_s2147" style="position:absolute" from="5759,1338" to="5981,1338" strokeweight=".18981mm"/>
            <v:line id="_x0000_s2146" style="position:absolute" from="5971,1338" to="6207,1338" strokeweight=".18981mm"/>
            <v:line id="_x0000_s2145" style="position:absolute" from="6197,1338" to="6552,1338" strokeweight=".18981mm"/>
            <v:line id="_x0000_s2144" style="position:absolute" from="6547,1338" to="6642,1338" strokeweight=".18981mm"/>
            <v:line id="_x0000_s2143" style="position:absolute" from="6637,1338" to="6992,1338" strokeweight=".18981mm"/>
            <v:line id="_x0000_s2142" style="position:absolute" from="6987,1338" to="7082,1338" strokeweight=".18981mm"/>
            <v:line id="_x0000_s2141" style="position:absolute" from="7077,1338" to="7579,1338" strokeweight=".18981mm"/>
            <v:line id="_x0000_s2140" style="position:absolute" from="7574,1338" to="7669,1338" strokeweight=".18981mm"/>
            <v:line id="_x0000_s2139" style="position:absolute" from="7664,1338" to="8391,1338" strokeweight=".18981mm"/>
            <v:line id="_x0000_s2138" style="position:absolute" from="8386,1338" to="8481,1338" strokeweight=".18981mm"/>
            <v:line id="_x0000_s2137" style="position:absolute" from="8476,1338" to="8805,1338" strokeweight=".18981mm"/>
            <v:line id="_x0000_s2136" style="position:absolute" from="8795,1338" to="9083,1338" strokeweight=".18981mm"/>
            <v:line id="_x0000_s2135" style="position:absolute" from="9073,1338" to="9455,1338" strokeweight=".18981mm"/>
            <v:line id="_x0000_s2134" style="position:absolute" from="9450,1338" to="9545,1338" strokeweight=".18981mm"/>
            <v:line id="_x0000_s2133" style="position:absolute" from="9540,1338" to="9962,1338" strokeweight=".18981mm"/>
            <v:line id="_x0000_s2132" style="position:absolute" from="9952,1338" to="10493,1338" strokeweight=".18981mm"/>
            <w10:wrap anchorx="page"/>
          </v:group>
        </w:pict>
      </w:r>
      <w:r>
        <w:pict w14:anchorId="0090ECB4">
          <v:group id="_x0000_s2094" style="position:absolute;left:0;text-align:left;margin-left:70.6pt;margin-top:81.05pt;width:454.05pt;height:.55pt;z-index:-252155904;mso-position-horizontal-relative:page" coordorigin="1412,1621" coordsize="9081,11">
            <v:line id="_x0000_s2130" style="position:absolute" from="1412,1627" to="1608,1627" strokeweight=".18981mm"/>
            <v:line id="_x0000_s2129" style="position:absolute" from="1603,1627" to="1672,1627" strokeweight=".18981mm"/>
            <v:line id="_x0000_s2128" style="position:absolute" from="1667,1627" to="2003,1627" strokeweight=".18981mm"/>
            <v:line id="_x0000_s2127" style="position:absolute" from="1993,1627" to="2402,1627" strokeweight=".18981mm"/>
            <v:line id="_x0000_s2126" style="position:absolute" from="2392,1627" to="2481,1627" strokeweight=".18981mm"/>
            <v:line id="_x0000_s2125" style="position:absolute" from="2471,1627" to="2667,1627" strokeweight=".18981mm"/>
            <v:line id="_x0000_s2124" style="position:absolute" from="2657,1627" to="3238,1627" strokeweight=".18981mm"/>
            <v:line id="_x0000_s2123" style="position:absolute" from="3233,1627" to="3302,1627" strokeweight=".18981mm"/>
            <v:line id="_x0000_s2122" style="position:absolute" from="3297,1627" to="3560,1627" strokeweight=".18981mm"/>
            <v:line id="_x0000_s2121" style="position:absolute" from="3550,1627" to="3866,1627" strokeweight=".18981mm"/>
            <v:line id="_x0000_s2120" style="position:absolute" from="3856,1627" to="4282,1627" strokeweight=".18981mm"/>
            <v:line id="_x0000_s2119" style="position:absolute" from="4277,1627" to="4346,1627" strokeweight=".18981mm"/>
            <v:line id="_x0000_s2118" style="position:absolute" from="4341,1627" to="4776,1627" strokeweight=".18981mm"/>
            <v:line id="_x0000_s2117" style="position:absolute" from="4771,1627" to="4840,1627" strokeweight=".18981mm"/>
            <v:line id="_x0000_s2116" style="position:absolute" from="4835,1627" to="5031,1627" strokeweight=".18981mm"/>
            <v:line id="_x0000_s2115" style="position:absolute" from="5021,1627" to="5642,1627" strokeweight=".18981mm"/>
            <v:line id="_x0000_s2114" style="position:absolute" from="5637,1627" to="5706,1627" strokeweight=".18981mm"/>
            <v:line id="_x0000_s2113" style="position:absolute" from="5701,1627" to="6136,1627" strokeweight=".18981mm"/>
            <v:line id="_x0000_s2112" style="position:absolute" from="6126,1627" to="6667,1627" strokeweight=".18981mm"/>
            <v:line id="_x0000_s2111" style="position:absolute" from="6662,1627" to="6732,1627" strokeweight=".18981mm"/>
            <v:line id="_x0000_s2110" style="position:absolute" from="6727,1627" to="7029,1627" strokeweight=".18981mm"/>
            <v:line id="_x0000_s2109" style="position:absolute" from="7024,1627" to="7093,1627" strokeweight=".18981mm"/>
            <v:line id="_x0000_s2108" style="position:absolute" from="7088,1627" to="7324,1627" strokeweight=".18981mm"/>
            <v:line id="_x0000_s2107" style="position:absolute" from="7314,1627" to="7629,1627" strokeweight=".18981mm"/>
            <v:line id="_x0000_s2106" style="position:absolute" from="7619,1627" to="7974,1627" strokeweight=".18981mm"/>
            <v:line id="_x0000_s2105" style="position:absolute" from="7969,1627" to="8039,1627" strokeweight=".18981mm"/>
            <v:line id="_x0000_s2104" style="position:absolute" from="8034,1627" to="8243,1627" strokeweight=".18981mm"/>
            <v:line id="_x0000_s2103" style="position:absolute" from="8238,1627" to="8307,1627" strokeweight=".18981mm"/>
            <v:line id="_x0000_s2102" style="position:absolute" from="8302,1627" to="8551,1627" strokeweight=".18981mm"/>
            <v:line id="_x0000_s2101" style="position:absolute" from="8541,1627" to="8790,1627" strokeweight=".18981mm"/>
            <v:line id="_x0000_s2100" style="position:absolute" from="8780,1627" to="9096,1627" strokeweight=".18981mm"/>
            <v:line id="_x0000_s2099" style="position:absolute" from="9091,1627" to="9160,1627" strokeweight=".18981mm"/>
            <v:line id="_x0000_s2098" style="position:absolute" from="9155,1627" to="9417,1627" strokeweight=".18981mm"/>
            <v:line id="_x0000_s2097" style="position:absolute" from="9407,1627" to="9723,1627" strokeweight=".18981mm"/>
            <v:line id="_x0000_s2096" style="position:absolute" from="9713,1627" to="10121,1627" strokeweight=".18981mm"/>
            <v:line id="_x0000_s2095" style="position:absolute" from="10111,1627" to="10493,1627" strokeweight=".18981mm"/>
            <w10:wrap anchorx="page"/>
          </v:group>
        </w:pict>
      </w:r>
      <w:r>
        <w:pict w14:anchorId="52D55FE0">
          <v:group id="_x0000_s2055" style="position:absolute;left:0;text-align:left;margin-left:70.6pt;margin-top:95.5pt;width:454.05pt;height:.55pt;z-index:-252154880;mso-position-horizontal-relative:page" coordorigin="1412,1910" coordsize="9081,11">
            <v:line id="_x0000_s2093" style="position:absolute" from="1412,1916" to="1937,1916" strokeweight=".18981mm"/>
            <v:line id="_x0000_s2092" style="position:absolute" from="1927,1916" to="2322,1916" strokeweight=".18981mm"/>
            <v:line id="_x0000_s2091" style="position:absolute" from="2317,1916" to="2379,1916" strokeweight=".18981mm"/>
            <v:line id="_x0000_s2090" style="position:absolute" from="2374,1916" to="2729,1916" strokeweight=".18981mm"/>
            <v:line id="_x0000_s2089" style="position:absolute" from="2725,1916" to="2787,1916" strokeweight=".18981mm"/>
            <v:line id="_x0000_s2088" style="position:absolute" from="2782,1916" to="3097,1916" strokeweight=".18981mm"/>
            <v:line id="_x0000_s2087" style="position:absolute" from="3087,1916" to="3429,1916" strokeweight=".18981mm"/>
            <v:line id="_x0000_s2086" style="position:absolute" from="3419,1916" to="3602,1916" strokeweight=".18981mm"/>
            <v:line id="_x0000_s2085" style="position:absolute" from="3592,1916" to="4000,1916" strokeweight=".18981mm"/>
            <v:line id="_x0000_s2084" style="position:absolute" from="3995,1916" to="4058,1916" strokeweight=".18981mm"/>
            <v:line id="_x0000_s2083" style="position:absolute" from="4053,1916" to="4389,1916" strokeweight=".18981mm"/>
            <v:line id="_x0000_s2082" style="position:absolute" from="4379,1916" to="4561,1916" strokeweight=".18981mm"/>
            <v:line id="_x0000_s2081" style="position:absolute" from="4551,1916" to="4787,1916" strokeweight=".18981mm"/>
            <v:line id="_x0000_s2080" style="position:absolute" from="4777,1916" to="5159,1916" strokeweight=".18981mm"/>
            <v:line id="_x0000_s2079" style="position:absolute" from="5154,1916" to="5217,1916" strokeweight=".18981mm"/>
            <v:line id="_x0000_s2078" style="position:absolute" from="5212,1916" to="5447,1916" strokeweight=".18981mm"/>
            <v:line id="_x0000_s2077" style="position:absolute" from="5437,1916" to="6297,1916" strokeweight=".18981mm"/>
            <v:line id="_x0000_s2076" style="position:absolute" from="6292,1916" to="6355,1916" strokeweight=".18981mm"/>
            <v:line id="_x0000_s2075" style="position:absolute" from="6350,1916" to="6546,1916" strokeweight=".18981mm"/>
            <v:line id="_x0000_s2074" style="position:absolute" from="6541,1916" to="6603,1916" strokeweight=".18981mm"/>
            <v:line id="_x0000_s2073" style="position:absolute" from="6598,1916" to="7086,1916" strokeweight=".18981mm"/>
            <v:line id="_x0000_s2072" style="position:absolute" from="7076,1916" to="7445,1916" strokeweight=".18981mm"/>
            <v:line id="_x0000_s2071" style="position:absolute" from="7440,1916" to="7502,1916" strokeweight=".18981mm"/>
            <v:line id="_x0000_s2070" style="position:absolute" from="7497,1916" to="7932,1916" strokeweight=".18981mm"/>
            <v:line id="_x0000_s2069" style="position:absolute" from="7927,1916" to="7990,1916" strokeweight=".18981mm"/>
            <v:line id="_x0000_s2068" style="position:absolute" from="7985,1916" to="8128,1916" strokeweight=".18981mm"/>
            <v:line id="_x0000_s2067" style="position:absolute" from="8123,1916" to="8185,1916" strokeweight=".18981mm"/>
            <v:line id="_x0000_s2066" style="position:absolute" from="8180,1916" to="8416,1916" strokeweight=".18981mm"/>
            <v:line id="_x0000_s2065" style="position:absolute" from="8406,1916" to="8549,1916" strokeweight=".18981mm"/>
            <v:line id="_x0000_s2064" style="position:absolute" from="8539,1916" to="9027,1916" strokeweight=".18981mm"/>
            <v:line id="_x0000_s2063" style="position:absolute" from="9022,1916" to="9085,1916" strokeweight=".18981mm"/>
            <v:line id="_x0000_s2062" style="position:absolute" from="9080,1916" to="9372,1916" strokeweight=".18981mm"/>
            <v:line id="_x0000_s2061" style="position:absolute" from="9362,1916" to="9638,1916" strokeweight=".18981mm"/>
            <v:line id="_x0000_s2060" style="position:absolute" from="9633,1916" to="9695,1916" strokeweight=".18981mm"/>
            <v:line id="_x0000_s2059" style="position:absolute" from="9690,1916" to="10046,1916" strokeweight=".18981mm"/>
            <v:line id="_x0000_s2058" style="position:absolute" from="10041,1916" to="10103,1916" strokeweight=".18981mm"/>
            <v:line id="_x0000_s2057" style="position:absolute" from="10098,1916" to="10414,1916" strokeweight=".18981mm"/>
            <v:line id="_x0000_s2056" style="position:absolute" from="10404,1916" to="10493,1916" strokeweight=".18981mm"/>
            <w10:wrap anchorx="page"/>
          </v:group>
        </w:pict>
      </w:r>
      <w:r>
        <w:t>This study evaluates the protective efficacy of hybrid-induced immunity and vaccine-induced immunity</w:t>
      </w:r>
      <w:r>
        <w:rPr>
          <w:spacing w:val="-7"/>
        </w:rPr>
        <w:t xml:space="preserve"> </w:t>
      </w:r>
      <w:r>
        <w:t>against</w:t>
      </w:r>
      <w:r>
        <w:rPr>
          <w:spacing w:val="-6"/>
        </w:rPr>
        <w:t xml:space="preserve"> </w:t>
      </w:r>
      <w:r>
        <w:rPr>
          <w:spacing w:val="-3"/>
        </w:rPr>
        <w:t>SARS-CoV-2,</w:t>
      </w:r>
      <w:r>
        <w:rPr>
          <w:spacing w:val="-6"/>
        </w:rPr>
        <w:t xml:space="preserve"> </w:t>
      </w:r>
      <w:r>
        <w:t>focusing</w:t>
      </w:r>
      <w:r>
        <w:rPr>
          <w:spacing w:val="-7"/>
        </w:rPr>
        <w:t xml:space="preserve"> </w:t>
      </w:r>
      <w:r>
        <w:t>on</w:t>
      </w:r>
      <w:r>
        <w:rPr>
          <w:spacing w:val="-6"/>
        </w:rPr>
        <w:t xml:space="preserve"> </w:t>
      </w:r>
      <w:r>
        <w:t>changes</w:t>
      </w:r>
      <w:r>
        <w:rPr>
          <w:spacing w:val="-6"/>
        </w:rPr>
        <w:t xml:space="preserve"> </w:t>
      </w:r>
      <w:r>
        <w:t>in</w:t>
      </w:r>
      <w:r>
        <w:rPr>
          <w:spacing w:val="-7"/>
        </w:rPr>
        <w:t xml:space="preserve"> </w:t>
      </w:r>
      <w:r>
        <w:t>spike</w:t>
      </w:r>
      <w:r>
        <w:rPr>
          <w:spacing w:val="-6"/>
        </w:rPr>
        <w:t xml:space="preserve"> </w:t>
      </w:r>
      <w:r>
        <w:t>(S)</w:t>
      </w:r>
      <w:r>
        <w:rPr>
          <w:spacing w:val="-6"/>
        </w:rPr>
        <w:t xml:space="preserve"> </w:t>
      </w:r>
      <w:r>
        <w:t>antibody</w:t>
      </w:r>
      <w:r>
        <w:rPr>
          <w:spacing w:val="-7"/>
        </w:rPr>
        <w:t xml:space="preserve"> </w:t>
      </w:r>
      <w:r>
        <w:t>levels.</w:t>
      </w:r>
      <w:r>
        <w:rPr>
          <w:spacing w:val="-6"/>
        </w:rPr>
        <w:t xml:space="preserve"> </w:t>
      </w:r>
      <w:r>
        <w:t>Utilizing</w:t>
      </w:r>
      <w:r>
        <w:rPr>
          <w:spacing w:val="-6"/>
        </w:rPr>
        <w:t xml:space="preserve"> </w:t>
      </w:r>
      <w:proofErr w:type="spellStart"/>
      <w:r>
        <w:t>na</w:t>
      </w:r>
      <w:proofErr w:type="spellEnd"/>
      <w:r>
        <w:t xml:space="preserve">- </w:t>
      </w:r>
      <w:proofErr w:type="spellStart"/>
      <w:r>
        <w:t>tionwide</w:t>
      </w:r>
      <w:proofErr w:type="spellEnd"/>
      <w:r>
        <w:rPr>
          <w:spacing w:val="-14"/>
        </w:rPr>
        <w:t xml:space="preserve"> </w:t>
      </w:r>
      <w:r>
        <w:t>community-based</w:t>
      </w:r>
      <w:r>
        <w:rPr>
          <w:spacing w:val="-14"/>
        </w:rPr>
        <w:t xml:space="preserve"> </w:t>
      </w:r>
      <w:r>
        <w:t>surveillance</w:t>
      </w:r>
      <w:r>
        <w:rPr>
          <w:spacing w:val="-14"/>
        </w:rPr>
        <w:t xml:space="preserve"> </w:t>
      </w:r>
      <w:r>
        <w:t>data</w:t>
      </w:r>
      <w:r>
        <w:rPr>
          <w:spacing w:val="-14"/>
        </w:rPr>
        <w:t xml:space="preserve"> </w:t>
      </w:r>
      <w:r>
        <w:t>from</w:t>
      </w:r>
      <w:r>
        <w:rPr>
          <w:spacing w:val="-13"/>
        </w:rPr>
        <w:t xml:space="preserve"> </w:t>
      </w:r>
      <w:r>
        <w:t>South</w:t>
      </w:r>
      <w:r>
        <w:rPr>
          <w:spacing w:val="-14"/>
        </w:rPr>
        <w:t xml:space="preserve"> </w:t>
      </w:r>
      <w:r>
        <w:t>Korea,</w:t>
      </w:r>
      <w:r>
        <w:rPr>
          <w:spacing w:val="-14"/>
        </w:rPr>
        <w:t xml:space="preserve"> </w:t>
      </w:r>
      <w:r>
        <w:t>we</w:t>
      </w:r>
      <w:r>
        <w:rPr>
          <w:spacing w:val="-14"/>
        </w:rPr>
        <w:t xml:space="preserve"> </w:t>
      </w:r>
      <w:r>
        <w:t>analyzed</w:t>
      </w:r>
      <w:r>
        <w:rPr>
          <w:spacing w:val="-13"/>
        </w:rPr>
        <w:t xml:space="preserve"> </w:t>
      </w:r>
      <w:r>
        <w:t>a</w:t>
      </w:r>
      <w:r>
        <w:rPr>
          <w:spacing w:val="-14"/>
        </w:rPr>
        <w:t xml:space="preserve"> </w:t>
      </w:r>
      <w:r>
        <w:t>cohort</w:t>
      </w:r>
      <w:r>
        <w:rPr>
          <w:spacing w:val="-14"/>
        </w:rPr>
        <w:t xml:space="preserve"> </w:t>
      </w:r>
      <w:r>
        <w:t>of</w:t>
      </w:r>
      <w:r>
        <w:rPr>
          <w:spacing w:val="-14"/>
        </w:rPr>
        <w:t xml:space="preserve"> </w:t>
      </w:r>
      <w:r>
        <w:t>10,000 individuals</w:t>
      </w:r>
      <w:r>
        <w:rPr>
          <w:spacing w:val="-4"/>
        </w:rPr>
        <w:t xml:space="preserve"> </w:t>
      </w:r>
      <w:r>
        <w:t>across</w:t>
      </w:r>
      <w:r>
        <w:rPr>
          <w:spacing w:val="-4"/>
        </w:rPr>
        <w:t xml:space="preserve"> </w:t>
      </w:r>
      <w:r>
        <w:t>258</w:t>
      </w:r>
      <w:r>
        <w:rPr>
          <w:spacing w:val="-4"/>
        </w:rPr>
        <w:t xml:space="preserve"> </w:t>
      </w:r>
      <w:r>
        <w:t>public</w:t>
      </w:r>
      <w:r>
        <w:rPr>
          <w:spacing w:val="-4"/>
        </w:rPr>
        <w:t xml:space="preserve"> </w:t>
      </w:r>
      <w:r>
        <w:t>health</w:t>
      </w:r>
      <w:r>
        <w:rPr>
          <w:spacing w:val="-4"/>
        </w:rPr>
        <w:t xml:space="preserve"> </w:t>
      </w:r>
      <w:r>
        <w:t>centers</w:t>
      </w:r>
      <w:r>
        <w:rPr>
          <w:spacing w:val="-4"/>
        </w:rPr>
        <w:t xml:space="preserve"> </w:t>
      </w:r>
      <w:r>
        <w:t>and</w:t>
      </w:r>
      <w:r>
        <w:rPr>
          <w:spacing w:val="-3"/>
        </w:rPr>
        <w:t xml:space="preserve"> </w:t>
      </w:r>
      <w:r>
        <w:t>113</w:t>
      </w:r>
      <w:r>
        <w:rPr>
          <w:spacing w:val="-4"/>
        </w:rPr>
        <w:t xml:space="preserve"> </w:t>
      </w:r>
      <w:r>
        <w:t>private</w:t>
      </w:r>
      <w:r>
        <w:rPr>
          <w:spacing w:val="-4"/>
        </w:rPr>
        <w:t xml:space="preserve"> </w:t>
      </w:r>
      <w:r>
        <w:t>medical</w:t>
      </w:r>
      <w:r>
        <w:rPr>
          <w:spacing w:val="-4"/>
        </w:rPr>
        <w:t xml:space="preserve"> </w:t>
      </w:r>
      <w:r>
        <w:t>facilities.</w:t>
      </w:r>
      <w:r>
        <w:rPr>
          <w:spacing w:val="-4"/>
        </w:rPr>
        <w:t xml:space="preserve"> </w:t>
      </w:r>
      <w:r>
        <w:t>Our</w:t>
      </w:r>
      <w:r>
        <w:rPr>
          <w:spacing w:val="-4"/>
        </w:rPr>
        <w:t xml:space="preserve"> </w:t>
      </w:r>
      <w:r>
        <w:t>findings</w:t>
      </w:r>
      <w:r>
        <w:rPr>
          <w:spacing w:val="-4"/>
        </w:rPr>
        <w:t xml:space="preserve"> in- </w:t>
      </w:r>
      <w:proofErr w:type="spellStart"/>
      <w:r>
        <w:t>dicate</w:t>
      </w:r>
      <w:proofErr w:type="spellEnd"/>
      <w:r>
        <w:t xml:space="preserve"> that hybrid-induced immunity offers superior and more durable protection </w:t>
      </w:r>
      <w:r>
        <w:rPr>
          <w:spacing w:val="-3"/>
        </w:rPr>
        <w:t xml:space="preserve">compared   </w:t>
      </w:r>
      <w:r>
        <w:t xml:space="preserve">to vaccine-induced immunity. This research highlights the necessity of ongoing </w:t>
      </w:r>
      <w:r>
        <w:rPr>
          <w:spacing w:val="-3"/>
        </w:rPr>
        <w:t xml:space="preserve">immunization </w:t>
      </w:r>
      <w:r>
        <w:t>strategies and personalized vaccination approaches to maintain high S antibody levels and</w:t>
      </w:r>
      <w:r>
        <w:rPr>
          <w:spacing w:val="-29"/>
        </w:rPr>
        <w:t xml:space="preserve"> </w:t>
      </w:r>
      <w:r>
        <w:t xml:space="preserve">sus- </w:t>
      </w:r>
      <w:proofErr w:type="spellStart"/>
      <w:r>
        <w:rPr>
          <w:strike/>
        </w:rPr>
        <w:t>tain</w:t>
      </w:r>
      <w:proofErr w:type="spellEnd"/>
      <w:r>
        <w:rPr>
          <w:strike/>
        </w:rPr>
        <w:t xml:space="preserve"> long-term immunity against</w:t>
      </w:r>
      <w:r>
        <w:rPr>
          <w:strike/>
          <w:spacing w:val="-6"/>
        </w:rPr>
        <w:t xml:space="preserve"> </w:t>
      </w:r>
      <w:r>
        <w:rPr>
          <w:strike/>
        </w:rPr>
        <w:t>COVID-19.</w:t>
      </w:r>
      <w:r>
        <w:rPr>
          <w:strike/>
          <w:spacing w:val="-1"/>
        </w:rPr>
        <w:t xml:space="preserve"> </w:t>
      </w:r>
    </w:p>
    <w:p w14:paraId="08E345BE" w14:textId="77777777" w:rsidR="00AE68F4" w:rsidRDefault="00AE68F4">
      <w:pPr>
        <w:pStyle w:val="BodyText"/>
        <w:spacing w:before="1"/>
        <w:ind w:left="0"/>
      </w:pPr>
    </w:p>
    <w:p w14:paraId="11F7382F" w14:textId="77777777" w:rsidR="00AE68F4" w:rsidRDefault="00000000">
      <w:pPr>
        <w:ind w:left="117"/>
        <w:jc w:val="both"/>
        <w:rPr>
          <w:sz w:val="24"/>
        </w:rPr>
      </w:pPr>
      <w:r>
        <w:rPr>
          <w:b/>
          <w:sz w:val="24"/>
        </w:rPr>
        <w:t xml:space="preserve">Keywords: </w:t>
      </w:r>
      <w:r>
        <w:rPr>
          <w:strike/>
          <w:sz w:val="24"/>
        </w:rPr>
        <w:t>keyword1, keyword2, keyword3, keyword4</w:t>
      </w:r>
    </w:p>
    <w:p w14:paraId="5433125A" w14:textId="77777777" w:rsidR="00AE68F4" w:rsidRDefault="00AE68F4">
      <w:pPr>
        <w:pStyle w:val="BodyText"/>
        <w:spacing w:before="6"/>
        <w:ind w:left="0"/>
        <w:rPr>
          <w:sz w:val="23"/>
        </w:rPr>
      </w:pPr>
    </w:p>
    <w:p w14:paraId="4653F823" w14:textId="77777777" w:rsidR="00AE68F4" w:rsidRDefault="00000000">
      <w:pPr>
        <w:pStyle w:val="Heading1"/>
        <w:numPr>
          <w:ilvl w:val="0"/>
          <w:numId w:val="2"/>
        </w:numPr>
        <w:tabs>
          <w:tab w:val="left" w:pos="633"/>
          <w:tab w:val="left" w:pos="634"/>
        </w:tabs>
        <w:spacing w:before="1"/>
      </w:pPr>
      <w:bookmarkStart w:id="0" w:name="Introduction"/>
      <w:bookmarkEnd w:id="0"/>
      <w:r>
        <w:t>Introduction</w:t>
      </w:r>
    </w:p>
    <w:p w14:paraId="7EB7F6E4" w14:textId="77777777" w:rsidR="00497122" w:rsidRDefault="00497122" w:rsidP="00497122">
      <w:pPr>
        <w:pStyle w:val="BodyText"/>
        <w:kinsoku w:val="0"/>
        <w:overflowPunct w:val="0"/>
        <w:spacing w:before="74" w:line="252" w:lineRule="auto"/>
        <w:ind w:firstLine="566"/>
        <w:jc w:val="both"/>
        <w:rPr>
          <w:rFonts w:ascii="WarnockPro-Regular" w:eastAsiaTheme="minorEastAsia" w:hAnsi="WarnockPro-Regular" w:cs="WarnockPro-Regular"/>
          <w:color w:val="000000"/>
          <w:sz w:val="20"/>
          <w:szCs w:val="20"/>
        </w:rPr>
      </w:pPr>
    </w:p>
    <w:p w14:paraId="360E6667" w14:textId="7B9E3082" w:rsidR="00497122" w:rsidRPr="00497122" w:rsidRDefault="00497122" w:rsidP="00497122">
      <w:pPr>
        <w:pStyle w:val="BodyText"/>
        <w:kinsoku w:val="0"/>
        <w:overflowPunct w:val="0"/>
        <w:spacing w:before="74" w:line="252" w:lineRule="auto"/>
        <w:ind w:firstLine="566"/>
        <w:jc w:val="both"/>
        <w:rPr>
          <w:rFonts w:ascii="Arial" w:eastAsiaTheme="minorEastAsia" w:hAnsi="Arial" w:cs="Arial"/>
          <w:color w:val="000000"/>
          <w:sz w:val="22"/>
          <w:szCs w:val="22"/>
          <w:lang w:eastAsia="ko-KR"/>
        </w:rPr>
      </w:pPr>
      <w:r w:rsidRPr="00497122">
        <w:rPr>
          <w:rFonts w:ascii="Arial" w:eastAsiaTheme="minorEastAsia" w:hAnsi="Arial" w:cs="Arial"/>
          <w:color w:val="000000"/>
          <w:sz w:val="22"/>
          <w:szCs w:val="22"/>
        </w:rPr>
        <w:t>Natural SARS-CoV-2 infection and vaccination against</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COVID-19 both contribute to building the population’s</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immunity. Immune responses are multifaceted but single</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components that are easy to measure such as antibodies</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are used in epidemiological studies to answer emerging</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 xml:space="preserve">questions </w:t>
      </w:r>
      <w:r w:rsidRPr="00497122">
        <w:rPr>
          <w:rFonts w:ascii="Arial" w:eastAsiaTheme="minorEastAsia" w:hAnsi="Arial" w:cs="Arial"/>
          <w:color w:val="000000"/>
          <w:sz w:val="22"/>
          <w:szCs w:val="22"/>
          <w:highlight w:val="yellow"/>
        </w:rPr>
        <w:t xml:space="preserve">such as what </w:t>
      </w:r>
      <w:proofErr w:type="gramStart"/>
      <w:r w:rsidRPr="00497122">
        <w:rPr>
          <w:rFonts w:ascii="Arial" w:eastAsiaTheme="minorEastAsia" w:hAnsi="Arial" w:cs="Arial"/>
          <w:color w:val="000000"/>
          <w:sz w:val="22"/>
          <w:szCs w:val="22"/>
          <w:highlight w:val="yellow"/>
        </w:rPr>
        <w:t>is the percentage of the population</w:t>
      </w:r>
      <w:proofErr w:type="gramEnd"/>
      <w:r w:rsidRPr="00497122">
        <w:rPr>
          <w:rFonts w:ascii="Arial" w:eastAsiaTheme="minorEastAsia" w:hAnsi="Arial" w:cs="Arial"/>
          <w:color w:val="000000"/>
          <w:sz w:val="22"/>
          <w:szCs w:val="22"/>
          <w:highlight w:val="yellow"/>
          <w:lang w:eastAsia="ko-KR"/>
        </w:rPr>
        <w:t xml:space="preserve"> </w:t>
      </w:r>
      <w:r w:rsidRPr="00497122">
        <w:rPr>
          <w:rFonts w:ascii="Arial" w:eastAsiaTheme="minorEastAsia" w:hAnsi="Arial" w:cs="Arial"/>
          <w:color w:val="000000"/>
          <w:sz w:val="22"/>
          <w:szCs w:val="22"/>
          <w:highlight w:val="yellow"/>
        </w:rPr>
        <w:t>lacking antibodies, their characteristics, and the longevity</w:t>
      </w:r>
      <w:r w:rsidRPr="00497122">
        <w:rPr>
          <w:rFonts w:ascii="Arial" w:eastAsiaTheme="minorEastAsia" w:hAnsi="Arial" w:cs="Arial"/>
          <w:color w:val="000000"/>
          <w:sz w:val="22"/>
          <w:szCs w:val="22"/>
          <w:highlight w:val="yellow"/>
          <w:lang w:eastAsia="ko-KR"/>
        </w:rPr>
        <w:t xml:space="preserve"> </w:t>
      </w:r>
      <w:r w:rsidRPr="00497122">
        <w:rPr>
          <w:rFonts w:ascii="Arial" w:eastAsiaTheme="minorEastAsia" w:hAnsi="Arial" w:cs="Arial"/>
          <w:color w:val="000000"/>
          <w:sz w:val="22"/>
          <w:szCs w:val="22"/>
          <w:highlight w:val="yellow"/>
        </w:rPr>
        <w:t>of antibody responses induced after infection and/or vaccination.</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sz w:val="22"/>
          <w:szCs w:val="22"/>
          <w:lang w:eastAsia="ko-KR"/>
        </w:rPr>
        <w:t xml:space="preserve">However, estimating the magnitude and durability of this protection in the population has become a challenge because of the surge in the omicron (B.1.1.529) variant, 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immunity.3,4 </w:t>
      </w:r>
      <w:r w:rsidRPr="00497122">
        <w:rPr>
          <w:rFonts w:ascii="Arial" w:eastAsiaTheme="minorEastAsia" w:hAnsi="Arial" w:cs="Arial"/>
          <w:color w:val="000000"/>
          <w:sz w:val="22"/>
          <w:szCs w:val="22"/>
          <w:highlight w:val="cyan"/>
        </w:rPr>
        <w:t>Studies of COVID-19 vaccines have</w:t>
      </w:r>
      <w:r w:rsidRPr="00497122">
        <w:rPr>
          <w:rFonts w:ascii="Arial" w:eastAsiaTheme="minorEastAsia" w:hAnsi="Arial" w:cs="Arial"/>
          <w:color w:val="000000"/>
          <w:sz w:val="22"/>
          <w:szCs w:val="22"/>
          <w:highlight w:val="cyan"/>
          <w:lang w:eastAsia="ko-KR"/>
        </w:rPr>
        <w:t xml:space="preserve"> </w:t>
      </w:r>
      <w:r w:rsidRPr="00497122">
        <w:rPr>
          <w:rFonts w:ascii="Arial" w:eastAsiaTheme="minorEastAsia" w:hAnsi="Arial" w:cs="Arial"/>
          <w:color w:val="000000"/>
          <w:sz w:val="22"/>
          <w:szCs w:val="22"/>
          <w:highlight w:val="cyan"/>
        </w:rPr>
        <w:t>shown waning immunity over time (after 2 doses), as</w:t>
      </w:r>
      <w:r w:rsidRPr="00497122">
        <w:rPr>
          <w:rFonts w:ascii="Arial" w:eastAsiaTheme="minorEastAsia" w:hAnsi="Arial" w:cs="Arial"/>
          <w:color w:val="000000"/>
          <w:sz w:val="22"/>
          <w:szCs w:val="22"/>
          <w:highlight w:val="cyan"/>
          <w:lang w:eastAsia="ko-KR"/>
        </w:rPr>
        <w:t xml:space="preserve"> </w:t>
      </w:r>
      <w:r w:rsidRPr="00497122">
        <w:rPr>
          <w:rFonts w:ascii="Arial" w:eastAsiaTheme="minorEastAsia" w:hAnsi="Arial" w:cs="Arial"/>
          <w:color w:val="000000"/>
          <w:sz w:val="22"/>
          <w:szCs w:val="22"/>
          <w:highlight w:val="cyan"/>
        </w:rPr>
        <w:t>measured by primarily decreasing antibody titers and</w:t>
      </w:r>
      <w:r w:rsidRPr="00497122">
        <w:rPr>
          <w:rFonts w:ascii="Arial" w:eastAsiaTheme="minorEastAsia" w:hAnsi="Arial" w:cs="Arial"/>
          <w:color w:val="000000"/>
          <w:sz w:val="22"/>
          <w:szCs w:val="22"/>
          <w:highlight w:val="cyan"/>
          <w:lang w:eastAsia="ko-KR"/>
        </w:rPr>
        <w:t xml:space="preserve"> </w:t>
      </w:r>
      <w:r w:rsidRPr="00497122">
        <w:rPr>
          <w:rFonts w:ascii="Arial" w:eastAsiaTheme="minorEastAsia" w:hAnsi="Arial" w:cs="Arial"/>
          <w:color w:val="000000"/>
          <w:sz w:val="22"/>
          <w:szCs w:val="22"/>
          <w:highlight w:val="cyan"/>
        </w:rPr>
        <w:t>vaccine effectiveness (breakthrough infections) [</w:t>
      </w:r>
      <w:r w:rsidRPr="00497122">
        <w:rPr>
          <w:rFonts w:ascii="Arial" w:eastAsiaTheme="minorEastAsia" w:hAnsi="Arial" w:cs="Arial"/>
          <w:color w:val="0000FF"/>
          <w:sz w:val="22"/>
          <w:szCs w:val="22"/>
          <w:highlight w:val="cyan"/>
        </w:rPr>
        <w:t>9</w:t>
      </w:r>
      <w:r w:rsidRPr="00497122">
        <w:rPr>
          <w:rFonts w:ascii="Arial" w:eastAsiaTheme="minorEastAsia" w:hAnsi="Arial" w:cs="Arial"/>
          <w:color w:val="000000"/>
          <w:sz w:val="22"/>
          <w:szCs w:val="22"/>
          <w:highlight w:val="cyan"/>
        </w:rPr>
        <w:t xml:space="preserve">, </w:t>
      </w:r>
      <w:r w:rsidRPr="00497122">
        <w:rPr>
          <w:rFonts w:ascii="Arial" w:eastAsiaTheme="minorEastAsia" w:hAnsi="Arial" w:cs="Arial"/>
          <w:color w:val="0000FF"/>
          <w:sz w:val="22"/>
          <w:szCs w:val="22"/>
          <w:highlight w:val="cyan"/>
        </w:rPr>
        <w:t>10</w:t>
      </w:r>
      <w:r w:rsidRPr="00497122">
        <w:rPr>
          <w:rFonts w:ascii="Arial" w:eastAsiaTheme="minorEastAsia" w:hAnsi="Arial" w:cs="Arial"/>
          <w:color w:val="000000"/>
          <w:sz w:val="22"/>
          <w:szCs w:val="22"/>
          <w:highlight w:val="cyan"/>
        </w:rPr>
        <w:t>].</w:t>
      </w:r>
      <w:r w:rsidRPr="00497122">
        <w:rPr>
          <w:rFonts w:ascii="Arial" w:eastAsiaTheme="minorEastAsia" w:hAnsi="Arial" w:cs="Arial"/>
          <w:color w:val="000000"/>
          <w:sz w:val="22"/>
          <w:szCs w:val="22"/>
          <w:highlight w:val="green"/>
        </w:rPr>
        <w:t xml:space="preserve"> Most </w:t>
      </w:r>
      <w:proofErr w:type="spellStart"/>
      <w:r w:rsidRPr="00497122">
        <w:rPr>
          <w:rFonts w:ascii="Arial" w:eastAsiaTheme="minorEastAsia" w:hAnsi="Arial" w:cs="Arial"/>
          <w:color w:val="000000"/>
          <w:sz w:val="22"/>
          <w:szCs w:val="22"/>
          <w:highlight w:val="green"/>
        </w:rPr>
        <w:t>seroepidemiological</w:t>
      </w:r>
      <w:proofErr w:type="spellEnd"/>
      <w:r w:rsidRPr="00497122">
        <w:rPr>
          <w:rFonts w:ascii="Arial" w:eastAsiaTheme="minorEastAsia" w:hAnsi="Arial" w:cs="Arial"/>
          <w:color w:val="000000"/>
          <w:sz w:val="22"/>
          <w:szCs w:val="22"/>
          <w:highlight w:val="green"/>
        </w:rPr>
        <w:t xml:space="preserve"> studies conducted after</w:t>
      </w:r>
      <w:r w:rsidRPr="00497122">
        <w:rPr>
          <w:rFonts w:ascii="Arial" w:eastAsiaTheme="minorEastAsia" w:hAnsi="Arial" w:cs="Arial"/>
          <w:color w:val="000000"/>
          <w:sz w:val="22"/>
          <w:szCs w:val="22"/>
          <w:highlight w:val="green"/>
          <w:lang w:eastAsia="ko-KR"/>
        </w:rPr>
        <w:t xml:space="preserve"> </w:t>
      </w:r>
      <w:r w:rsidRPr="00497122">
        <w:rPr>
          <w:rFonts w:ascii="Arial" w:eastAsiaTheme="minorEastAsia" w:hAnsi="Arial" w:cs="Arial"/>
          <w:color w:val="000000"/>
          <w:sz w:val="22"/>
          <w:szCs w:val="22"/>
          <w:highlight w:val="green"/>
        </w:rPr>
        <w:t>COVID-19 vaccine administration began have focused</w:t>
      </w:r>
      <w:r w:rsidRPr="00497122">
        <w:rPr>
          <w:rFonts w:ascii="Arial" w:eastAsiaTheme="minorEastAsia" w:hAnsi="Arial" w:cs="Arial"/>
          <w:color w:val="000000"/>
          <w:sz w:val="22"/>
          <w:szCs w:val="22"/>
          <w:highlight w:val="green"/>
          <w:lang w:eastAsia="ko-KR"/>
        </w:rPr>
        <w:t xml:space="preserve"> </w:t>
      </w:r>
      <w:r w:rsidRPr="00497122">
        <w:rPr>
          <w:rFonts w:ascii="Arial" w:eastAsiaTheme="minorEastAsia" w:hAnsi="Arial" w:cs="Arial"/>
          <w:color w:val="000000"/>
          <w:sz w:val="22"/>
          <w:szCs w:val="22"/>
          <w:highlight w:val="green"/>
        </w:rPr>
        <w:t>on specific groups (e.g., healthcare workers) [</w:t>
      </w:r>
      <w:r w:rsidRPr="00497122">
        <w:rPr>
          <w:rFonts w:ascii="Arial" w:eastAsiaTheme="minorEastAsia" w:hAnsi="Arial" w:cs="Arial"/>
          <w:color w:val="0000FF"/>
          <w:sz w:val="22"/>
          <w:szCs w:val="22"/>
          <w:highlight w:val="green"/>
        </w:rPr>
        <w:t>1</w:t>
      </w:r>
      <w:r w:rsidRPr="00497122">
        <w:rPr>
          <w:rFonts w:ascii="Arial" w:eastAsiaTheme="minorEastAsia" w:hAnsi="Arial" w:cs="Arial"/>
          <w:color w:val="000000"/>
          <w:sz w:val="22"/>
          <w:szCs w:val="22"/>
          <w:highlight w:val="green"/>
        </w:rPr>
        <w:t xml:space="preserve">, </w:t>
      </w:r>
      <w:r w:rsidRPr="00497122">
        <w:rPr>
          <w:rFonts w:ascii="Arial" w:eastAsiaTheme="minorEastAsia" w:hAnsi="Arial" w:cs="Arial"/>
          <w:color w:val="0000FF"/>
          <w:sz w:val="22"/>
          <w:szCs w:val="22"/>
          <w:highlight w:val="green"/>
        </w:rPr>
        <w:t>2</w:t>
      </w:r>
      <w:r w:rsidRPr="00497122">
        <w:rPr>
          <w:rFonts w:ascii="Arial" w:eastAsiaTheme="minorEastAsia" w:hAnsi="Arial" w:cs="Arial"/>
          <w:color w:val="000000"/>
          <w:sz w:val="22"/>
          <w:szCs w:val="22"/>
          <w:highlight w:val="yellow"/>
        </w:rPr>
        <w:t xml:space="preserve">]. </w:t>
      </w:r>
      <w:r w:rsidRPr="00497122">
        <w:rPr>
          <w:rFonts w:ascii="Arial" w:eastAsiaTheme="minorEastAsia" w:hAnsi="Arial" w:cs="Arial"/>
          <w:color w:val="000000"/>
          <w:sz w:val="22"/>
          <w:szCs w:val="22"/>
        </w:rPr>
        <w:t xml:space="preserve">The </w:t>
      </w:r>
      <w:r w:rsidRPr="00497122">
        <w:rPr>
          <w:rFonts w:ascii="Arial" w:eastAsiaTheme="minorEastAsia" w:hAnsi="Arial" w:cs="Arial"/>
          <w:color w:val="000000"/>
          <w:sz w:val="22"/>
          <w:szCs w:val="22"/>
          <w:highlight w:val="green"/>
        </w:rPr>
        <w:t>durability</w:t>
      </w:r>
      <w:r w:rsidRPr="00497122">
        <w:rPr>
          <w:rFonts w:ascii="Arial" w:eastAsiaTheme="minorEastAsia" w:hAnsi="Arial" w:cs="Arial"/>
          <w:color w:val="000000"/>
          <w:sz w:val="22"/>
          <w:szCs w:val="22"/>
        </w:rPr>
        <w:t xml:space="preserve"> of antibody responses after infection</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and/or vaccination is less well explored within the general</w:t>
      </w:r>
      <w:r w:rsidRPr="00497122">
        <w:rPr>
          <w:rFonts w:ascii="Arial" w:eastAsiaTheme="minorEastAsia" w:hAnsi="Arial" w:cs="Arial"/>
          <w:color w:val="000000"/>
          <w:sz w:val="22"/>
          <w:szCs w:val="22"/>
          <w:lang w:eastAsia="ko-KR"/>
        </w:rPr>
        <w:t xml:space="preserve"> </w:t>
      </w:r>
      <w:r w:rsidRPr="00497122">
        <w:rPr>
          <w:rFonts w:ascii="Arial" w:eastAsiaTheme="minorEastAsia" w:hAnsi="Arial" w:cs="Arial"/>
          <w:color w:val="000000"/>
          <w:sz w:val="22"/>
          <w:szCs w:val="22"/>
        </w:rPr>
        <w:t>population [</w:t>
      </w:r>
      <w:r w:rsidRPr="00497122">
        <w:rPr>
          <w:rFonts w:ascii="Arial" w:eastAsiaTheme="minorEastAsia" w:hAnsi="Arial" w:cs="Arial"/>
          <w:color w:val="0000FF"/>
          <w:sz w:val="22"/>
          <w:szCs w:val="22"/>
        </w:rPr>
        <w:t>8</w:t>
      </w:r>
      <w:r w:rsidRPr="00497122">
        <w:rPr>
          <w:rFonts w:ascii="Arial" w:eastAsiaTheme="minorEastAsia" w:hAnsi="Arial" w:cs="Arial"/>
          <w:color w:val="000000"/>
          <w:sz w:val="22"/>
          <w:szCs w:val="22"/>
        </w:rPr>
        <w:t>]</w:t>
      </w:r>
      <w:r w:rsidRPr="00497122">
        <w:rPr>
          <w:rFonts w:ascii="Arial" w:eastAsiaTheme="minorEastAsia" w:hAnsi="Arial" w:cs="Arial"/>
          <w:color w:val="000000"/>
          <w:sz w:val="22"/>
          <w:szCs w:val="22"/>
          <w:highlight w:val="cyan"/>
        </w:rPr>
        <w:t>.</w:t>
      </w:r>
      <w:r w:rsidRPr="00497122">
        <w:rPr>
          <w:rFonts w:ascii="Arial" w:eastAsiaTheme="minorEastAsia" w:hAnsi="Arial" w:cs="Arial"/>
          <w:color w:val="000000"/>
          <w:sz w:val="22"/>
          <w:szCs w:val="22"/>
          <w:lang w:eastAsia="ko-KR"/>
        </w:rPr>
        <w:t xml:space="preserve"> </w:t>
      </w:r>
    </w:p>
    <w:p w14:paraId="617B541C" w14:textId="77777777" w:rsidR="00497122" w:rsidRPr="00497122" w:rsidRDefault="00497122" w:rsidP="00497122">
      <w:pPr>
        <w:widowControl/>
        <w:adjustRightInd w:val="0"/>
        <w:rPr>
          <w:rFonts w:ascii="Arial" w:eastAsiaTheme="minorEastAsia" w:hAnsi="Arial" w:cs="Arial"/>
          <w:color w:val="000000"/>
        </w:rPr>
      </w:pPr>
    </w:p>
    <w:p w14:paraId="53569614" w14:textId="77777777" w:rsidR="00497122" w:rsidRPr="00497122" w:rsidRDefault="00497122" w:rsidP="00497122">
      <w:pPr>
        <w:widowControl/>
        <w:adjustRightInd w:val="0"/>
        <w:rPr>
          <w:rFonts w:ascii="Arial" w:eastAsiaTheme="minorEastAsia" w:hAnsi="Arial" w:cs="Arial"/>
          <w:lang w:eastAsia="ko-KR"/>
        </w:rPr>
      </w:pPr>
      <w:r w:rsidRPr="00497122">
        <w:rPr>
          <w:rFonts w:ascii="Arial" w:eastAsiaTheme="minorEastAsia" w:hAnsi="Arial" w:cs="Arial"/>
          <w:lang w:eastAsia="ko-KR"/>
        </w:rPr>
        <w:t xml:space="preserve">Systematic reviews of SARS-CoV-2 vaccine effectiveness studies have provided clarity on the durability of protection for different variants of concern.5,6 These studies have compared protection among vaccinated individuals to that in unvaccinated individuals and compared protection between different numbers of doses. Another recent systematic review </w:t>
      </w:r>
      <w:r w:rsidRPr="00497122">
        <w:rPr>
          <w:rFonts w:ascii="Arial" w:eastAsiaTheme="minorEastAsia" w:hAnsi="Arial" w:cs="Arial"/>
          <w:highlight w:val="yellow"/>
          <w:lang w:eastAsia="ko-KR"/>
        </w:rPr>
        <w:t>estimated the durability of protection conferred by hybrid immunity[</w:t>
      </w:r>
      <w:proofErr w:type="gramStart"/>
      <w:r w:rsidRPr="00497122">
        <w:rPr>
          <w:rFonts w:ascii="Arial" w:eastAsiaTheme="minorEastAsia" w:hAnsi="Arial" w:cs="Arial"/>
          <w:highlight w:val="yellow"/>
          <w:lang w:eastAsia="ko-KR"/>
        </w:rPr>
        <w:t>ref]  and</w:t>
      </w:r>
      <w:proofErr w:type="gramEnd"/>
      <w:r w:rsidRPr="00497122">
        <w:rPr>
          <w:rFonts w:ascii="Arial" w:eastAsiaTheme="minorEastAsia" w:hAnsi="Arial" w:cs="Arial"/>
          <w:highlight w:val="yellow"/>
          <w:lang w:eastAsia="ko-KR"/>
        </w:rPr>
        <w:t xml:space="preserve"> previous infection alone </w:t>
      </w:r>
      <w:r w:rsidRPr="00497122">
        <w:rPr>
          <w:rFonts w:ascii="Arial" w:eastAsiaTheme="minorEastAsia" w:hAnsi="Arial" w:cs="Arial"/>
          <w:lang w:eastAsia="ko-KR"/>
        </w:rPr>
        <w:t xml:space="preserve">against multiple clinical outcomes of SARS-CoV-2 infection caused by the omicron variant. This systematic review and meta-regression </w:t>
      </w:r>
      <w:r w:rsidRPr="00497122">
        <w:rPr>
          <w:rFonts w:ascii="Arial" w:eastAsiaTheme="minorEastAsia" w:hAnsi="Arial" w:cs="Arial"/>
          <w:lang w:eastAsia="ko-KR"/>
        </w:rPr>
        <w:lastRenderedPageBreak/>
        <w:t xml:space="preserve">found that both </w:t>
      </w:r>
      <w:r w:rsidRPr="00497122">
        <w:rPr>
          <w:rFonts w:ascii="Arial" w:eastAsiaTheme="minorEastAsia" w:hAnsi="Arial" w:cs="Arial"/>
          <w:highlight w:val="yellow"/>
          <w:lang w:eastAsia="ko-KR"/>
        </w:rPr>
        <w:t>previous infection alone</w:t>
      </w:r>
      <w:r w:rsidRPr="00497122">
        <w:rPr>
          <w:rFonts w:ascii="Arial" w:eastAsiaTheme="minorEastAsia" w:hAnsi="Arial" w:cs="Arial"/>
          <w:lang w:eastAsia="ko-KR"/>
        </w:rPr>
        <w:t xml:space="preserve"> and </w:t>
      </w:r>
      <w:r w:rsidRPr="00497122">
        <w:rPr>
          <w:rFonts w:ascii="Arial" w:eastAsiaTheme="minorEastAsia" w:hAnsi="Arial" w:cs="Arial"/>
          <w:highlight w:val="yellow"/>
          <w:lang w:eastAsia="ko-KR"/>
        </w:rPr>
        <w:t>previous infection combined with previous vaccination</w:t>
      </w:r>
      <w:r w:rsidRPr="00497122">
        <w:rPr>
          <w:rFonts w:ascii="Arial" w:eastAsiaTheme="minorEastAsia" w:hAnsi="Arial" w:cs="Arial"/>
          <w:lang w:eastAsia="ko-KR"/>
        </w:rPr>
        <w:t xml:space="preserve"> (</w:t>
      </w:r>
      <w:proofErr w:type="spellStart"/>
      <w:r w:rsidRPr="00497122">
        <w:rPr>
          <w:rFonts w:ascii="Arial" w:eastAsiaTheme="minorEastAsia" w:hAnsi="Arial" w:cs="Arial"/>
          <w:lang w:eastAsia="ko-KR"/>
        </w:rPr>
        <w:t>ie</w:t>
      </w:r>
      <w:proofErr w:type="spellEnd"/>
      <w:r w:rsidRPr="00497122">
        <w:rPr>
          <w:rFonts w:ascii="Arial" w:eastAsiaTheme="minorEastAsia" w:hAnsi="Arial" w:cs="Arial"/>
          <w:lang w:eastAsia="ko-KR"/>
        </w:rPr>
        <w:t xml:space="preserve">, hybrid immunity) conferred </w:t>
      </w:r>
      <w:r w:rsidRPr="00497122">
        <w:rPr>
          <w:rFonts w:ascii="Arial" w:eastAsiaTheme="minorEastAsia" w:hAnsi="Arial" w:cs="Arial"/>
          <w:highlight w:val="yellow"/>
          <w:lang w:eastAsia="ko-KR"/>
        </w:rPr>
        <w:t>rapidly waning protection against SARS-CoV-2 infection with the omicron variant, but high and sustained protection against hospital admission or severe disease due to the omicron variant.</w:t>
      </w:r>
      <w:r w:rsidRPr="00497122">
        <w:rPr>
          <w:rFonts w:ascii="Arial" w:eastAsiaTheme="minorEastAsia" w:hAnsi="Arial" w:cs="Arial"/>
          <w:highlight w:val="green"/>
          <w:lang w:eastAsia="ko-KR"/>
        </w:rPr>
        <w:t xml:space="preserve"> Previous infection was found to provide higher protection against reinfection and more sustained protection against hospital admission or severe disease than vaccination alone</w:t>
      </w:r>
      <w:r w:rsidRPr="00497122">
        <w:rPr>
          <w:rFonts w:ascii="Arial" w:eastAsiaTheme="minorEastAsia" w:hAnsi="Arial" w:cs="Arial"/>
          <w:lang w:eastAsia="ko-KR"/>
        </w:rPr>
        <w:t xml:space="preserve">. </w:t>
      </w:r>
      <w:r w:rsidRPr="00497122">
        <w:rPr>
          <w:rFonts w:ascii="Arial" w:eastAsiaTheme="minorEastAsia" w:hAnsi="Arial" w:cs="Arial"/>
          <w:highlight w:val="green"/>
          <w:lang w:eastAsia="ko-KR"/>
        </w:rPr>
        <w:t>This pattern might be explained by natural infection invoking a more diverse immune response to multiple antigenic sites on the virus compared to the immunity developed through vaccines that target only spike antigens</w:t>
      </w:r>
      <w:r w:rsidRPr="00497122">
        <w:rPr>
          <w:rFonts w:ascii="Arial" w:eastAsiaTheme="minorEastAsia" w:hAnsi="Arial" w:cs="Arial"/>
          <w:lang w:eastAsia="ko-KR"/>
        </w:rPr>
        <w:t xml:space="preserve">. </w:t>
      </w:r>
      <w:r w:rsidRPr="00497122">
        <w:rPr>
          <w:rFonts w:ascii="Arial" w:eastAsiaTheme="minorEastAsia" w:hAnsi="Arial" w:cs="Arial"/>
          <w:highlight w:val="green"/>
          <w:lang w:eastAsia="ko-KR"/>
        </w:rPr>
        <w:t xml:space="preserve">However, individuals with hybrid immunity had the highest magnitude and durability of protection against all outcomes, </w:t>
      </w:r>
      <w:proofErr w:type="spellStart"/>
      <w:r w:rsidRPr="00497122">
        <w:rPr>
          <w:rFonts w:ascii="Arial" w:eastAsiaTheme="minorEastAsia" w:hAnsi="Arial" w:cs="Arial"/>
          <w:highlight w:val="green"/>
          <w:lang w:eastAsia="ko-KR"/>
        </w:rPr>
        <w:t>emphasising</w:t>
      </w:r>
      <w:proofErr w:type="spellEnd"/>
      <w:r w:rsidRPr="00497122">
        <w:rPr>
          <w:rFonts w:ascii="Arial" w:eastAsiaTheme="minorEastAsia" w:hAnsi="Arial" w:cs="Arial"/>
          <w:highlight w:val="green"/>
          <w:lang w:eastAsia="ko-KR"/>
        </w:rPr>
        <w:t xml:space="preserve"> the importance of providing vaccination to previously infected individuals</w:t>
      </w:r>
      <w:r w:rsidRPr="00497122">
        <w:rPr>
          <w:rFonts w:ascii="Arial" w:eastAsiaTheme="minorEastAsia" w:hAnsi="Arial" w:cs="Arial"/>
          <w:lang w:eastAsia="ko-KR"/>
        </w:rPr>
        <w:t>.</w:t>
      </w:r>
      <w:r w:rsidRPr="00497122">
        <w:rPr>
          <w:rFonts w:ascii="Arial" w:eastAsiaTheme="minorEastAsia" w:hAnsi="Arial" w:cs="Arial"/>
          <w:highlight w:val="green"/>
          <w:lang w:eastAsia="ko-KR"/>
        </w:rPr>
        <w:t xml:space="preserve"> Protection from previous infection should not detract from the need for vaccination.</w:t>
      </w:r>
      <w:r w:rsidRPr="00497122">
        <w:rPr>
          <w:rFonts w:ascii="Arial" w:eastAsiaTheme="minorEastAsia" w:hAnsi="Arial" w:cs="Arial"/>
          <w:lang w:eastAsia="ko-KR"/>
        </w:rPr>
        <w:t xml:space="preserve"> </w:t>
      </w:r>
      <w:r w:rsidRPr="00497122">
        <w:rPr>
          <w:rFonts w:ascii="Arial" w:eastAsiaTheme="minorEastAsia" w:hAnsi="Arial" w:cs="Arial"/>
          <w:highlight w:val="green"/>
          <w:lang w:eastAsia="ko-KR"/>
        </w:rPr>
        <w:t xml:space="preserve">Infection-induced protection against reinfection wanes rapidly, and vaccination 564 increases </w:t>
      </w:r>
      <w:proofErr w:type="gramStart"/>
      <w:r w:rsidRPr="00497122">
        <w:rPr>
          <w:rFonts w:ascii="Arial" w:eastAsiaTheme="minorEastAsia" w:hAnsi="Arial" w:cs="Arial"/>
          <w:highlight w:val="green"/>
          <w:lang w:eastAsia="ko-KR"/>
        </w:rPr>
        <w:t>durability.</w:t>
      </w:r>
      <w:r w:rsidRPr="00497122">
        <w:rPr>
          <w:rFonts w:ascii="Arial" w:eastAsiaTheme="minorEastAsia" w:hAnsi="Arial" w:cs="Arial"/>
          <w:lang w:eastAsia="ko-KR"/>
        </w:rPr>
        <w:t>—</w:t>
      </w:r>
      <w:proofErr w:type="gramEnd"/>
      <w:r w:rsidRPr="00497122">
        <w:rPr>
          <w:rFonts w:ascii="Arial" w:eastAsiaTheme="minorEastAsia" w:hAnsi="Arial" w:cs="Arial"/>
          <w:lang w:eastAsia="ko-KR"/>
        </w:rPr>
        <w:t>lack of evidence in age specific sub group analyses by different conditions…</w:t>
      </w:r>
    </w:p>
    <w:p w14:paraId="3BC86A49" w14:textId="77777777" w:rsidR="00497122" w:rsidRPr="00497122" w:rsidRDefault="00497122" w:rsidP="00497122">
      <w:pPr>
        <w:widowControl/>
        <w:adjustRightInd w:val="0"/>
        <w:rPr>
          <w:rFonts w:ascii="Arial" w:eastAsiaTheme="minorEastAsia" w:hAnsi="Arial" w:cs="Arial"/>
          <w:lang w:eastAsia="ko-KR"/>
        </w:rPr>
      </w:pPr>
    </w:p>
    <w:p w14:paraId="12A25760" w14:textId="77777777" w:rsidR="00497122" w:rsidRPr="00497122" w:rsidRDefault="00497122" w:rsidP="00497122">
      <w:pPr>
        <w:pStyle w:val="BodyText"/>
        <w:kinsoku w:val="0"/>
        <w:overflowPunct w:val="0"/>
        <w:spacing w:before="74" w:line="252" w:lineRule="auto"/>
        <w:ind w:firstLine="566"/>
        <w:jc w:val="both"/>
        <w:rPr>
          <w:rFonts w:ascii="Arial" w:eastAsiaTheme="minorEastAsia" w:hAnsi="Arial" w:cs="Arial"/>
          <w:sz w:val="22"/>
          <w:szCs w:val="22"/>
          <w:lang w:eastAsia="ko-KR"/>
        </w:rPr>
      </w:pPr>
      <w:r w:rsidRPr="00497122">
        <w:rPr>
          <w:rFonts w:ascii="Arial" w:eastAsiaTheme="minorEastAsia" w:hAnsi="Arial" w:cs="Arial"/>
          <w:color w:val="000000"/>
          <w:sz w:val="22"/>
          <w:szCs w:val="22"/>
          <w:lang w:eastAsia="ko-KR"/>
        </w:rPr>
        <w:t xml:space="preserve">In South Korea with high vaccination, majority population is hybrid and vaccine induced immunity and there are only few people with previous infection alone. In this study, we directly compared </w:t>
      </w:r>
      <w:r w:rsidRPr="00497122">
        <w:rPr>
          <w:rFonts w:ascii="Arial" w:hAnsi="Arial" w:cs="Arial"/>
          <w:sz w:val="22"/>
          <w:szCs w:val="22"/>
        </w:rPr>
        <w:t>anti-S levels and the</w:t>
      </w:r>
      <w:r w:rsidRPr="00497122">
        <w:rPr>
          <w:rFonts w:ascii="Arial" w:eastAsiaTheme="minorEastAsia" w:hAnsi="Arial" w:cs="Arial"/>
          <w:sz w:val="22"/>
          <w:szCs w:val="22"/>
          <w:lang w:eastAsia="ko-KR"/>
        </w:rPr>
        <w:t xml:space="preserve"> relative breakthrough infection events </w:t>
      </w:r>
      <w:r w:rsidRPr="00497122">
        <w:rPr>
          <w:rFonts w:ascii="Arial" w:hAnsi="Arial" w:cs="Arial"/>
          <w:sz w:val="22"/>
          <w:szCs w:val="22"/>
        </w:rPr>
        <w:t xml:space="preserve">in the </w:t>
      </w:r>
      <w:r w:rsidRPr="00497122">
        <w:rPr>
          <w:rFonts w:ascii="Arial" w:eastAsiaTheme="minorEastAsia" w:hAnsi="Arial" w:cs="Arial"/>
          <w:sz w:val="22"/>
          <w:szCs w:val="22"/>
          <w:lang w:eastAsia="ko-KR"/>
        </w:rPr>
        <w:t xml:space="preserve">nationwide </w:t>
      </w:r>
      <w:proofErr w:type="gramStart"/>
      <w:r w:rsidRPr="00497122">
        <w:rPr>
          <w:rFonts w:ascii="Arial" w:eastAsiaTheme="minorEastAsia" w:hAnsi="Arial" w:cs="Arial"/>
          <w:sz w:val="22"/>
          <w:szCs w:val="22"/>
          <w:lang w:eastAsia="ko-KR"/>
        </w:rPr>
        <w:t>community based</w:t>
      </w:r>
      <w:proofErr w:type="gramEnd"/>
      <w:r w:rsidRPr="00497122">
        <w:rPr>
          <w:rFonts w:ascii="Arial" w:hAnsi="Arial" w:cs="Arial"/>
          <w:sz w:val="22"/>
          <w:szCs w:val="22"/>
        </w:rPr>
        <w:t xml:space="preserve"> cohort which</w:t>
      </w:r>
      <w:r w:rsidRPr="00497122">
        <w:rPr>
          <w:rFonts w:ascii="Arial" w:eastAsiaTheme="minorEastAsia" w:hAnsi="Arial" w:cs="Arial"/>
          <w:sz w:val="22"/>
          <w:szCs w:val="22"/>
          <w:lang w:eastAsia="ko-KR"/>
        </w:rPr>
        <w:t xml:space="preserve"> </w:t>
      </w:r>
      <w:r w:rsidRPr="00497122">
        <w:rPr>
          <w:rFonts w:ascii="Arial" w:hAnsi="Arial" w:cs="Arial"/>
          <w:sz w:val="22"/>
          <w:szCs w:val="22"/>
        </w:rPr>
        <w:t>enables large scale population follow-up with repeated testing of</w:t>
      </w:r>
      <w:r w:rsidRPr="00497122">
        <w:rPr>
          <w:rFonts w:ascii="Arial" w:eastAsiaTheme="minorEastAsia" w:hAnsi="Arial" w:cs="Arial"/>
          <w:sz w:val="22"/>
          <w:szCs w:val="22"/>
          <w:lang w:eastAsia="ko-KR"/>
        </w:rPr>
        <w:t xml:space="preserve"> </w:t>
      </w:r>
      <w:r w:rsidRPr="00497122">
        <w:rPr>
          <w:rFonts w:ascii="Arial" w:hAnsi="Arial" w:cs="Arial"/>
          <w:sz w:val="22"/>
          <w:szCs w:val="22"/>
        </w:rPr>
        <w:t>antibodies over time in a population with detailed demographic and</w:t>
      </w:r>
      <w:r w:rsidRPr="00497122">
        <w:rPr>
          <w:rFonts w:ascii="Arial" w:eastAsiaTheme="minorEastAsia" w:hAnsi="Arial" w:cs="Arial"/>
          <w:sz w:val="22"/>
          <w:szCs w:val="22"/>
          <w:lang w:eastAsia="ko-KR"/>
        </w:rPr>
        <w:t xml:space="preserve"> </w:t>
      </w:r>
      <w:r w:rsidRPr="00497122">
        <w:rPr>
          <w:rFonts w:ascii="Arial" w:hAnsi="Arial" w:cs="Arial"/>
          <w:sz w:val="22"/>
          <w:szCs w:val="22"/>
        </w:rPr>
        <w:t xml:space="preserve">clinical </w:t>
      </w:r>
      <w:proofErr w:type="spellStart"/>
      <w:r w:rsidRPr="00497122">
        <w:rPr>
          <w:rFonts w:ascii="Arial" w:hAnsi="Arial" w:cs="Arial"/>
          <w:sz w:val="22"/>
          <w:szCs w:val="22"/>
        </w:rPr>
        <w:t>characterisation</w:t>
      </w:r>
      <w:proofErr w:type="spellEnd"/>
      <w:r w:rsidRPr="00497122">
        <w:rPr>
          <w:rFonts w:ascii="Arial" w:hAnsi="Arial" w:cs="Arial"/>
          <w:sz w:val="22"/>
          <w:szCs w:val="22"/>
        </w:rPr>
        <w:t xml:space="preserve"> and long term follow-up. To achieve this </w:t>
      </w:r>
      <w:proofErr w:type="gramStart"/>
      <w:r w:rsidRPr="00497122">
        <w:rPr>
          <w:rFonts w:ascii="Arial" w:hAnsi="Arial" w:cs="Arial"/>
          <w:sz w:val="22"/>
          <w:szCs w:val="22"/>
        </w:rPr>
        <w:t>aim</w:t>
      </w:r>
      <w:proofErr w:type="gramEnd"/>
      <w:r w:rsidRPr="00497122">
        <w:rPr>
          <w:rFonts w:ascii="Arial" w:eastAsiaTheme="minorEastAsia" w:hAnsi="Arial" w:cs="Arial"/>
          <w:sz w:val="22"/>
          <w:szCs w:val="22"/>
          <w:lang w:eastAsia="ko-KR"/>
        </w:rPr>
        <w:t xml:space="preserve"> </w:t>
      </w:r>
      <w:r w:rsidRPr="00497122">
        <w:rPr>
          <w:rFonts w:ascii="Arial" w:hAnsi="Arial" w:cs="Arial"/>
          <w:sz w:val="22"/>
          <w:szCs w:val="22"/>
        </w:rPr>
        <w:t>we examine three research questions. First, how does anti-S waning</w:t>
      </w:r>
      <w:r w:rsidRPr="00497122">
        <w:rPr>
          <w:rFonts w:ascii="Arial" w:eastAsiaTheme="minorEastAsia" w:hAnsi="Arial" w:cs="Arial"/>
          <w:sz w:val="22"/>
          <w:szCs w:val="22"/>
          <w:lang w:eastAsia="ko-KR"/>
        </w:rPr>
        <w:t xml:space="preserve"> </w:t>
      </w:r>
      <w:r w:rsidRPr="00497122">
        <w:rPr>
          <w:rFonts w:ascii="Arial" w:hAnsi="Arial" w:cs="Arial"/>
          <w:sz w:val="22"/>
          <w:szCs w:val="22"/>
        </w:rPr>
        <w:t xml:space="preserve">vary after the </w:t>
      </w:r>
      <w:r w:rsidRPr="00497122">
        <w:rPr>
          <w:rFonts w:ascii="Arial" w:eastAsiaTheme="minorEastAsia" w:hAnsi="Arial" w:cs="Arial"/>
          <w:sz w:val="22"/>
          <w:szCs w:val="22"/>
          <w:lang w:eastAsia="ko-KR"/>
        </w:rPr>
        <w:t>last immunological events</w:t>
      </w:r>
      <w:r w:rsidRPr="00497122">
        <w:rPr>
          <w:rFonts w:ascii="Arial" w:hAnsi="Arial" w:cs="Arial"/>
          <w:sz w:val="22"/>
          <w:szCs w:val="22"/>
        </w:rPr>
        <w:t xml:space="preserve"> </w:t>
      </w:r>
      <w:r w:rsidRPr="00497122">
        <w:rPr>
          <w:rFonts w:ascii="Arial" w:eastAsiaTheme="minorEastAsia" w:hAnsi="Arial" w:cs="Arial"/>
          <w:sz w:val="22"/>
          <w:szCs w:val="22"/>
          <w:lang w:eastAsia="ko-KR"/>
        </w:rPr>
        <w:t xml:space="preserve">across age groups between hybrid and vaccine group. </w:t>
      </w:r>
      <w:r w:rsidRPr="00497122">
        <w:rPr>
          <w:rFonts w:ascii="Arial" w:hAnsi="Arial" w:cs="Arial"/>
          <w:sz w:val="22"/>
          <w:szCs w:val="22"/>
        </w:rPr>
        <w:t>Second, what is the total effect of anti-S level on risk of</w:t>
      </w:r>
      <w:r w:rsidRPr="00497122">
        <w:rPr>
          <w:rFonts w:ascii="Arial" w:eastAsiaTheme="minorEastAsia" w:hAnsi="Arial" w:cs="Arial"/>
          <w:sz w:val="22"/>
          <w:szCs w:val="22"/>
          <w:lang w:eastAsia="ko-KR"/>
        </w:rPr>
        <w:t xml:space="preserve"> </w:t>
      </w:r>
      <w:r w:rsidRPr="00497122">
        <w:rPr>
          <w:rFonts w:ascii="Arial" w:hAnsi="Arial" w:cs="Arial"/>
          <w:sz w:val="22"/>
          <w:szCs w:val="22"/>
        </w:rPr>
        <w:t xml:space="preserve">SARS-CoV-2 infection </w:t>
      </w:r>
      <w:r w:rsidRPr="00497122">
        <w:rPr>
          <w:rFonts w:ascii="Arial" w:eastAsiaTheme="minorEastAsia" w:hAnsi="Arial" w:cs="Arial"/>
          <w:sz w:val="22"/>
          <w:szCs w:val="22"/>
          <w:lang w:eastAsia="ko-KR"/>
        </w:rPr>
        <w:t>against omicron variants</w:t>
      </w:r>
      <w:r w:rsidRPr="00497122">
        <w:rPr>
          <w:rFonts w:ascii="Arial" w:hAnsi="Arial" w:cs="Arial"/>
          <w:sz w:val="22"/>
          <w:szCs w:val="22"/>
        </w:rPr>
        <w:t xml:space="preserve"> in </w:t>
      </w:r>
      <w:r w:rsidRPr="00497122">
        <w:rPr>
          <w:rFonts w:ascii="Arial" w:eastAsiaTheme="minorEastAsia" w:hAnsi="Arial" w:cs="Arial"/>
          <w:sz w:val="22"/>
          <w:szCs w:val="22"/>
          <w:lang w:eastAsia="ko-KR"/>
        </w:rPr>
        <w:t xml:space="preserve">South Korea. </w:t>
      </w:r>
      <w:r w:rsidRPr="00497122">
        <w:rPr>
          <w:rFonts w:ascii="Arial" w:hAnsi="Arial" w:cs="Arial"/>
          <w:sz w:val="22"/>
          <w:szCs w:val="22"/>
        </w:rPr>
        <w:t xml:space="preserve">Third, </w:t>
      </w:r>
      <w:r w:rsidRPr="00497122">
        <w:rPr>
          <w:rFonts w:ascii="Arial" w:eastAsiaTheme="minorEastAsia" w:hAnsi="Arial" w:cs="Arial"/>
          <w:sz w:val="22"/>
          <w:szCs w:val="22"/>
          <w:lang w:eastAsia="ko-KR"/>
        </w:rPr>
        <w:t xml:space="preserve">what are the risk factors and risk probability </w:t>
      </w:r>
      <w:r w:rsidRPr="00497122">
        <w:rPr>
          <w:rFonts w:ascii="Arial" w:eastAsia="NimbusRomNo9L-Regu" w:hAnsi="Arial" w:cs="Arial"/>
          <w:sz w:val="22"/>
          <w:szCs w:val="22"/>
        </w:rPr>
        <w:t>of remaining</w:t>
      </w:r>
      <w:r w:rsidRPr="00497122">
        <w:rPr>
          <w:rFonts w:ascii="Arial" w:eastAsiaTheme="minorEastAsia" w:hAnsi="Arial" w:cs="Arial"/>
          <w:sz w:val="22"/>
          <w:szCs w:val="22"/>
          <w:lang w:eastAsia="ko-KR"/>
        </w:rPr>
        <w:t xml:space="preserve"> </w:t>
      </w:r>
      <w:r w:rsidRPr="00497122">
        <w:rPr>
          <w:rFonts w:ascii="Arial" w:eastAsia="NimbusRomNo9L-Regu" w:hAnsi="Arial" w:cs="Arial"/>
          <w:sz w:val="22"/>
          <w:szCs w:val="22"/>
        </w:rPr>
        <w:t>infection-free</w:t>
      </w:r>
      <w:r w:rsidRPr="00497122">
        <w:rPr>
          <w:rFonts w:ascii="Arial" w:eastAsiaTheme="minorEastAsia" w:hAnsi="Arial" w:cs="Arial"/>
          <w:sz w:val="22"/>
          <w:szCs w:val="22"/>
          <w:lang w:eastAsia="ko-KR"/>
        </w:rPr>
        <w:t xml:space="preserve"> across age groups between hybrid and vaccine groups</w:t>
      </w:r>
      <w:r w:rsidRPr="00497122">
        <w:rPr>
          <w:rFonts w:ascii="Arial" w:hAnsi="Arial" w:cs="Arial"/>
          <w:sz w:val="22"/>
          <w:szCs w:val="22"/>
        </w:rPr>
        <w:t>.</w:t>
      </w:r>
      <w:r w:rsidRPr="00497122">
        <w:rPr>
          <w:rStyle w:val="FootnoteReference"/>
          <w:rFonts w:ascii="Arial" w:hAnsi="Arial" w:cs="Arial"/>
          <w:sz w:val="22"/>
          <w:szCs w:val="22"/>
        </w:rPr>
        <w:footnoteReference w:id="1"/>
      </w:r>
    </w:p>
    <w:p w14:paraId="23C59695" w14:textId="77777777" w:rsidR="00497122" w:rsidRDefault="00497122" w:rsidP="00497122">
      <w:pPr>
        <w:pStyle w:val="BodyText"/>
        <w:spacing w:before="171" w:line="252" w:lineRule="auto"/>
        <w:ind w:left="0" w:right="795"/>
        <w:jc w:val="both"/>
        <w:rPr>
          <w:rFonts w:eastAsiaTheme="minorEastAsia"/>
          <w:lang w:eastAsia="ko-KR"/>
        </w:rPr>
      </w:pPr>
    </w:p>
    <w:p w14:paraId="0A01DA66" w14:textId="77777777" w:rsidR="00497122" w:rsidRDefault="00497122" w:rsidP="00497122">
      <w:pPr>
        <w:pStyle w:val="BodyText"/>
        <w:spacing w:before="171" w:line="252" w:lineRule="auto"/>
        <w:ind w:left="0" w:right="795"/>
        <w:jc w:val="both"/>
        <w:rPr>
          <w:rFonts w:eastAsiaTheme="minorEastAsia"/>
          <w:lang w:eastAsia="ko-KR"/>
        </w:rPr>
      </w:pPr>
    </w:p>
    <w:p w14:paraId="7A33F36C" w14:textId="77777777" w:rsidR="00497122" w:rsidRDefault="00497122" w:rsidP="00497122">
      <w:pPr>
        <w:pStyle w:val="BodyText"/>
        <w:spacing w:before="171" w:line="252" w:lineRule="auto"/>
        <w:ind w:left="0" w:right="795"/>
        <w:jc w:val="both"/>
        <w:rPr>
          <w:rFonts w:eastAsiaTheme="minorEastAsia"/>
          <w:lang w:eastAsia="ko-KR"/>
        </w:rPr>
      </w:pPr>
    </w:p>
    <w:p w14:paraId="1E6330B5" w14:textId="0424288A" w:rsidR="00AE68F4" w:rsidRDefault="00000000" w:rsidP="00497122">
      <w:pPr>
        <w:pStyle w:val="BodyText"/>
        <w:spacing w:before="171" w:line="252" w:lineRule="auto"/>
        <w:ind w:left="0" w:right="795"/>
        <w:jc w:val="both"/>
      </w:pPr>
      <w:r>
        <w:t xml:space="preserve">The global health crisis precipitated by </w:t>
      </w:r>
      <w:r>
        <w:rPr>
          <w:spacing w:val="-3"/>
        </w:rPr>
        <w:t xml:space="preserve">SARS-CoV-2 </w:t>
      </w:r>
      <w:r>
        <w:t xml:space="preserve">has underscored the crucial role </w:t>
      </w:r>
      <w:r>
        <w:rPr>
          <w:spacing w:val="-7"/>
        </w:rPr>
        <w:t xml:space="preserve">of </w:t>
      </w:r>
      <w:r>
        <w:t xml:space="preserve">neutralizing antibodies in conferring immune protection against COVID-19. Previous studies, notably by Khoury et al. (2021), </w:t>
      </w:r>
      <w:r>
        <w:rPr>
          <w:spacing w:val="-3"/>
        </w:rPr>
        <w:t xml:space="preserve">have </w:t>
      </w:r>
      <w:r>
        <w:t xml:space="preserve">elucidated that neutralizing antibody levels are highly predictive of immune protection from </w:t>
      </w:r>
      <w:r>
        <w:rPr>
          <w:spacing w:val="-3"/>
        </w:rPr>
        <w:t xml:space="preserve">SARS-CoV-2 </w:t>
      </w:r>
      <w:r>
        <w:t xml:space="preserve">infection. Additionally, Feng et al. (2021) </w:t>
      </w:r>
      <w:r>
        <w:rPr>
          <w:spacing w:val="-3"/>
        </w:rPr>
        <w:t xml:space="preserve">have </w:t>
      </w:r>
      <w:r>
        <w:t>quantified the levels of antibody protection required to prevent COVID-19, emphasizing the critical role of the immune response in controlling the pandemic.</w:t>
      </w:r>
    </w:p>
    <w:p w14:paraId="5E5048FF" w14:textId="77777777" w:rsidR="00AE68F4" w:rsidRDefault="00000000">
      <w:pPr>
        <w:pStyle w:val="BodyText"/>
        <w:spacing w:line="252" w:lineRule="auto"/>
        <w:ind w:right="795" w:firstLine="566"/>
        <w:jc w:val="both"/>
      </w:pPr>
      <w:r>
        <w:t>Despite</w:t>
      </w:r>
      <w:r>
        <w:rPr>
          <w:spacing w:val="-19"/>
        </w:rPr>
        <w:t xml:space="preserve"> </w:t>
      </w:r>
      <w:r>
        <w:t>the</w:t>
      </w:r>
      <w:r>
        <w:rPr>
          <w:spacing w:val="-19"/>
        </w:rPr>
        <w:t xml:space="preserve"> </w:t>
      </w:r>
      <w:r>
        <w:t>initial</w:t>
      </w:r>
      <w:r>
        <w:rPr>
          <w:spacing w:val="-19"/>
        </w:rPr>
        <w:t xml:space="preserve"> </w:t>
      </w:r>
      <w:r>
        <w:t>high</w:t>
      </w:r>
      <w:r>
        <w:rPr>
          <w:spacing w:val="-19"/>
        </w:rPr>
        <w:t xml:space="preserve"> </w:t>
      </w:r>
      <w:r>
        <w:t>efficacy</w:t>
      </w:r>
      <w:r>
        <w:rPr>
          <w:spacing w:val="-19"/>
        </w:rPr>
        <w:t xml:space="preserve"> </w:t>
      </w:r>
      <w:r>
        <w:t>observed</w:t>
      </w:r>
      <w:r>
        <w:rPr>
          <w:spacing w:val="-19"/>
        </w:rPr>
        <w:t xml:space="preserve"> </w:t>
      </w:r>
      <w:r>
        <w:t>in</w:t>
      </w:r>
      <w:r>
        <w:rPr>
          <w:spacing w:val="-19"/>
        </w:rPr>
        <w:t xml:space="preserve"> </w:t>
      </w:r>
      <w:r>
        <w:t>neutralizing</w:t>
      </w:r>
      <w:r>
        <w:rPr>
          <w:spacing w:val="-19"/>
        </w:rPr>
        <w:t xml:space="preserve"> </w:t>
      </w:r>
      <w:r>
        <w:t>antibody</w:t>
      </w:r>
      <w:r>
        <w:rPr>
          <w:spacing w:val="-19"/>
        </w:rPr>
        <w:t xml:space="preserve"> </w:t>
      </w:r>
      <w:r>
        <w:t>responses,</w:t>
      </w:r>
      <w:r>
        <w:rPr>
          <w:spacing w:val="-16"/>
        </w:rPr>
        <w:t xml:space="preserve"> </w:t>
      </w:r>
      <w:r>
        <w:t>the</w:t>
      </w:r>
      <w:r>
        <w:rPr>
          <w:spacing w:val="-19"/>
        </w:rPr>
        <w:t xml:space="preserve"> </w:t>
      </w:r>
      <w:r>
        <w:t xml:space="preserve">durability of spike (S) protein antibody-mediated protection remains a significant concern. </w:t>
      </w:r>
      <w:r>
        <w:rPr>
          <w:spacing w:val="-2"/>
        </w:rPr>
        <w:t xml:space="preserve">Longitudinal </w:t>
      </w:r>
      <w:r>
        <w:t xml:space="preserve">studies </w:t>
      </w:r>
      <w:r>
        <w:rPr>
          <w:spacing w:val="-3"/>
        </w:rPr>
        <w:t xml:space="preserve">have </w:t>
      </w:r>
      <w:r>
        <w:t xml:space="preserve">documented a decline in antibody levels over time, necessitating booster doses to sustain immunity (Levin et al., 2021). This temporal decline in antibody titers underscores </w:t>
      </w:r>
      <w:r>
        <w:rPr>
          <w:spacing w:val="-4"/>
        </w:rPr>
        <w:t xml:space="preserve">the </w:t>
      </w:r>
      <w:r>
        <w:t>importance</w:t>
      </w:r>
      <w:r>
        <w:rPr>
          <w:spacing w:val="-10"/>
        </w:rPr>
        <w:t xml:space="preserve"> </w:t>
      </w:r>
      <w:r>
        <w:t>of</w:t>
      </w:r>
      <w:r>
        <w:rPr>
          <w:spacing w:val="-10"/>
        </w:rPr>
        <w:t xml:space="preserve"> </w:t>
      </w:r>
      <w:r>
        <w:t>ongoing</w:t>
      </w:r>
      <w:r>
        <w:rPr>
          <w:spacing w:val="-10"/>
        </w:rPr>
        <w:t xml:space="preserve"> </w:t>
      </w:r>
      <w:r>
        <w:t>immunization</w:t>
      </w:r>
      <w:r>
        <w:rPr>
          <w:spacing w:val="-9"/>
        </w:rPr>
        <w:t xml:space="preserve"> </w:t>
      </w:r>
      <w:r>
        <w:t>strategies,</w:t>
      </w:r>
      <w:r>
        <w:rPr>
          <w:spacing w:val="-8"/>
        </w:rPr>
        <w:t xml:space="preserve"> </w:t>
      </w:r>
      <w:r>
        <w:t>particularly</w:t>
      </w:r>
      <w:r>
        <w:rPr>
          <w:spacing w:val="-10"/>
        </w:rPr>
        <w:t xml:space="preserve"> </w:t>
      </w:r>
      <w:r>
        <w:t>in</w:t>
      </w:r>
      <w:r>
        <w:rPr>
          <w:spacing w:val="-10"/>
        </w:rPr>
        <w:t xml:space="preserve"> </w:t>
      </w:r>
      <w:r>
        <w:t>the</w:t>
      </w:r>
      <w:r>
        <w:rPr>
          <w:spacing w:val="-9"/>
        </w:rPr>
        <w:t xml:space="preserve"> </w:t>
      </w:r>
      <w:r>
        <w:t>context</w:t>
      </w:r>
      <w:r>
        <w:rPr>
          <w:spacing w:val="-10"/>
        </w:rPr>
        <w:t xml:space="preserve"> </w:t>
      </w:r>
      <w:r>
        <w:t>of</w:t>
      </w:r>
      <w:r>
        <w:rPr>
          <w:spacing w:val="-10"/>
        </w:rPr>
        <w:t xml:space="preserve"> </w:t>
      </w:r>
      <w:r>
        <w:t>emerging</w:t>
      </w:r>
      <w:r>
        <w:rPr>
          <w:spacing w:val="-9"/>
        </w:rPr>
        <w:t xml:space="preserve"> </w:t>
      </w:r>
      <w:r>
        <w:rPr>
          <w:spacing w:val="-3"/>
        </w:rPr>
        <w:t xml:space="preserve">variants </w:t>
      </w:r>
      <w:r>
        <w:t>of concern</w:t>
      </w:r>
      <w:r>
        <w:rPr>
          <w:spacing w:val="-3"/>
        </w:rPr>
        <w:t xml:space="preserve"> </w:t>
      </w:r>
      <w:r>
        <w:t>(VOC).</w:t>
      </w:r>
    </w:p>
    <w:p w14:paraId="490D5626" w14:textId="77777777" w:rsidR="00AE68F4" w:rsidRDefault="00000000">
      <w:pPr>
        <w:pStyle w:val="BodyText"/>
        <w:spacing w:line="252" w:lineRule="auto"/>
        <w:ind w:right="747" w:firstLine="566"/>
        <w:jc w:val="both"/>
      </w:pPr>
      <w:r>
        <w:t>The</w:t>
      </w:r>
      <w:r>
        <w:rPr>
          <w:spacing w:val="-19"/>
        </w:rPr>
        <w:t xml:space="preserve"> </w:t>
      </w:r>
      <w:r>
        <w:t>intricate</w:t>
      </w:r>
      <w:r>
        <w:rPr>
          <w:spacing w:val="-19"/>
        </w:rPr>
        <w:t xml:space="preserve"> </w:t>
      </w:r>
      <w:r>
        <w:t>relationship</w:t>
      </w:r>
      <w:r>
        <w:rPr>
          <w:spacing w:val="-18"/>
        </w:rPr>
        <w:t xml:space="preserve"> </w:t>
      </w:r>
      <w:r>
        <w:t>between</w:t>
      </w:r>
      <w:r>
        <w:rPr>
          <w:spacing w:val="-19"/>
        </w:rPr>
        <w:t xml:space="preserve"> </w:t>
      </w:r>
      <w:r>
        <w:t>S</w:t>
      </w:r>
      <w:r>
        <w:rPr>
          <w:spacing w:val="-19"/>
        </w:rPr>
        <w:t xml:space="preserve"> </w:t>
      </w:r>
      <w:r>
        <w:t>antibody</w:t>
      </w:r>
      <w:r>
        <w:rPr>
          <w:spacing w:val="-18"/>
        </w:rPr>
        <w:t xml:space="preserve"> </w:t>
      </w:r>
      <w:r>
        <w:t>levels</w:t>
      </w:r>
      <w:r>
        <w:rPr>
          <w:spacing w:val="-19"/>
        </w:rPr>
        <w:t xml:space="preserve"> </w:t>
      </w:r>
      <w:r>
        <w:t>and</w:t>
      </w:r>
      <w:r>
        <w:rPr>
          <w:spacing w:val="-18"/>
        </w:rPr>
        <w:t xml:space="preserve"> </w:t>
      </w:r>
      <w:r>
        <w:t>immune</w:t>
      </w:r>
      <w:r>
        <w:rPr>
          <w:spacing w:val="-19"/>
        </w:rPr>
        <w:t xml:space="preserve"> </w:t>
      </w:r>
      <w:r>
        <w:t>protection</w:t>
      </w:r>
      <w:r>
        <w:rPr>
          <w:spacing w:val="-19"/>
        </w:rPr>
        <w:t xml:space="preserve"> </w:t>
      </w:r>
      <w:r>
        <w:t>against</w:t>
      </w:r>
      <w:r>
        <w:rPr>
          <w:spacing w:val="-18"/>
        </w:rPr>
        <w:t xml:space="preserve"> </w:t>
      </w:r>
      <w:r>
        <w:t xml:space="preserve">SARS- </w:t>
      </w:r>
      <w:r>
        <w:rPr>
          <w:spacing w:val="-5"/>
        </w:rPr>
        <w:t xml:space="preserve">CoV-2 </w:t>
      </w:r>
      <w:r>
        <w:t>underscores the need for comprehensive research to optimize vaccination strategies. Ongoing efforts to understand the dynamics of antibody responses, especially in the face of emerging</w:t>
      </w:r>
      <w:r>
        <w:rPr>
          <w:spacing w:val="-9"/>
        </w:rPr>
        <w:t xml:space="preserve"> </w:t>
      </w:r>
      <w:r>
        <w:t>variants,</w:t>
      </w:r>
      <w:r>
        <w:rPr>
          <w:spacing w:val="-8"/>
        </w:rPr>
        <w:t xml:space="preserve"> </w:t>
      </w:r>
      <w:r>
        <w:t>are</w:t>
      </w:r>
      <w:r>
        <w:rPr>
          <w:spacing w:val="-8"/>
        </w:rPr>
        <w:t xml:space="preserve"> </w:t>
      </w:r>
      <w:r>
        <w:t>critical</w:t>
      </w:r>
      <w:r>
        <w:rPr>
          <w:spacing w:val="-8"/>
        </w:rPr>
        <w:t xml:space="preserve"> </w:t>
      </w:r>
      <w:r>
        <w:t>to</w:t>
      </w:r>
      <w:r>
        <w:rPr>
          <w:spacing w:val="-9"/>
        </w:rPr>
        <w:t xml:space="preserve"> </w:t>
      </w:r>
      <w:r>
        <w:t>sustaining</w:t>
      </w:r>
      <w:r>
        <w:rPr>
          <w:spacing w:val="-8"/>
        </w:rPr>
        <w:t xml:space="preserve"> </w:t>
      </w:r>
      <w:r>
        <w:t>long-term</w:t>
      </w:r>
      <w:r>
        <w:rPr>
          <w:spacing w:val="-9"/>
        </w:rPr>
        <w:t xml:space="preserve"> </w:t>
      </w:r>
      <w:r>
        <w:t>immunity</w:t>
      </w:r>
      <w:r>
        <w:rPr>
          <w:spacing w:val="-8"/>
        </w:rPr>
        <w:t xml:space="preserve"> </w:t>
      </w:r>
      <w:r>
        <w:t>and</w:t>
      </w:r>
      <w:r>
        <w:rPr>
          <w:spacing w:val="-9"/>
        </w:rPr>
        <w:t xml:space="preserve"> </w:t>
      </w:r>
      <w:r>
        <w:t>controlling</w:t>
      </w:r>
      <w:r>
        <w:rPr>
          <w:spacing w:val="-8"/>
        </w:rPr>
        <w:t xml:space="preserve"> </w:t>
      </w:r>
      <w:r>
        <w:t>the</w:t>
      </w:r>
      <w:r>
        <w:rPr>
          <w:spacing w:val="-9"/>
        </w:rPr>
        <w:t xml:space="preserve"> </w:t>
      </w:r>
      <w:r>
        <w:t>COVID-19 pandemic.</w:t>
      </w:r>
    </w:p>
    <w:p w14:paraId="1FAEBEC8" w14:textId="77777777" w:rsidR="00AE68F4" w:rsidRDefault="00000000">
      <w:pPr>
        <w:pStyle w:val="BodyText"/>
        <w:spacing w:line="252" w:lineRule="auto"/>
        <w:ind w:right="795" w:firstLine="566"/>
        <w:jc w:val="both"/>
      </w:pPr>
      <w:r>
        <w:t>This study evaluates the protective efficacy of hybrid-induced immunity versus vaccine- induced immunity and compares immune responses across different age groups. By</w:t>
      </w:r>
      <w:r>
        <w:rPr>
          <w:spacing w:val="-23"/>
        </w:rPr>
        <w:t xml:space="preserve"> </w:t>
      </w:r>
      <w:r>
        <w:rPr>
          <w:spacing w:val="-3"/>
        </w:rPr>
        <w:t xml:space="preserve">examining </w:t>
      </w:r>
      <w:r>
        <w:t>these</w:t>
      </w:r>
      <w:r>
        <w:rPr>
          <w:spacing w:val="-13"/>
        </w:rPr>
        <w:t xml:space="preserve"> </w:t>
      </w:r>
      <w:r>
        <w:t>aspects,</w:t>
      </w:r>
      <w:r>
        <w:rPr>
          <w:spacing w:val="-11"/>
        </w:rPr>
        <w:t xml:space="preserve"> </w:t>
      </w:r>
      <w:r>
        <w:t>the</w:t>
      </w:r>
      <w:r>
        <w:rPr>
          <w:spacing w:val="-13"/>
        </w:rPr>
        <w:t xml:space="preserve"> </w:t>
      </w:r>
      <w:r>
        <w:t>research</w:t>
      </w:r>
      <w:r>
        <w:rPr>
          <w:spacing w:val="-12"/>
        </w:rPr>
        <w:t xml:space="preserve"> </w:t>
      </w:r>
      <w:r>
        <w:t>aims</w:t>
      </w:r>
      <w:r>
        <w:rPr>
          <w:spacing w:val="-12"/>
        </w:rPr>
        <w:t xml:space="preserve"> </w:t>
      </w:r>
      <w:r>
        <w:t>to</w:t>
      </w:r>
      <w:r>
        <w:rPr>
          <w:spacing w:val="-13"/>
        </w:rPr>
        <w:t xml:space="preserve"> </w:t>
      </w:r>
      <w:r>
        <w:t>optimize</w:t>
      </w:r>
      <w:r>
        <w:rPr>
          <w:spacing w:val="-12"/>
        </w:rPr>
        <w:t xml:space="preserve"> </w:t>
      </w:r>
      <w:r>
        <w:t>vaccination</w:t>
      </w:r>
      <w:r>
        <w:rPr>
          <w:spacing w:val="-13"/>
        </w:rPr>
        <w:t xml:space="preserve"> </w:t>
      </w:r>
      <w:r>
        <w:t>strategies</w:t>
      </w:r>
      <w:r>
        <w:rPr>
          <w:spacing w:val="-12"/>
        </w:rPr>
        <w:t xml:space="preserve"> </w:t>
      </w:r>
      <w:r>
        <w:t>and</w:t>
      </w:r>
      <w:r>
        <w:rPr>
          <w:spacing w:val="-12"/>
        </w:rPr>
        <w:t xml:space="preserve"> </w:t>
      </w:r>
      <w:r>
        <w:t>develop</w:t>
      </w:r>
      <w:r>
        <w:rPr>
          <w:spacing w:val="-13"/>
        </w:rPr>
        <w:t xml:space="preserve"> </w:t>
      </w:r>
      <w:r>
        <w:t>robust</w:t>
      </w:r>
      <w:r>
        <w:rPr>
          <w:spacing w:val="-12"/>
        </w:rPr>
        <w:t xml:space="preserve"> </w:t>
      </w:r>
      <w:r>
        <w:t>long-term</w:t>
      </w:r>
    </w:p>
    <w:p w14:paraId="0DD9C35E" w14:textId="77777777" w:rsidR="00AE68F4" w:rsidRDefault="00AE68F4">
      <w:pPr>
        <w:spacing w:line="252" w:lineRule="auto"/>
        <w:jc w:val="both"/>
        <w:sectPr w:rsidR="00AE68F4">
          <w:type w:val="continuous"/>
          <w:pgSz w:w="11910" w:h="16840"/>
          <w:pgMar w:top="1180" w:right="620" w:bottom="1040" w:left="1300" w:header="720" w:footer="720" w:gutter="0"/>
          <w:cols w:space="720"/>
        </w:sectPr>
      </w:pPr>
    </w:p>
    <w:p w14:paraId="7628B647" w14:textId="77777777" w:rsidR="00AE68F4" w:rsidRDefault="00000000">
      <w:pPr>
        <w:pStyle w:val="BodyText"/>
        <w:spacing w:before="74" w:line="252" w:lineRule="auto"/>
        <w:ind w:right="795"/>
        <w:jc w:val="both"/>
      </w:pPr>
      <w:r>
        <w:lastRenderedPageBreak/>
        <w:t xml:space="preserve">protection against </w:t>
      </w:r>
      <w:r>
        <w:rPr>
          <w:spacing w:val="-3"/>
        </w:rPr>
        <w:t xml:space="preserve">SARS-CoV-2. </w:t>
      </w:r>
      <w:r>
        <w:t xml:space="preserve">The findings highlight the importance of effective immune responses, as measured by S antibody levels, in providing protection against COVID-19. </w:t>
      </w:r>
      <w:r>
        <w:rPr>
          <w:spacing w:val="-5"/>
        </w:rPr>
        <w:t xml:space="preserve">Ad- </w:t>
      </w:r>
      <w:proofErr w:type="spellStart"/>
      <w:r>
        <w:t>ditionally</w:t>
      </w:r>
      <w:proofErr w:type="spellEnd"/>
      <w:r>
        <w:t>,</w:t>
      </w:r>
      <w:r>
        <w:rPr>
          <w:spacing w:val="-10"/>
        </w:rPr>
        <w:t xml:space="preserve"> </w:t>
      </w:r>
      <w:r>
        <w:t>monitoring</w:t>
      </w:r>
      <w:r>
        <w:rPr>
          <w:spacing w:val="-10"/>
        </w:rPr>
        <w:t xml:space="preserve"> </w:t>
      </w:r>
      <w:r>
        <w:t>population-level</w:t>
      </w:r>
      <w:r>
        <w:rPr>
          <w:spacing w:val="-10"/>
        </w:rPr>
        <w:t xml:space="preserve"> </w:t>
      </w:r>
      <w:r>
        <w:t>S</w:t>
      </w:r>
      <w:r>
        <w:rPr>
          <w:spacing w:val="-11"/>
        </w:rPr>
        <w:t xml:space="preserve"> </w:t>
      </w:r>
      <w:r>
        <w:t>antibody</w:t>
      </w:r>
      <w:r>
        <w:rPr>
          <w:spacing w:val="-10"/>
        </w:rPr>
        <w:t xml:space="preserve"> </w:t>
      </w:r>
      <w:r>
        <w:t>thresholds</w:t>
      </w:r>
      <w:r>
        <w:rPr>
          <w:spacing w:val="-10"/>
        </w:rPr>
        <w:t xml:space="preserve"> </w:t>
      </w:r>
      <w:r>
        <w:t>can</w:t>
      </w:r>
      <w:r>
        <w:rPr>
          <w:spacing w:val="-10"/>
        </w:rPr>
        <w:t xml:space="preserve"> </w:t>
      </w:r>
      <w:r>
        <w:t>help</w:t>
      </w:r>
      <w:r>
        <w:rPr>
          <w:spacing w:val="-11"/>
        </w:rPr>
        <w:t xml:space="preserve"> </w:t>
      </w:r>
      <w:r>
        <w:t>tailor</w:t>
      </w:r>
      <w:r>
        <w:rPr>
          <w:spacing w:val="-10"/>
        </w:rPr>
        <w:t xml:space="preserve"> </w:t>
      </w:r>
      <w:r>
        <w:t>vaccination</w:t>
      </w:r>
      <w:r>
        <w:rPr>
          <w:spacing w:val="-10"/>
        </w:rPr>
        <w:t xml:space="preserve"> </w:t>
      </w:r>
      <w:r>
        <w:t>sched- ules</w:t>
      </w:r>
      <w:r>
        <w:rPr>
          <w:spacing w:val="-19"/>
        </w:rPr>
        <w:t xml:space="preserve"> </w:t>
      </w:r>
      <w:r>
        <w:t>to</w:t>
      </w:r>
      <w:r>
        <w:rPr>
          <w:spacing w:val="-18"/>
        </w:rPr>
        <w:t xml:space="preserve"> </w:t>
      </w:r>
      <w:r>
        <w:t>different</w:t>
      </w:r>
      <w:r>
        <w:rPr>
          <w:spacing w:val="-19"/>
        </w:rPr>
        <w:t xml:space="preserve"> </w:t>
      </w:r>
      <w:r>
        <w:t>age</w:t>
      </w:r>
      <w:r>
        <w:rPr>
          <w:spacing w:val="-19"/>
        </w:rPr>
        <w:t xml:space="preserve"> </w:t>
      </w:r>
      <w:r>
        <w:t>groups,</w:t>
      </w:r>
      <w:r>
        <w:rPr>
          <w:spacing w:val="-15"/>
        </w:rPr>
        <w:t xml:space="preserve"> </w:t>
      </w:r>
      <w:r>
        <w:t>enhancing</w:t>
      </w:r>
      <w:r>
        <w:rPr>
          <w:spacing w:val="-19"/>
        </w:rPr>
        <w:t xml:space="preserve"> </w:t>
      </w:r>
      <w:r>
        <w:t>protective</w:t>
      </w:r>
      <w:r>
        <w:rPr>
          <w:spacing w:val="-18"/>
        </w:rPr>
        <w:t xml:space="preserve"> </w:t>
      </w:r>
      <w:r>
        <w:rPr>
          <w:spacing w:val="-3"/>
        </w:rPr>
        <w:t>efficacy.</w:t>
      </w:r>
      <w:r>
        <w:rPr>
          <w:spacing w:val="1"/>
        </w:rPr>
        <w:t xml:space="preserve"> </w:t>
      </w:r>
      <w:r>
        <w:t>This</w:t>
      </w:r>
      <w:r>
        <w:rPr>
          <w:spacing w:val="-18"/>
        </w:rPr>
        <w:t xml:space="preserve"> </w:t>
      </w:r>
      <w:r>
        <w:t>research</w:t>
      </w:r>
      <w:r>
        <w:rPr>
          <w:spacing w:val="-19"/>
        </w:rPr>
        <w:t xml:space="preserve"> </w:t>
      </w:r>
      <w:r>
        <w:t>offers</w:t>
      </w:r>
      <w:r>
        <w:rPr>
          <w:spacing w:val="-18"/>
        </w:rPr>
        <w:t xml:space="preserve"> </w:t>
      </w:r>
      <w:r>
        <w:t>valuable</w:t>
      </w:r>
      <w:r>
        <w:rPr>
          <w:spacing w:val="-19"/>
        </w:rPr>
        <w:t xml:space="preserve"> </w:t>
      </w:r>
      <w:r>
        <w:t>insights into</w:t>
      </w:r>
      <w:r>
        <w:rPr>
          <w:spacing w:val="-17"/>
        </w:rPr>
        <w:t xml:space="preserve"> </w:t>
      </w:r>
      <w:r>
        <w:t>antibody-mediated</w:t>
      </w:r>
      <w:r>
        <w:rPr>
          <w:spacing w:val="-17"/>
        </w:rPr>
        <w:t xml:space="preserve"> </w:t>
      </w:r>
      <w:r>
        <w:t>immunity,</w:t>
      </w:r>
      <w:r>
        <w:rPr>
          <w:spacing w:val="-15"/>
        </w:rPr>
        <w:t xml:space="preserve"> </w:t>
      </w:r>
      <w:r>
        <w:t>informing</w:t>
      </w:r>
      <w:r>
        <w:rPr>
          <w:spacing w:val="-16"/>
        </w:rPr>
        <w:t xml:space="preserve"> </w:t>
      </w:r>
      <w:r>
        <w:t>targeted</w:t>
      </w:r>
      <w:r>
        <w:rPr>
          <w:spacing w:val="-17"/>
        </w:rPr>
        <w:t xml:space="preserve"> </w:t>
      </w:r>
      <w:r>
        <w:t>immunization</w:t>
      </w:r>
      <w:r>
        <w:rPr>
          <w:spacing w:val="-17"/>
        </w:rPr>
        <w:t xml:space="preserve"> </w:t>
      </w:r>
      <w:r>
        <w:t>programs</w:t>
      </w:r>
      <w:r>
        <w:rPr>
          <w:spacing w:val="-16"/>
        </w:rPr>
        <w:t xml:space="preserve"> </w:t>
      </w:r>
      <w:r>
        <w:t>to</w:t>
      </w:r>
      <w:r>
        <w:rPr>
          <w:spacing w:val="-17"/>
        </w:rPr>
        <w:t xml:space="preserve"> </w:t>
      </w:r>
      <w:r>
        <w:t>maximize</w:t>
      </w:r>
      <w:r>
        <w:rPr>
          <w:spacing w:val="-16"/>
        </w:rPr>
        <w:t xml:space="preserve"> </w:t>
      </w:r>
      <w:r>
        <w:t xml:space="preserve">pro- </w:t>
      </w:r>
      <w:proofErr w:type="spellStart"/>
      <w:r>
        <w:t>tection</w:t>
      </w:r>
      <w:proofErr w:type="spellEnd"/>
      <w:r>
        <w:t xml:space="preserve"> across diverse</w:t>
      </w:r>
      <w:r>
        <w:rPr>
          <w:spacing w:val="-4"/>
        </w:rPr>
        <w:t xml:space="preserve"> </w:t>
      </w:r>
      <w:r>
        <w:t>demographics.</w:t>
      </w:r>
    </w:p>
    <w:p w14:paraId="12E5A66D" w14:textId="77777777" w:rsidR="00AE68F4" w:rsidRDefault="00000000">
      <w:pPr>
        <w:pStyle w:val="Heading1"/>
        <w:numPr>
          <w:ilvl w:val="0"/>
          <w:numId w:val="2"/>
        </w:numPr>
        <w:tabs>
          <w:tab w:val="left" w:pos="633"/>
          <w:tab w:val="left" w:pos="634"/>
        </w:tabs>
        <w:spacing w:before="251"/>
      </w:pPr>
      <w:r>
        <w:t>Materials and</w:t>
      </w:r>
      <w:r>
        <w:rPr>
          <w:spacing w:val="3"/>
        </w:rPr>
        <w:t xml:space="preserve"> </w:t>
      </w:r>
      <w:r>
        <w:t>Methods</w:t>
      </w:r>
    </w:p>
    <w:p w14:paraId="0F2E54FB" w14:textId="77777777" w:rsidR="00AE68F4" w:rsidRDefault="00000000">
      <w:pPr>
        <w:pStyle w:val="Heading2"/>
        <w:numPr>
          <w:ilvl w:val="1"/>
          <w:numId w:val="2"/>
        </w:numPr>
        <w:tabs>
          <w:tab w:val="left" w:pos="762"/>
          <w:tab w:val="left" w:pos="763"/>
        </w:tabs>
        <w:spacing w:before="222"/>
      </w:pPr>
      <w:bookmarkStart w:id="1" w:name="Sample_Collection_and_Definitions"/>
      <w:bookmarkEnd w:id="1"/>
      <w:r>
        <w:t>Sample Collection and</w:t>
      </w:r>
      <w:r>
        <w:rPr>
          <w:spacing w:val="6"/>
        </w:rPr>
        <w:t xml:space="preserve"> </w:t>
      </w:r>
      <w:r>
        <w:t>Definitions</w:t>
      </w:r>
    </w:p>
    <w:p w14:paraId="7F7EC931" w14:textId="77777777" w:rsidR="00AE68F4" w:rsidRDefault="00000000">
      <w:pPr>
        <w:pStyle w:val="BodyText"/>
        <w:spacing w:before="107" w:line="252" w:lineRule="auto"/>
        <w:ind w:right="795" w:firstLine="566"/>
        <w:jc w:val="both"/>
      </w:pPr>
      <w:r>
        <w:t xml:space="preserve">From August to December 2022, during the 6th and 7th peaks of COVID-19 in South Korea, a nationwide community-based surveillance study was conducted. This study </w:t>
      </w:r>
      <w:r>
        <w:rPr>
          <w:spacing w:val="-3"/>
        </w:rPr>
        <w:t xml:space="preserve">involved </w:t>
      </w:r>
      <w:r>
        <w:t xml:space="preserve">258 public health centers and 113 private medical facilities across 259 cities and counties. </w:t>
      </w:r>
      <w:r>
        <w:rPr>
          <w:spacing w:val="-12"/>
        </w:rPr>
        <w:t xml:space="preserve">A </w:t>
      </w:r>
      <w:r>
        <w:t>representative</w:t>
      </w:r>
      <w:r>
        <w:rPr>
          <w:spacing w:val="-12"/>
        </w:rPr>
        <w:t xml:space="preserve"> </w:t>
      </w:r>
      <w:r>
        <w:t>sample</w:t>
      </w:r>
      <w:r>
        <w:rPr>
          <w:spacing w:val="-12"/>
        </w:rPr>
        <w:t xml:space="preserve"> </w:t>
      </w:r>
      <w:r>
        <w:t>of</w:t>
      </w:r>
      <w:r>
        <w:rPr>
          <w:spacing w:val="-12"/>
        </w:rPr>
        <w:t xml:space="preserve"> </w:t>
      </w:r>
      <w:r>
        <w:t>10,000</w:t>
      </w:r>
      <w:r>
        <w:rPr>
          <w:spacing w:val="-12"/>
        </w:rPr>
        <w:t xml:space="preserve"> </w:t>
      </w:r>
      <w:r>
        <w:t>individuals</w:t>
      </w:r>
      <w:r>
        <w:rPr>
          <w:spacing w:val="-11"/>
        </w:rPr>
        <w:t xml:space="preserve"> </w:t>
      </w:r>
      <w:r>
        <w:t>aged</w:t>
      </w:r>
      <w:r>
        <w:rPr>
          <w:spacing w:val="-12"/>
        </w:rPr>
        <w:t xml:space="preserve"> </w:t>
      </w:r>
      <w:r>
        <w:t>5</w:t>
      </w:r>
      <w:r>
        <w:rPr>
          <w:spacing w:val="-12"/>
        </w:rPr>
        <w:t xml:space="preserve"> </w:t>
      </w:r>
      <w:r>
        <w:t>and</w:t>
      </w:r>
      <w:r>
        <w:rPr>
          <w:spacing w:val="-12"/>
        </w:rPr>
        <w:t xml:space="preserve"> </w:t>
      </w:r>
      <w:r>
        <w:t>older</w:t>
      </w:r>
      <w:r>
        <w:rPr>
          <w:spacing w:val="-12"/>
        </w:rPr>
        <w:t xml:space="preserve"> </w:t>
      </w:r>
      <w:r>
        <w:t>was</w:t>
      </w:r>
      <w:r>
        <w:rPr>
          <w:spacing w:val="-11"/>
        </w:rPr>
        <w:t xml:space="preserve"> </w:t>
      </w:r>
      <w:r>
        <w:t>randomly</w:t>
      </w:r>
      <w:r>
        <w:rPr>
          <w:spacing w:val="-12"/>
        </w:rPr>
        <w:t xml:space="preserve"> </w:t>
      </w:r>
      <w:r>
        <w:t>selected</w:t>
      </w:r>
      <w:r>
        <w:rPr>
          <w:spacing w:val="-12"/>
        </w:rPr>
        <w:t xml:space="preserve"> </w:t>
      </w:r>
      <w:r>
        <w:t>from</w:t>
      </w:r>
      <w:r>
        <w:rPr>
          <w:spacing w:val="-12"/>
        </w:rPr>
        <w:t xml:space="preserve"> </w:t>
      </w:r>
      <w:r>
        <w:t>5,000 households.</w:t>
      </w:r>
      <w:r>
        <w:rPr>
          <w:spacing w:val="6"/>
        </w:rPr>
        <w:t xml:space="preserve"> </w:t>
      </w:r>
      <w:r>
        <w:t>Data</w:t>
      </w:r>
      <w:r>
        <w:rPr>
          <w:spacing w:val="-11"/>
        </w:rPr>
        <w:t xml:space="preserve"> </w:t>
      </w:r>
      <w:r>
        <w:t>collection</w:t>
      </w:r>
      <w:r>
        <w:rPr>
          <w:spacing w:val="-11"/>
        </w:rPr>
        <w:t xml:space="preserve"> </w:t>
      </w:r>
      <w:r>
        <w:t>was</w:t>
      </w:r>
      <w:r>
        <w:rPr>
          <w:spacing w:val="-12"/>
        </w:rPr>
        <w:t xml:space="preserve"> </w:t>
      </w:r>
      <w:r>
        <w:t>conducted</w:t>
      </w:r>
      <w:r>
        <w:rPr>
          <w:spacing w:val="-11"/>
        </w:rPr>
        <w:t xml:space="preserve"> </w:t>
      </w:r>
      <w:r>
        <w:t>through</w:t>
      </w:r>
      <w:r>
        <w:rPr>
          <w:spacing w:val="-11"/>
        </w:rPr>
        <w:t xml:space="preserve"> </w:t>
      </w:r>
      <w:r>
        <w:t>one-on-one</w:t>
      </w:r>
      <w:r>
        <w:rPr>
          <w:spacing w:val="-12"/>
        </w:rPr>
        <w:t xml:space="preserve"> </w:t>
      </w:r>
      <w:r>
        <w:t>interviews</w:t>
      </w:r>
      <w:r>
        <w:rPr>
          <w:spacing w:val="-12"/>
        </w:rPr>
        <w:t xml:space="preserve"> </w:t>
      </w:r>
      <w:r>
        <w:t>by</w:t>
      </w:r>
      <w:r>
        <w:rPr>
          <w:spacing w:val="-11"/>
        </w:rPr>
        <w:t xml:space="preserve"> </w:t>
      </w:r>
      <w:r>
        <w:t>trained</w:t>
      </w:r>
      <w:r>
        <w:rPr>
          <w:spacing w:val="-11"/>
        </w:rPr>
        <w:t xml:space="preserve"> </w:t>
      </w:r>
      <w:r>
        <w:rPr>
          <w:spacing w:val="-3"/>
        </w:rPr>
        <w:t xml:space="preserve">surveyors </w:t>
      </w:r>
      <w:r>
        <w:t>using tablets to ensure</w:t>
      </w:r>
      <w:r>
        <w:rPr>
          <w:spacing w:val="-5"/>
        </w:rPr>
        <w:t xml:space="preserve"> </w:t>
      </w:r>
      <w:r>
        <w:rPr>
          <w:spacing w:val="-3"/>
        </w:rPr>
        <w:t>accuracy.</w:t>
      </w:r>
    </w:p>
    <w:p w14:paraId="3DF95CDB" w14:textId="77777777" w:rsidR="00AE68F4" w:rsidRDefault="00000000">
      <w:pPr>
        <w:pStyle w:val="BodyText"/>
        <w:spacing w:line="252" w:lineRule="auto"/>
        <w:ind w:right="795" w:firstLine="566"/>
        <w:jc w:val="both"/>
      </w:pPr>
      <w:r>
        <w:rPr>
          <w:spacing w:val="-10"/>
        </w:rPr>
        <w:t xml:space="preserve">To </w:t>
      </w:r>
      <w:r>
        <w:t xml:space="preserve">verify reported COVID-19 cases, individual responses were corroborated with S and N antibody </w:t>
      </w:r>
      <w:r>
        <w:rPr>
          <w:spacing w:val="-3"/>
        </w:rPr>
        <w:t xml:space="preserve">activity. </w:t>
      </w:r>
      <w:r>
        <w:t xml:space="preserve">According to Khoury et al. (2021) and Feng et al. (2021), </w:t>
      </w:r>
      <w:r>
        <w:rPr>
          <w:spacing w:val="-5"/>
        </w:rPr>
        <w:t xml:space="preserve">SARS-CoV-2 </w:t>
      </w:r>
      <w:r>
        <w:t>infection activates both N and S antibodies, whereas COVID-19 vaccination primarily</w:t>
      </w:r>
      <w:r>
        <w:rPr>
          <w:spacing w:val="-14"/>
        </w:rPr>
        <w:t xml:space="preserve"> </w:t>
      </w:r>
      <w:r>
        <w:t>induces S</w:t>
      </w:r>
      <w:r>
        <w:rPr>
          <w:spacing w:val="-9"/>
        </w:rPr>
        <w:t xml:space="preserve"> </w:t>
      </w:r>
      <w:r>
        <w:t>antibody</w:t>
      </w:r>
      <w:r>
        <w:rPr>
          <w:spacing w:val="-8"/>
        </w:rPr>
        <w:t xml:space="preserve"> </w:t>
      </w:r>
      <w:r>
        <w:rPr>
          <w:spacing w:val="-3"/>
        </w:rPr>
        <w:t>activity.</w:t>
      </w:r>
      <w:r>
        <w:rPr>
          <w:spacing w:val="10"/>
        </w:rPr>
        <w:t xml:space="preserve"> </w:t>
      </w:r>
      <w:r>
        <w:t>Therefore,</w:t>
      </w:r>
      <w:r>
        <w:rPr>
          <w:spacing w:val="-8"/>
        </w:rPr>
        <w:t xml:space="preserve"> </w:t>
      </w:r>
      <w:r>
        <w:t>the</w:t>
      </w:r>
      <w:r>
        <w:rPr>
          <w:spacing w:val="-8"/>
        </w:rPr>
        <w:t xml:space="preserve"> </w:t>
      </w:r>
      <w:r>
        <w:t>presence</w:t>
      </w:r>
      <w:r>
        <w:rPr>
          <w:spacing w:val="-8"/>
        </w:rPr>
        <w:t xml:space="preserve"> </w:t>
      </w:r>
      <w:r>
        <w:t>of</w:t>
      </w:r>
      <w:r>
        <w:rPr>
          <w:spacing w:val="-8"/>
        </w:rPr>
        <w:t xml:space="preserve"> </w:t>
      </w:r>
      <w:r>
        <w:t>N</w:t>
      </w:r>
      <w:r>
        <w:rPr>
          <w:spacing w:val="-8"/>
        </w:rPr>
        <w:t xml:space="preserve"> </w:t>
      </w:r>
      <w:r>
        <w:t>antibodies</w:t>
      </w:r>
      <w:r>
        <w:rPr>
          <w:spacing w:val="-8"/>
        </w:rPr>
        <w:t xml:space="preserve"> </w:t>
      </w:r>
      <w:r>
        <w:t>indicates</w:t>
      </w:r>
      <w:r>
        <w:rPr>
          <w:spacing w:val="-8"/>
        </w:rPr>
        <w:t xml:space="preserve"> </w:t>
      </w:r>
      <w:r>
        <w:t>infection.</w:t>
      </w:r>
      <w:r>
        <w:rPr>
          <w:spacing w:val="9"/>
        </w:rPr>
        <w:t xml:space="preserve"> </w:t>
      </w:r>
      <w:r>
        <w:t>Infection</w:t>
      </w:r>
      <w:r>
        <w:rPr>
          <w:spacing w:val="-8"/>
        </w:rPr>
        <w:t xml:space="preserve"> </w:t>
      </w:r>
      <w:r>
        <w:t>status was</w:t>
      </w:r>
      <w:r>
        <w:rPr>
          <w:spacing w:val="-5"/>
        </w:rPr>
        <w:t xml:space="preserve"> </w:t>
      </w:r>
      <w:r>
        <w:t>confirmed</w:t>
      </w:r>
      <w:r>
        <w:rPr>
          <w:spacing w:val="-4"/>
        </w:rPr>
        <w:t xml:space="preserve"> </w:t>
      </w:r>
      <w:r>
        <w:t>based</w:t>
      </w:r>
      <w:r>
        <w:rPr>
          <w:spacing w:val="-4"/>
        </w:rPr>
        <w:t xml:space="preserve"> </w:t>
      </w:r>
      <w:r>
        <w:t>on</w:t>
      </w:r>
      <w:r>
        <w:rPr>
          <w:spacing w:val="-4"/>
        </w:rPr>
        <w:t xml:space="preserve"> </w:t>
      </w:r>
      <w:proofErr w:type="spellStart"/>
      <w:r>
        <w:t>N</w:t>
      </w:r>
      <w:proofErr w:type="spellEnd"/>
      <w:r>
        <w:rPr>
          <w:spacing w:val="-5"/>
        </w:rPr>
        <w:t xml:space="preserve"> </w:t>
      </w:r>
      <w:r>
        <w:t>antibody</w:t>
      </w:r>
      <w:r>
        <w:rPr>
          <w:spacing w:val="-4"/>
        </w:rPr>
        <w:t xml:space="preserve"> </w:t>
      </w:r>
      <w:r>
        <w:rPr>
          <w:spacing w:val="-3"/>
        </w:rPr>
        <w:t xml:space="preserve">activity, </w:t>
      </w:r>
      <w:r>
        <w:t>providing</w:t>
      </w:r>
      <w:r>
        <w:rPr>
          <w:spacing w:val="-5"/>
        </w:rPr>
        <w:t xml:space="preserve"> </w:t>
      </w:r>
      <w:r>
        <w:t>a</w:t>
      </w:r>
      <w:r>
        <w:rPr>
          <w:spacing w:val="-4"/>
        </w:rPr>
        <w:t xml:space="preserve"> </w:t>
      </w:r>
      <w:r>
        <w:t>reliable</w:t>
      </w:r>
      <w:r>
        <w:rPr>
          <w:spacing w:val="-5"/>
        </w:rPr>
        <w:t xml:space="preserve"> </w:t>
      </w:r>
      <w:r>
        <w:t>assessment</w:t>
      </w:r>
      <w:r>
        <w:rPr>
          <w:spacing w:val="-3"/>
        </w:rPr>
        <w:t xml:space="preserve"> </w:t>
      </w:r>
      <w:r>
        <w:t>and</w:t>
      </w:r>
      <w:r>
        <w:rPr>
          <w:spacing w:val="-4"/>
        </w:rPr>
        <w:t xml:space="preserve"> </w:t>
      </w:r>
      <w:r>
        <w:t>correcting</w:t>
      </w:r>
      <w:r>
        <w:rPr>
          <w:spacing w:val="-5"/>
        </w:rPr>
        <w:t xml:space="preserve"> </w:t>
      </w:r>
      <w:r>
        <w:t>for potential inaccuracies in self-reported</w:t>
      </w:r>
      <w:r>
        <w:rPr>
          <w:spacing w:val="-5"/>
        </w:rPr>
        <w:t xml:space="preserve"> </w:t>
      </w:r>
      <w:r>
        <w:t>data.</w:t>
      </w:r>
    </w:p>
    <w:p w14:paraId="226C015F" w14:textId="77777777" w:rsidR="00AE68F4" w:rsidRDefault="00000000">
      <w:pPr>
        <w:pStyle w:val="BodyText"/>
        <w:spacing w:line="252" w:lineRule="auto"/>
        <w:ind w:right="552" w:firstLine="566"/>
      </w:pPr>
      <w:r>
        <w:t>From an immunological perspective, the population can be classified into four distinct groups:</w:t>
      </w:r>
      <w:r>
        <w:rPr>
          <w:spacing w:val="-4"/>
        </w:rPr>
        <w:t xml:space="preserve"> </w:t>
      </w:r>
      <w:r>
        <w:t>hybrid-induced</w:t>
      </w:r>
      <w:r>
        <w:rPr>
          <w:spacing w:val="-22"/>
        </w:rPr>
        <w:t xml:space="preserve"> </w:t>
      </w:r>
      <w:r>
        <w:t>immunity</w:t>
      </w:r>
      <w:r>
        <w:rPr>
          <w:spacing w:val="-21"/>
        </w:rPr>
        <w:t xml:space="preserve"> </w:t>
      </w:r>
      <w:r>
        <w:t>(S+N+),</w:t>
      </w:r>
      <w:r>
        <w:rPr>
          <w:spacing w:val="-19"/>
        </w:rPr>
        <w:t xml:space="preserve"> </w:t>
      </w:r>
      <w:r>
        <w:t>vaccine-induced</w:t>
      </w:r>
      <w:r>
        <w:rPr>
          <w:spacing w:val="-21"/>
        </w:rPr>
        <w:t xml:space="preserve"> </w:t>
      </w:r>
      <w:r>
        <w:t>immunity</w:t>
      </w:r>
      <w:r>
        <w:rPr>
          <w:spacing w:val="-22"/>
        </w:rPr>
        <w:t xml:space="preserve"> </w:t>
      </w:r>
      <w:r>
        <w:t>(S+N-),</w:t>
      </w:r>
      <w:r>
        <w:rPr>
          <w:spacing w:val="-19"/>
        </w:rPr>
        <w:t xml:space="preserve"> </w:t>
      </w:r>
      <w:r>
        <w:t xml:space="preserve">infection-induced immunity (S-N+), and naive (S-N-). This classification is consistent with current </w:t>
      </w:r>
      <w:proofErr w:type="spellStart"/>
      <w:r>
        <w:t>immunolog</w:t>
      </w:r>
      <w:proofErr w:type="spellEnd"/>
      <w:r>
        <w:t xml:space="preserve">- </w:t>
      </w:r>
      <w:proofErr w:type="spellStart"/>
      <w:r>
        <w:t>ical</w:t>
      </w:r>
      <w:proofErr w:type="spellEnd"/>
      <w:r>
        <w:t xml:space="preserve"> understanding and aligns with findings from related studies (Levin et al., 2021; Garcia- Beltran et al.,</w:t>
      </w:r>
      <w:r>
        <w:rPr>
          <w:spacing w:val="-4"/>
        </w:rPr>
        <w:t xml:space="preserve"> </w:t>
      </w:r>
      <w:r>
        <w:t>2021).</w:t>
      </w:r>
    </w:p>
    <w:p w14:paraId="247D5BC0" w14:textId="77777777" w:rsidR="00AE68F4" w:rsidRDefault="00000000">
      <w:pPr>
        <w:pStyle w:val="BodyText"/>
        <w:spacing w:before="3"/>
        <w:ind w:left="0"/>
      </w:pPr>
      <w:r>
        <w:rPr>
          <w:noProof/>
        </w:rPr>
        <w:drawing>
          <wp:anchor distT="0" distB="0" distL="0" distR="0" simplePos="0" relativeHeight="7" behindDoc="0" locked="0" layoutInCell="1" allowOverlap="1" wp14:anchorId="5ECBEDD7" wp14:editId="507031C3">
            <wp:simplePos x="0" y="0"/>
            <wp:positionH relativeFrom="page">
              <wp:posOffset>965453</wp:posOffset>
            </wp:positionH>
            <wp:positionV relativeFrom="paragraph">
              <wp:posOffset>202489</wp:posOffset>
            </wp:positionV>
            <wp:extent cx="5557265" cy="21406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557265" cy="2140648"/>
                    </a:xfrm>
                    <a:prstGeom prst="rect">
                      <a:avLst/>
                    </a:prstGeom>
                  </pic:spPr>
                </pic:pic>
              </a:graphicData>
            </a:graphic>
          </wp:anchor>
        </w:drawing>
      </w:r>
    </w:p>
    <w:p w14:paraId="78359E1A" w14:textId="77777777" w:rsidR="00AE68F4" w:rsidRDefault="00AE68F4">
      <w:pPr>
        <w:pStyle w:val="BodyText"/>
        <w:spacing w:before="6"/>
        <w:ind w:left="0"/>
        <w:rPr>
          <w:sz w:val="28"/>
        </w:rPr>
      </w:pPr>
    </w:p>
    <w:p w14:paraId="3BFF44FB" w14:textId="77777777" w:rsidR="00AE68F4" w:rsidRDefault="00000000">
      <w:pPr>
        <w:pStyle w:val="BodyText"/>
        <w:ind w:left="1872"/>
      </w:pPr>
      <w:r>
        <w:t>Figure 1: Flow Chart Illustrating the Cohort Study Design</w:t>
      </w:r>
    </w:p>
    <w:p w14:paraId="4B061CA3" w14:textId="77777777" w:rsidR="00AE68F4" w:rsidRDefault="00AE68F4">
      <w:pPr>
        <w:pStyle w:val="BodyText"/>
        <w:spacing w:before="5"/>
        <w:ind w:left="0"/>
        <w:rPr>
          <w:sz w:val="41"/>
        </w:rPr>
      </w:pPr>
    </w:p>
    <w:p w14:paraId="44856FAF" w14:textId="77777777" w:rsidR="00AE68F4" w:rsidRDefault="00000000">
      <w:pPr>
        <w:pStyle w:val="Heading2"/>
        <w:numPr>
          <w:ilvl w:val="1"/>
          <w:numId w:val="2"/>
        </w:numPr>
        <w:tabs>
          <w:tab w:val="left" w:pos="762"/>
          <w:tab w:val="left" w:pos="763"/>
        </w:tabs>
      </w:pPr>
      <w:bookmarkStart w:id="2" w:name="Cohort_Study_Design_and_Regression_Model"/>
      <w:bookmarkEnd w:id="2"/>
      <w:r>
        <w:t>Cohort Study Design and Regression</w:t>
      </w:r>
      <w:r>
        <w:rPr>
          <w:spacing w:val="14"/>
        </w:rPr>
        <w:t xml:space="preserve"> </w:t>
      </w:r>
      <w:r>
        <w:t>Model</w:t>
      </w:r>
    </w:p>
    <w:p w14:paraId="4E1A5794" w14:textId="77777777" w:rsidR="00AE68F4" w:rsidRDefault="00000000">
      <w:pPr>
        <w:pStyle w:val="BodyText"/>
        <w:spacing w:before="107" w:line="242" w:lineRule="auto"/>
        <w:ind w:right="795" w:firstLine="566"/>
        <w:jc w:val="both"/>
      </w:pPr>
      <w:r>
        <w:rPr>
          <w:spacing w:val="-10"/>
        </w:rPr>
        <w:t xml:space="preserve">To </w:t>
      </w:r>
      <w:r>
        <w:t xml:space="preserve">investigate changes in S antibody levels, a cohort study design was implemented (Figure 1). Unlike the case-control study design, which tracks confirmed infection records, this cohort study began with four distinct immunity types: hybrid-induced immunity </w:t>
      </w:r>
      <w:r>
        <w:rPr>
          <w:spacing w:val="5"/>
        </w:rPr>
        <w:t>(</w:t>
      </w:r>
      <w:r>
        <w:rPr>
          <w:rFonts w:ascii="Garamond"/>
          <w:i/>
          <w:spacing w:val="5"/>
        </w:rPr>
        <w:t>S</w:t>
      </w:r>
      <w:r>
        <w:rPr>
          <w:rFonts w:ascii="Goudy Stout"/>
          <w:spacing w:val="5"/>
          <w:vertAlign w:val="superscript"/>
        </w:rPr>
        <w:t>+</w:t>
      </w:r>
      <w:r>
        <w:rPr>
          <w:rFonts w:ascii="Garamond"/>
          <w:i/>
          <w:spacing w:val="5"/>
        </w:rPr>
        <w:t>N</w:t>
      </w:r>
      <w:r>
        <w:rPr>
          <w:rFonts w:ascii="Garamond"/>
          <w:i/>
          <w:spacing w:val="-35"/>
        </w:rPr>
        <w:t xml:space="preserve"> </w:t>
      </w:r>
      <w:r>
        <w:rPr>
          <w:rFonts w:ascii="Goudy Stout"/>
          <w:spacing w:val="3"/>
          <w:vertAlign w:val="superscript"/>
        </w:rPr>
        <w:t>+</w:t>
      </w:r>
      <w:r>
        <w:rPr>
          <w:spacing w:val="3"/>
        </w:rPr>
        <w:t>),</w:t>
      </w:r>
    </w:p>
    <w:p w14:paraId="639E9BC9" w14:textId="77777777" w:rsidR="00AE68F4" w:rsidRDefault="00AE68F4">
      <w:pPr>
        <w:spacing w:line="242" w:lineRule="auto"/>
        <w:jc w:val="both"/>
        <w:sectPr w:rsidR="00AE68F4">
          <w:pgSz w:w="11910" w:h="16840"/>
          <w:pgMar w:top="1340" w:right="620" w:bottom="1040" w:left="1300" w:header="0" w:footer="840" w:gutter="0"/>
          <w:cols w:space="720"/>
        </w:sectPr>
      </w:pPr>
    </w:p>
    <w:p w14:paraId="56CB51BF" w14:textId="77777777" w:rsidR="00AE68F4" w:rsidRDefault="00000000">
      <w:pPr>
        <w:pStyle w:val="BodyText"/>
        <w:spacing w:before="54" w:line="247" w:lineRule="auto"/>
        <w:ind w:right="795"/>
        <w:jc w:val="both"/>
      </w:pPr>
      <w:r>
        <w:lastRenderedPageBreak/>
        <w:t>vaccine-induced immunity (</w:t>
      </w:r>
      <w:r>
        <w:rPr>
          <w:rFonts w:ascii="Garamond" w:hAnsi="Garamond"/>
          <w:i/>
        </w:rPr>
        <w:t>S</w:t>
      </w:r>
      <w:r>
        <w:rPr>
          <w:rFonts w:ascii="Goudy Stout" w:hAnsi="Goudy Stout"/>
          <w:vertAlign w:val="superscript"/>
        </w:rPr>
        <w:t>+</w:t>
      </w:r>
      <w:r>
        <w:rPr>
          <w:rFonts w:ascii="Garamond" w:hAnsi="Garamond"/>
          <w:i/>
        </w:rPr>
        <w:t>N</w:t>
      </w:r>
      <w:r>
        <w:rPr>
          <w:rFonts w:ascii="Arial" w:hAnsi="Arial"/>
          <w:i/>
          <w:vertAlign w:val="superscript"/>
        </w:rPr>
        <w:t>−</w:t>
      </w:r>
      <w:r>
        <w:t>), infection-induced immunity (</w:t>
      </w:r>
      <w:r>
        <w:rPr>
          <w:rFonts w:ascii="Garamond" w:hAnsi="Garamond"/>
          <w:i/>
        </w:rPr>
        <w:t>S</w:t>
      </w:r>
      <w:r>
        <w:rPr>
          <w:rFonts w:ascii="Arial" w:hAnsi="Arial"/>
          <w:i/>
          <w:vertAlign w:val="superscript"/>
        </w:rPr>
        <w:t>−</w:t>
      </w:r>
      <w:r>
        <w:rPr>
          <w:rFonts w:ascii="Garamond" w:hAnsi="Garamond"/>
          <w:i/>
        </w:rPr>
        <w:t xml:space="preserve">N </w:t>
      </w:r>
      <w:r>
        <w:rPr>
          <w:rFonts w:ascii="Goudy Stout" w:hAnsi="Goudy Stout"/>
          <w:vertAlign w:val="superscript"/>
        </w:rPr>
        <w:t>+</w:t>
      </w:r>
      <w:r>
        <w:t>), and naive (</w:t>
      </w:r>
      <w:r>
        <w:rPr>
          <w:rFonts w:ascii="Garamond" w:hAnsi="Garamond"/>
          <w:i/>
        </w:rPr>
        <w:t>S</w:t>
      </w:r>
      <w:r>
        <w:rPr>
          <w:rFonts w:ascii="Arial" w:hAnsi="Arial"/>
          <w:i/>
          <w:vertAlign w:val="superscript"/>
        </w:rPr>
        <w:t>−</w:t>
      </w:r>
      <w:r>
        <w:rPr>
          <w:rFonts w:ascii="Garamond" w:hAnsi="Garamond"/>
          <w:i/>
        </w:rPr>
        <w:t>N</w:t>
      </w:r>
      <w:r>
        <w:rPr>
          <w:rFonts w:ascii="Arial" w:hAnsi="Arial"/>
          <w:i/>
          <w:vertAlign w:val="superscript"/>
        </w:rPr>
        <w:t>−</w:t>
      </w:r>
      <w:r>
        <w:t xml:space="preserve">). The outcome measurements in this study were the S antibody levels at the second surveillance point, while the exposure measurements included S antibody levels at the first surveillance point, immunity type, and immunological events occurring between surveillance points. Par- </w:t>
      </w:r>
      <w:proofErr w:type="spellStart"/>
      <w:r>
        <w:t>ticipants</w:t>
      </w:r>
      <w:proofErr w:type="spellEnd"/>
      <w:r>
        <w:t xml:space="preserve"> who did not participate in the second survey were excluded, resulting in a cohort of 6,686 participants.</w:t>
      </w:r>
    </w:p>
    <w:p w14:paraId="510C0386" w14:textId="77777777" w:rsidR="00AE68F4" w:rsidRDefault="00000000">
      <w:pPr>
        <w:pStyle w:val="BodyText"/>
        <w:spacing w:line="252" w:lineRule="auto"/>
        <w:ind w:right="795" w:firstLine="566"/>
        <w:jc w:val="both"/>
      </w:pPr>
      <w:r>
        <w:t xml:space="preserve">Notably, the hybrid-induced and vaccine-induced immunity groups comprised over </w:t>
      </w:r>
      <w:r>
        <w:rPr>
          <w:spacing w:val="-4"/>
        </w:rPr>
        <w:t xml:space="preserve">98% </w:t>
      </w:r>
      <w:r>
        <w:t xml:space="preserve">of the cohort population. Consequently, subsequent research focused primarily on these two groups. </w:t>
      </w:r>
      <w:r>
        <w:rPr>
          <w:spacing w:val="-10"/>
        </w:rPr>
        <w:t xml:space="preserve">To </w:t>
      </w:r>
      <w:r>
        <w:t>compare the protective capacity of these two main groups, Kaplan-Meier survival analysis was applied, focusing on the probability of remaining free from COVID-19 infection following</w:t>
      </w:r>
      <w:r>
        <w:rPr>
          <w:spacing w:val="-17"/>
        </w:rPr>
        <w:t xml:space="preserve"> </w:t>
      </w:r>
      <w:r>
        <w:t>the</w:t>
      </w:r>
      <w:r>
        <w:rPr>
          <w:spacing w:val="-18"/>
        </w:rPr>
        <w:t xml:space="preserve"> </w:t>
      </w:r>
      <w:r>
        <w:t>first</w:t>
      </w:r>
      <w:r>
        <w:rPr>
          <w:spacing w:val="-16"/>
        </w:rPr>
        <w:t xml:space="preserve"> </w:t>
      </w:r>
      <w:r>
        <w:t>surveillance.</w:t>
      </w:r>
      <w:r>
        <w:rPr>
          <w:spacing w:val="3"/>
        </w:rPr>
        <w:t xml:space="preserve"> </w:t>
      </w:r>
      <w:r>
        <w:t>It</w:t>
      </w:r>
      <w:r>
        <w:rPr>
          <w:spacing w:val="-17"/>
        </w:rPr>
        <w:t xml:space="preserve"> </w:t>
      </w:r>
      <w:r>
        <w:t>is</w:t>
      </w:r>
      <w:r>
        <w:rPr>
          <w:spacing w:val="-17"/>
        </w:rPr>
        <w:t xml:space="preserve"> </w:t>
      </w:r>
      <w:r>
        <w:t>important</w:t>
      </w:r>
      <w:r>
        <w:rPr>
          <w:spacing w:val="-17"/>
        </w:rPr>
        <w:t xml:space="preserve"> </w:t>
      </w:r>
      <w:r>
        <w:t>to</w:t>
      </w:r>
      <w:r>
        <w:rPr>
          <w:spacing w:val="-17"/>
        </w:rPr>
        <w:t xml:space="preserve"> </w:t>
      </w:r>
      <w:r>
        <w:t>note</w:t>
      </w:r>
      <w:r>
        <w:rPr>
          <w:spacing w:val="-17"/>
        </w:rPr>
        <w:t xml:space="preserve"> </w:t>
      </w:r>
      <w:r>
        <w:t>that</w:t>
      </w:r>
      <w:r>
        <w:rPr>
          <w:spacing w:val="-17"/>
        </w:rPr>
        <w:t xml:space="preserve"> </w:t>
      </w:r>
      <w:r>
        <w:t>individuals</w:t>
      </w:r>
      <w:r>
        <w:rPr>
          <w:spacing w:val="-18"/>
        </w:rPr>
        <w:t xml:space="preserve"> </w:t>
      </w:r>
      <w:r>
        <w:t>who</w:t>
      </w:r>
      <w:r>
        <w:rPr>
          <w:spacing w:val="-16"/>
        </w:rPr>
        <w:t xml:space="preserve"> </w:t>
      </w:r>
      <w:r>
        <w:t>received</w:t>
      </w:r>
      <w:r>
        <w:rPr>
          <w:spacing w:val="-18"/>
        </w:rPr>
        <w:t xml:space="preserve"> </w:t>
      </w:r>
      <w:r>
        <w:t>the</w:t>
      </w:r>
      <w:r>
        <w:rPr>
          <w:spacing w:val="-17"/>
        </w:rPr>
        <w:t xml:space="preserve"> </w:t>
      </w:r>
      <w:r>
        <w:rPr>
          <w:spacing w:val="-4"/>
        </w:rPr>
        <w:t xml:space="preserve">COVID- </w:t>
      </w:r>
      <w:r>
        <w:t>19 vaccine or booster were excluded from this survival</w:t>
      </w:r>
      <w:r>
        <w:rPr>
          <w:spacing w:val="-16"/>
        </w:rPr>
        <w:t xml:space="preserve"> </w:t>
      </w:r>
      <w:r>
        <w:t>analysis.</w:t>
      </w:r>
    </w:p>
    <w:p w14:paraId="54EFFE2D" w14:textId="77777777" w:rsidR="00AE68F4" w:rsidRDefault="00000000">
      <w:pPr>
        <w:pStyle w:val="BodyText"/>
        <w:spacing w:before="4"/>
        <w:ind w:left="0"/>
        <w:rPr>
          <w:sz w:val="27"/>
        </w:rPr>
      </w:pPr>
      <w:r>
        <w:rPr>
          <w:noProof/>
        </w:rPr>
        <w:drawing>
          <wp:anchor distT="0" distB="0" distL="0" distR="0" simplePos="0" relativeHeight="8" behindDoc="0" locked="0" layoutInCell="1" allowOverlap="1" wp14:anchorId="7B31EBD0" wp14:editId="453092EF">
            <wp:simplePos x="0" y="0"/>
            <wp:positionH relativeFrom="page">
              <wp:posOffset>1078368</wp:posOffset>
            </wp:positionH>
            <wp:positionV relativeFrom="paragraph">
              <wp:posOffset>224980</wp:posOffset>
            </wp:positionV>
            <wp:extent cx="5448681" cy="270433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448681" cy="2704338"/>
                    </a:xfrm>
                    <a:prstGeom prst="rect">
                      <a:avLst/>
                    </a:prstGeom>
                  </pic:spPr>
                </pic:pic>
              </a:graphicData>
            </a:graphic>
          </wp:anchor>
        </w:drawing>
      </w:r>
    </w:p>
    <w:p w14:paraId="15F6DDAA" w14:textId="77777777" w:rsidR="00AE68F4" w:rsidRDefault="00000000">
      <w:pPr>
        <w:pStyle w:val="BodyText"/>
        <w:spacing w:before="165"/>
        <w:ind w:left="2407"/>
      </w:pPr>
      <w:r>
        <w:t>Table 1: Summary table of cohort study design</w:t>
      </w:r>
    </w:p>
    <w:p w14:paraId="3AA28A04" w14:textId="77777777" w:rsidR="00AE68F4" w:rsidRDefault="00AE68F4">
      <w:pPr>
        <w:pStyle w:val="BodyText"/>
        <w:spacing w:before="10"/>
        <w:ind w:left="0"/>
        <w:rPr>
          <w:sz w:val="32"/>
        </w:rPr>
      </w:pPr>
    </w:p>
    <w:p w14:paraId="08958B55" w14:textId="77777777" w:rsidR="00AE68F4" w:rsidRDefault="00000000">
      <w:pPr>
        <w:pStyle w:val="BodyText"/>
        <w:spacing w:line="252" w:lineRule="auto"/>
        <w:ind w:right="795" w:firstLine="566"/>
        <w:jc w:val="both"/>
      </w:pPr>
      <w:r>
        <w:t xml:space="preserve">Within each immunity group, the outcome measurement was defined as infection status during the first and second surveillance periods, while the exposure measurement was the S antibody level recorded during the first surveillance. </w:t>
      </w:r>
      <w:r>
        <w:rPr>
          <w:spacing w:val="-10"/>
        </w:rPr>
        <w:t xml:space="preserve">To </w:t>
      </w:r>
      <w:r>
        <w:t xml:space="preserve">accurately assess the impact of S an- </w:t>
      </w:r>
      <w:proofErr w:type="spellStart"/>
      <w:r>
        <w:t>tibody</w:t>
      </w:r>
      <w:proofErr w:type="spellEnd"/>
      <w:r>
        <w:t xml:space="preserve"> levels on COVID-19 protection, specific exclusions were applied. Individuals who </w:t>
      </w:r>
      <w:r>
        <w:rPr>
          <w:spacing w:val="-4"/>
        </w:rPr>
        <w:t xml:space="preserve">did </w:t>
      </w:r>
      <w:r>
        <w:t xml:space="preserve">not participate in the second survey were excluded due to untracked infection status. </w:t>
      </w:r>
      <w:r>
        <w:rPr>
          <w:spacing w:val="-3"/>
        </w:rPr>
        <w:t xml:space="preserve">Addi- </w:t>
      </w:r>
      <w:proofErr w:type="spellStart"/>
      <w:r>
        <w:t>tionally</w:t>
      </w:r>
      <w:proofErr w:type="spellEnd"/>
      <w:r>
        <w:t>,</w:t>
      </w:r>
      <w:r>
        <w:rPr>
          <w:spacing w:val="-4"/>
        </w:rPr>
        <w:t xml:space="preserve"> </w:t>
      </w:r>
      <w:r>
        <w:t>those</w:t>
      </w:r>
      <w:r>
        <w:rPr>
          <w:spacing w:val="-3"/>
        </w:rPr>
        <w:t xml:space="preserve"> </w:t>
      </w:r>
      <w:r>
        <w:t>who</w:t>
      </w:r>
      <w:r>
        <w:rPr>
          <w:spacing w:val="-4"/>
        </w:rPr>
        <w:t xml:space="preserve"> </w:t>
      </w:r>
      <w:r>
        <w:t>received</w:t>
      </w:r>
      <w:r>
        <w:rPr>
          <w:spacing w:val="-4"/>
        </w:rPr>
        <w:t xml:space="preserve"> </w:t>
      </w:r>
      <w:r>
        <w:t>a</w:t>
      </w:r>
      <w:r>
        <w:rPr>
          <w:spacing w:val="-4"/>
        </w:rPr>
        <w:t xml:space="preserve"> </w:t>
      </w:r>
      <w:r>
        <w:t>vaccination</w:t>
      </w:r>
      <w:r>
        <w:rPr>
          <w:spacing w:val="-4"/>
        </w:rPr>
        <w:t xml:space="preserve"> </w:t>
      </w:r>
      <w:r>
        <w:t>between</w:t>
      </w:r>
      <w:r>
        <w:rPr>
          <w:spacing w:val="-4"/>
        </w:rPr>
        <w:t xml:space="preserve"> </w:t>
      </w:r>
      <w:r>
        <w:t>the</w:t>
      </w:r>
      <w:r>
        <w:rPr>
          <w:spacing w:val="-4"/>
        </w:rPr>
        <w:t xml:space="preserve"> </w:t>
      </w:r>
      <w:r>
        <w:t>two</w:t>
      </w:r>
      <w:r>
        <w:rPr>
          <w:spacing w:val="-4"/>
        </w:rPr>
        <w:t xml:space="preserve"> </w:t>
      </w:r>
      <w:r>
        <w:t>surveillance</w:t>
      </w:r>
      <w:r>
        <w:rPr>
          <w:spacing w:val="-4"/>
        </w:rPr>
        <w:t xml:space="preserve"> </w:t>
      </w:r>
      <w:r>
        <w:t>periods</w:t>
      </w:r>
      <w:r>
        <w:rPr>
          <w:spacing w:val="-4"/>
        </w:rPr>
        <w:t xml:space="preserve"> </w:t>
      </w:r>
      <w:r>
        <w:t>were</w:t>
      </w:r>
      <w:r>
        <w:rPr>
          <w:spacing w:val="-4"/>
        </w:rPr>
        <w:t xml:space="preserve"> </w:t>
      </w:r>
      <w:r>
        <w:t>excluded from</w:t>
      </w:r>
      <w:r>
        <w:rPr>
          <w:spacing w:val="-11"/>
        </w:rPr>
        <w:t xml:space="preserve"> </w:t>
      </w:r>
      <w:r>
        <w:t>both</w:t>
      </w:r>
      <w:r>
        <w:rPr>
          <w:spacing w:val="-10"/>
        </w:rPr>
        <w:t xml:space="preserve"> </w:t>
      </w:r>
      <w:r>
        <w:t>the</w:t>
      </w:r>
      <w:r>
        <w:rPr>
          <w:spacing w:val="-10"/>
        </w:rPr>
        <w:t xml:space="preserve"> </w:t>
      </w:r>
      <w:r>
        <w:t>case</w:t>
      </w:r>
      <w:r>
        <w:rPr>
          <w:spacing w:val="-11"/>
        </w:rPr>
        <w:t xml:space="preserve"> </w:t>
      </w:r>
      <w:r>
        <w:t>and</w:t>
      </w:r>
      <w:r>
        <w:rPr>
          <w:spacing w:val="-10"/>
        </w:rPr>
        <w:t xml:space="preserve"> </w:t>
      </w:r>
      <w:r>
        <w:t>control</w:t>
      </w:r>
      <w:r>
        <w:rPr>
          <w:spacing w:val="-10"/>
        </w:rPr>
        <w:t xml:space="preserve"> </w:t>
      </w:r>
      <w:r>
        <w:t>groups,</w:t>
      </w:r>
      <w:r>
        <w:rPr>
          <w:spacing w:val="-9"/>
        </w:rPr>
        <w:t xml:space="preserve"> </w:t>
      </w:r>
      <w:r>
        <w:t>as</w:t>
      </w:r>
      <w:r>
        <w:rPr>
          <w:spacing w:val="-10"/>
        </w:rPr>
        <w:t xml:space="preserve"> </w:t>
      </w:r>
      <w:r>
        <w:t>their</w:t>
      </w:r>
      <w:r>
        <w:rPr>
          <w:spacing w:val="-10"/>
        </w:rPr>
        <w:t xml:space="preserve"> </w:t>
      </w:r>
      <w:r>
        <w:t>initial</w:t>
      </w:r>
      <w:r>
        <w:rPr>
          <w:spacing w:val="-10"/>
        </w:rPr>
        <w:t xml:space="preserve"> </w:t>
      </w:r>
      <w:r>
        <w:t>S</w:t>
      </w:r>
      <w:r>
        <w:rPr>
          <w:spacing w:val="-10"/>
        </w:rPr>
        <w:t xml:space="preserve"> </w:t>
      </w:r>
      <w:r>
        <w:t>antibody</w:t>
      </w:r>
      <w:r>
        <w:rPr>
          <w:spacing w:val="-10"/>
        </w:rPr>
        <w:t xml:space="preserve"> </w:t>
      </w:r>
      <w:r>
        <w:t>levels</w:t>
      </w:r>
      <w:r>
        <w:rPr>
          <w:spacing w:val="-10"/>
        </w:rPr>
        <w:t xml:space="preserve"> </w:t>
      </w:r>
      <w:r>
        <w:t>would</w:t>
      </w:r>
      <w:r>
        <w:rPr>
          <w:spacing w:val="-11"/>
        </w:rPr>
        <w:t xml:space="preserve"> </w:t>
      </w:r>
      <w:r>
        <w:t>no</w:t>
      </w:r>
      <w:r>
        <w:rPr>
          <w:spacing w:val="-10"/>
        </w:rPr>
        <w:t xml:space="preserve"> </w:t>
      </w:r>
      <w:r>
        <w:t>longer</w:t>
      </w:r>
      <w:r>
        <w:rPr>
          <w:spacing w:val="-10"/>
        </w:rPr>
        <w:t xml:space="preserve"> </w:t>
      </w:r>
      <w:r>
        <w:t>be</w:t>
      </w:r>
      <w:r>
        <w:rPr>
          <w:spacing w:val="-10"/>
        </w:rPr>
        <w:t xml:space="preserve"> </w:t>
      </w:r>
      <w:r>
        <w:rPr>
          <w:spacing w:val="-5"/>
        </w:rPr>
        <w:t xml:space="preserve">valid </w:t>
      </w:r>
      <w:r>
        <w:t xml:space="preserve">indicators. Following these criteria, the case group comprised 612 individuals (14%), and </w:t>
      </w:r>
      <w:r>
        <w:rPr>
          <w:spacing w:val="-5"/>
        </w:rPr>
        <w:t xml:space="preserve">the </w:t>
      </w:r>
      <w:r>
        <w:t>control group included 3,993 individuals</w:t>
      </w:r>
      <w:r>
        <w:rPr>
          <w:spacing w:val="-7"/>
        </w:rPr>
        <w:t xml:space="preserve"> </w:t>
      </w:r>
      <w:r>
        <w:t>(85%).</w:t>
      </w:r>
    </w:p>
    <w:p w14:paraId="6C0EE11E" w14:textId="77777777" w:rsidR="00AE68F4" w:rsidRDefault="00000000">
      <w:pPr>
        <w:pStyle w:val="BodyText"/>
        <w:spacing w:line="252" w:lineRule="auto"/>
        <w:ind w:right="795" w:firstLine="566"/>
        <w:jc w:val="both"/>
      </w:pPr>
      <w:r>
        <w:t>The imbalance in the case-control cohort posed significant challenges for the regression model using the least squares method. To address this issue and mitigate the impact of con- founders, we employed the nested case-control (NCC) technique (Pearce, 2016; Richardson, 2004). This approach involves selecting a matched subset of controls from the same cohort for each case based on relevant characteristics, thereby ensuring comparability and enhancing the validity of the results.</w:t>
      </w:r>
    </w:p>
    <w:p w14:paraId="11DF204E" w14:textId="77777777" w:rsidR="00AE68F4" w:rsidRDefault="00AE68F4">
      <w:pPr>
        <w:spacing w:line="252" w:lineRule="auto"/>
        <w:jc w:val="both"/>
        <w:sectPr w:rsidR="00AE68F4">
          <w:pgSz w:w="11910" w:h="16840"/>
          <w:pgMar w:top="1340" w:right="620" w:bottom="1040" w:left="1300" w:header="0" w:footer="840" w:gutter="0"/>
          <w:cols w:space="720"/>
        </w:sectPr>
      </w:pPr>
    </w:p>
    <w:p w14:paraId="37E71319" w14:textId="77777777" w:rsidR="00AE68F4" w:rsidRDefault="00000000">
      <w:pPr>
        <w:pStyle w:val="Heading1"/>
        <w:numPr>
          <w:ilvl w:val="0"/>
          <w:numId w:val="2"/>
        </w:numPr>
        <w:tabs>
          <w:tab w:val="left" w:pos="633"/>
          <w:tab w:val="left" w:pos="634"/>
        </w:tabs>
      </w:pPr>
      <w:bookmarkStart w:id="3" w:name="Results"/>
      <w:bookmarkEnd w:id="3"/>
      <w:r>
        <w:lastRenderedPageBreak/>
        <w:t>Results</w:t>
      </w:r>
    </w:p>
    <w:p w14:paraId="36D479DA" w14:textId="77777777" w:rsidR="00AE68F4" w:rsidRDefault="00000000">
      <w:pPr>
        <w:pStyle w:val="Heading2"/>
        <w:numPr>
          <w:ilvl w:val="1"/>
          <w:numId w:val="2"/>
        </w:numPr>
        <w:tabs>
          <w:tab w:val="left" w:pos="762"/>
          <w:tab w:val="left" w:pos="763"/>
        </w:tabs>
        <w:spacing w:before="222"/>
      </w:pPr>
      <w:bookmarkStart w:id="4" w:name="Survival_Analysis_of_Immunity_Types_Acro"/>
      <w:bookmarkEnd w:id="4"/>
      <w:r>
        <w:t xml:space="preserve">Survival Analysis of Immunity </w:t>
      </w:r>
      <w:r>
        <w:rPr>
          <w:spacing w:val="-5"/>
        </w:rPr>
        <w:t xml:space="preserve">Types </w:t>
      </w:r>
      <w:r>
        <w:t>Across Age</w:t>
      </w:r>
      <w:r>
        <w:rPr>
          <w:spacing w:val="36"/>
        </w:rPr>
        <w:t xml:space="preserve"> </w:t>
      </w:r>
      <w:r>
        <w:t>Groups</w:t>
      </w:r>
    </w:p>
    <w:p w14:paraId="10537CE3" w14:textId="77777777" w:rsidR="00AE68F4" w:rsidRDefault="00000000">
      <w:pPr>
        <w:pStyle w:val="BodyText"/>
        <w:spacing w:before="107" w:line="249" w:lineRule="auto"/>
        <w:ind w:right="795" w:firstLine="566"/>
        <w:jc w:val="both"/>
      </w:pPr>
      <w:r>
        <w:t>The</w:t>
      </w:r>
      <w:r>
        <w:rPr>
          <w:spacing w:val="-6"/>
        </w:rPr>
        <w:t xml:space="preserve"> </w:t>
      </w:r>
      <w:r>
        <w:t>Kaplan-Meier</w:t>
      </w:r>
      <w:r>
        <w:rPr>
          <w:spacing w:val="-6"/>
        </w:rPr>
        <w:t xml:space="preserve"> </w:t>
      </w:r>
      <w:r>
        <w:t>survival</w:t>
      </w:r>
      <w:r>
        <w:rPr>
          <w:spacing w:val="-6"/>
        </w:rPr>
        <w:t xml:space="preserve"> </w:t>
      </w:r>
      <w:r>
        <w:t>analysis</w:t>
      </w:r>
      <w:r>
        <w:rPr>
          <w:spacing w:val="-5"/>
        </w:rPr>
        <w:t xml:space="preserve"> </w:t>
      </w:r>
      <w:r>
        <w:t>(Figure</w:t>
      </w:r>
      <w:r>
        <w:rPr>
          <w:spacing w:val="-6"/>
        </w:rPr>
        <w:t xml:space="preserve"> </w:t>
      </w:r>
      <w:r>
        <w:t>3)</w:t>
      </w:r>
      <w:r>
        <w:rPr>
          <w:spacing w:val="-6"/>
        </w:rPr>
        <w:t xml:space="preserve"> </w:t>
      </w:r>
      <w:r>
        <w:t>illustrates</w:t>
      </w:r>
      <w:r>
        <w:rPr>
          <w:spacing w:val="-5"/>
        </w:rPr>
        <w:t xml:space="preserve"> </w:t>
      </w:r>
      <w:r>
        <w:t>the</w:t>
      </w:r>
      <w:r>
        <w:rPr>
          <w:spacing w:val="-5"/>
        </w:rPr>
        <w:t xml:space="preserve"> </w:t>
      </w:r>
      <w:r>
        <w:t>survival</w:t>
      </w:r>
      <w:r>
        <w:rPr>
          <w:spacing w:val="-5"/>
        </w:rPr>
        <w:t xml:space="preserve"> </w:t>
      </w:r>
      <w:r>
        <w:t>probabilities,</w:t>
      </w:r>
      <w:r>
        <w:rPr>
          <w:spacing w:val="-5"/>
        </w:rPr>
        <w:t xml:space="preserve"> </w:t>
      </w:r>
      <w:r>
        <w:t xml:space="preserve">inter- </w:t>
      </w:r>
      <w:proofErr w:type="spellStart"/>
      <w:r>
        <w:t>preted</w:t>
      </w:r>
      <w:proofErr w:type="spellEnd"/>
      <w:r>
        <w:rPr>
          <w:spacing w:val="-7"/>
        </w:rPr>
        <w:t xml:space="preserve"> </w:t>
      </w:r>
      <w:r>
        <w:t>as</w:t>
      </w:r>
      <w:r>
        <w:rPr>
          <w:spacing w:val="-7"/>
        </w:rPr>
        <w:t xml:space="preserve"> </w:t>
      </w:r>
      <w:r>
        <w:t>being</w:t>
      </w:r>
      <w:r>
        <w:rPr>
          <w:spacing w:val="-7"/>
        </w:rPr>
        <w:t xml:space="preserve"> </w:t>
      </w:r>
      <w:r>
        <w:t>free</w:t>
      </w:r>
      <w:r>
        <w:rPr>
          <w:spacing w:val="-7"/>
        </w:rPr>
        <w:t xml:space="preserve"> </w:t>
      </w:r>
      <w:r>
        <w:t>from</w:t>
      </w:r>
      <w:r>
        <w:rPr>
          <w:spacing w:val="-6"/>
        </w:rPr>
        <w:t xml:space="preserve"> </w:t>
      </w:r>
      <w:r>
        <w:t>COVID-19</w:t>
      </w:r>
      <w:r>
        <w:rPr>
          <w:spacing w:val="-7"/>
        </w:rPr>
        <w:t xml:space="preserve"> </w:t>
      </w:r>
      <w:r>
        <w:t>infection,</w:t>
      </w:r>
      <w:r>
        <w:rPr>
          <w:spacing w:val="-7"/>
        </w:rPr>
        <w:t xml:space="preserve"> </w:t>
      </w:r>
      <w:r>
        <w:t>over</w:t>
      </w:r>
      <w:r>
        <w:rPr>
          <w:spacing w:val="-7"/>
        </w:rPr>
        <w:t xml:space="preserve"> </w:t>
      </w:r>
      <w:r>
        <w:t>time</w:t>
      </w:r>
      <w:r>
        <w:rPr>
          <w:spacing w:val="-6"/>
        </w:rPr>
        <w:t xml:space="preserve"> </w:t>
      </w:r>
      <w:r>
        <w:t>for</w:t>
      </w:r>
      <w:r>
        <w:rPr>
          <w:spacing w:val="-7"/>
        </w:rPr>
        <w:t xml:space="preserve"> </w:t>
      </w:r>
      <w:r>
        <w:t>populations</w:t>
      </w:r>
      <w:r>
        <w:rPr>
          <w:spacing w:val="-7"/>
        </w:rPr>
        <w:t xml:space="preserve"> </w:t>
      </w:r>
      <w:r>
        <w:t>with</w:t>
      </w:r>
      <w:r>
        <w:rPr>
          <w:spacing w:val="-7"/>
        </w:rPr>
        <w:t xml:space="preserve"> </w:t>
      </w:r>
      <w:r>
        <w:t xml:space="preserve">vaccine-induced and hybrid-induced immunity in our </w:t>
      </w:r>
      <w:r>
        <w:rPr>
          <w:spacing w:val="-3"/>
        </w:rPr>
        <w:t xml:space="preserve">study. </w:t>
      </w:r>
      <w:r>
        <w:t xml:space="preserve">The analysis reveals significant differences in </w:t>
      </w:r>
      <w:r>
        <w:rPr>
          <w:spacing w:val="-5"/>
        </w:rPr>
        <w:t xml:space="preserve">sur- </w:t>
      </w:r>
      <w:proofErr w:type="spellStart"/>
      <w:r>
        <w:rPr>
          <w:spacing w:val="-3"/>
        </w:rPr>
        <w:t>vival</w:t>
      </w:r>
      <w:proofErr w:type="spellEnd"/>
      <w:r>
        <w:rPr>
          <w:spacing w:val="-3"/>
        </w:rPr>
        <w:t xml:space="preserve"> </w:t>
      </w:r>
      <w:r>
        <w:t xml:space="preserve">probabilities between these two immunity types across various age groups. Individuals with hybrid-induced immunity consistently exhibit higher survival probabilities compared </w:t>
      </w:r>
      <w:r>
        <w:rPr>
          <w:spacing w:val="-7"/>
        </w:rPr>
        <w:t xml:space="preserve">to </w:t>
      </w:r>
      <w:r>
        <w:t xml:space="preserve">those with vaccine-induced immunity. Specifically, after one and a half years, the </w:t>
      </w:r>
      <w:r>
        <w:rPr>
          <w:spacing w:val="-4"/>
        </w:rPr>
        <w:t xml:space="preserve">survival </w:t>
      </w:r>
      <w:r>
        <w:t>probability</w:t>
      </w:r>
      <w:r>
        <w:rPr>
          <w:spacing w:val="-5"/>
        </w:rPr>
        <w:t xml:space="preserve"> </w:t>
      </w:r>
      <w:r>
        <w:t>for</w:t>
      </w:r>
      <w:r>
        <w:rPr>
          <w:spacing w:val="-4"/>
        </w:rPr>
        <w:t xml:space="preserve"> </w:t>
      </w:r>
      <w:r>
        <w:t>hybrid-induced</w:t>
      </w:r>
      <w:r>
        <w:rPr>
          <w:spacing w:val="-4"/>
        </w:rPr>
        <w:t xml:space="preserve"> </w:t>
      </w:r>
      <w:r>
        <w:t>immunity</w:t>
      </w:r>
      <w:r>
        <w:rPr>
          <w:spacing w:val="-4"/>
        </w:rPr>
        <w:t xml:space="preserve"> </w:t>
      </w:r>
      <w:r>
        <w:t>is</w:t>
      </w:r>
      <w:r>
        <w:rPr>
          <w:spacing w:val="-4"/>
        </w:rPr>
        <w:t xml:space="preserve"> </w:t>
      </w:r>
      <w:r>
        <w:t>98%,</w:t>
      </w:r>
      <w:r>
        <w:rPr>
          <w:spacing w:val="-4"/>
        </w:rPr>
        <w:t xml:space="preserve"> </w:t>
      </w:r>
      <w:r>
        <w:t>whereas</w:t>
      </w:r>
      <w:r>
        <w:rPr>
          <w:spacing w:val="-4"/>
        </w:rPr>
        <w:t xml:space="preserve"> </w:t>
      </w:r>
      <w:r>
        <w:t>it</w:t>
      </w:r>
      <w:r>
        <w:rPr>
          <w:spacing w:val="-4"/>
        </w:rPr>
        <w:t xml:space="preserve"> </w:t>
      </w:r>
      <w:r>
        <w:t>is</w:t>
      </w:r>
      <w:r>
        <w:rPr>
          <w:spacing w:val="-4"/>
        </w:rPr>
        <w:t xml:space="preserve"> </w:t>
      </w:r>
      <w:r>
        <w:t>approximately</w:t>
      </w:r>
      <w:r>
        <w:rPr>
          <w:spacing w:val="-5"/>
        </w:rPr>
        <w:t xml:space="preserve"> </w:t>
      </w:r>
      <w:r>
        <w:t>60%</w:t>
      </w:r>
      <w:r>
        <w:rPr>
          <w:spacing w:val="-4"/>
        </w:rPr>
        <w:t xml:space="preserve"> </w:t>
      </w:r>
      <w:r>
        <w:t>for</w:t>
      </w:r>
      <w:r>
        <w:rPr>
          <w:spacing w:val="-4"/>
        </w:rPr>
        <w:t xml:space="preserve"> </w:t>
      </w:r>
      <w:r>
        <w:t>vaccine- induced immunity. This trend is particularly pronounced in the younger age group (</w:t>
      </w:r>
      <w:r>
        <w:rPr>
          <w:rFonts w:ascii="Garamond"/>
          <w:i/>
        </w:rPr>
        <w:t xml:space="preserve">&lt; </w:t>
      </w:r>
      <w:r>
        <w:rPr>
          <w:rFonts w:ascii="Bernard MT Condensed"/>
          <w:spacing w:val="-4"/>
        </w:rPr>
        <w:t>20</w:t>
      </w:r>
      <w:r>
        <w:rPr>
          <w:spacing w:val="-4"/>
        </w:rPr>
        <w:t xml:space="preserve">), </w:t>
      </w:r>
      <w:r>
        <w:t xml:space="preserve">where the survival probability for vaccine-induced immunity shows a steep decline starting around 5 months. In contrast, the hybrid-induced immunity group maintains a much more </w:t>
      </w:r>
      <w:proofErr w:type="spellStart"/>
      <w:r>
        <w:t>sta</w:t>
      </w:r>
      <w:proofErr w:type="spellEnd"/>
      <w:r>
        <w:t xml:space="preserve">- </w:t>
      </w:r>
      <w:proofErr w:type="spellStart"/>
      <w:r>
        <w:t>ble</w:t>
      </w:r>
      <w:proofErr w:type="spellEnd"/>
      <w:r>
        <w:t xml:space="preserve"> survival curve throughout the entire observation</w:t>
      </w:r>
      <w:r>
        <w:rPr>
          <w:spacing w:val="-12"/>
        </w:rPr>
        <w:t xml:space="preserve"> </w:t>
      </w:r>
      <w:r>
        <w:t>period.</w:t>
      </w:r>
    </w:p>
    <w:p w14:paraId="6DEAB806" w14:textId="77777777" w:rsidR="00AE68F4" w:rsidRDefault="00000000">
      <w:pPr>
        <w:pStyle w:val="BodyText"/>
        <w:spacing w:before="3"/>
        <w:ind w:left="0"/>
        <w:rPr>
          <w:sz w:val="26"/>
        </w:rPr>
      </w:pPr>
      <w:r>
        <w:rPr>
          <w:noProof/>
        </w:rPr>
        <w:drawing>
          <wp:anchor distT="0" distB="0" distL="0" distR="0" simplePos="0" relativeHeight="9" behindDoc="0" locked="0" layoutInCell="1" allowOverlap="1" wp14:anchorId="7381A4C7" wp14:editId="4F9B4AD9">
            <wp:simplePos x="0" y="0"/>
            <wp:positionH relativeFrom="page">
              <wp:posOffset>932252</wp:posOffset>
            </wp:positionH>
            <wp:positionV relativeFrom="paragraph">
              <wp:posOffset>216540</wp:posOffset>
            </wp:positionV>
            <wp:extent cx="5612130" cy="22197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12130" cy="2219705"/>
                    </a:xfrm>
                    <a:prstGeom prst="rect">
                      <a:avLst/>
                    </a:prstGeom>
                  </pic:spPr>
                </pic:pic>
              </a:graphicData>
            </a:graphic>
          </wp:anchor>
        </w:drawing>
      </w:r>
    </w:p>
    <w:p w14:paraId="60A2BAC9" w14:textId="77777777" w:rsidR="00AE68F4" w:rsidRDefault="00000000">
      <w:pPr>
        <w:pStyle w:val="BodyText"/>
        <w:spacing w:before="226"/>
        <w:ind w:left="2358"/>
      </w:pPr>
      <w:r>
        <w:t>Figure 2: Trajectory plot for different age group</w:t>
      </w:r>
    </w:p>
    <w:p w14:paraId="5DE48D8E" w14:textId="77777777" w:rsidR="00AE68F4" w:rsidRDefault="00AE68F4">
      <w:pPr>
        <w:pStyle w:val="BodyText"/>
        <w:spacing w:before="11"/>
        <w:ind w:left="0"/>
        <w:rPr>
          <w:sz w:val="32"/>
        </w:rPr>
      </w:pPr>
    </w:p>
    <w:p w14:paraId="241766F1" w14:textId="77777777" w:rsidR="00AE68F4" w:rsidRDefault="00000000">
      <w:pPr>
        <w:pStyle w:val="BodyText"/>
        <w:spacing w:line="247" w:lineRule="auto"/>
        <w:ind w:right="795" w:firstLine="566"/>
        <w:jc w:val="both"/>
      </w:pPr>
      <w:r>
        <w:pict w14:anchorId="139337AF">
          <v:shapetype id="_x0000_t202" coordsize="21600,21600" o:spt="202" path="m,l,21600r21600,l21600,xe">
            <v:stroke joinstyle="miter"/>
            <v:path gradientshapeok="t" o:connecttype="rect"/>
          </v:shapetype>
          <v:shape id="_x0000_s2054" type="#_x0000_t202" style="position:absolute;left:0;text-align:left;margin-left:287.85pt;margin-top:16.4pt;width:9.3pt;height:20.75pt;z-index:-252150784;mso-position-horizontal-relative:page" filled="f" stroked="f">
            <v:textbox inset="0,0,0,0">
              <w:txbxContent>
                <w:p w14:paraId="1269847C" w14:textId="77777777" w:rsidR="00AE68F4" w:rsidRDefault="00000000">
                  <w:pPr>
                    <w:spacing w:line="236" w:lineRule="exact"/>
                    <w:rPr>
                      <w:rFonts w:ascii="Arial" w:hAnsi="Arial"/>
                      <w:i/>
                      <w:sz w:val="24"/>
                    </w:rPr>
                  </w:pPr>
                  <w:r>
                    <w:rPr>
                      <w:rFonts w:ascii="Arial" w:hAnsi="Arial"/>
                      <w:i/>
                      <w:w w:val="132"/>
                      <w:sz w:val="24"/>
                    </w:rPr>
                    <w:t>−</w:t>
                  </w:r>
                </w:p>
              </w:txbxContent>
            </v:textbox>
            <w10:wrap anchorx="page"/>
          </v:shape>
        </w:pict>
      </w:r>
      <w:r>
        <w:rPr>
          <w:spacing w:val="-10"/>
        </w:rPr>
        <w:t xml:space="preserve">To </w:t>
      </w:r>
      <w:r>
        <w:t xml:space="preserve">provide a more detailed analysis of the declining patterns in the vaccine-induced im- munity groups, both the </w:t>
      </w:r>
      <w:proofErr w:type="gramStart"/>
      <w:r>
        <w:t xml:space="preserve">“ </w:t>
      </w:r>
      <w:r>
        <w:rPr>
          <w:rFonts w:ascii="Garamond" w:hAnsi="Garamond"/>
          <w:i/>
        </w:rPr>
        <w:t>&lt;</w:t>
      </w:r>
      <w:proofErr w:type="gramEnd"/>
      <w:r>
        <w:rPr>
          <w:rFonts w:ascii="Garamond" w:hAnsi="Garamond"/>
          <w:i/>
        </w:rPr>
        <w:t xml:space="preserve">  </w:t>
      </w:r>
      <w:r>
        <w:rPr>
          <w:rFonts w:ascii="Bernard MT Condensed" w:hAnsi="Bernard MT Condensed"/>
        </w:rPr>
        <w:t>20</w:t>
      </w:r>
      <w:r>
        <w:t xml:space="preserve">” and “ </w:t>
      </w:r>
      <w:r>
        <w:rPr>
          <w:rFonts w:ascii="Bernard MT Condensed" w:hAnsi="Bernard MT Condensed"/>
        </w:rPr>
        <w:t>20  60</w:t>
      </w:r>
      <w:r>
        <w:t xml:space="preserve">” age cohorts exhibited comparable trends.  They maintained a high level of survival probability during the first six months, which began to decline subsequently. Ultimately, the survival probabilities of these two groups dropped </w:t>
      </w:r>
      <w:r>
        <w:rPr>
          <w:spacing w:val="-6"/>
        </w:rPr>
        <w:t xml:space="preserve">to </w:t>
      </w:r>
      <w:r>
        <w:t>60%</w:t>
      </w:r>
      <w:r>
        <w:rPr>
          <w:spacing w:val="-10"/>
        </w:rPr>
        <w:t xml:space="preserve"> </w:t>
      </w:r>
      <w:r>
        <w:t>and</w:t>
      </w:r>
      <w:r>
        <w:rPr>
          <w:spacing w:val="-9"/>
        </w:rPr>
        <w:t xml:space="preserve"> </w:t>
      </w:r>
      <w:r>
        <w:t>then</w:t>
      </w:r>
      <w:r>
        <w:rPr>
          <w:spacing w:val="-9"/>
        </w:rPr>
        <w:t xml:space="preserve"> </w:t>
      </w:r>
      <w:r>
        <w:t>stabilized</w:t>
      </w:r>
      <w:r>
        <w:rPr>
          <w:spacing w:val="-9"/>
        </w:rPr>
        <w:t xml:space="preserve"> </w:t>
      </w:r>
      <w:r>
        <w:t>after</w:t>
      </w:r>
      <w:r>
        <w:rPr>
          <w:spacing w:val="-9"/>
        </w:rPr>
        <w:t xml:space="preserve"> </w:t>
      </w:r>
      <w:r>
        <w:t>one</w:t>
      </w:r>
      <w:r>
        <w:rPr>
          <w:spacing w:val="-10"/>
        </w:rPr>
        <w:t xml:space="preserve"> </w:t>
      </w:r>
      <w:r>
        <w:t>and</w:t>
      </w:r>
      <w:r>
        <w:rPr>
          <w:spacing w:val="-9"/>
        </w:rPr>
        <w:t xml:space="preserve"> </w:t>
      </w:r>
      <w:r>
        <w:t>a</w:t>
      </w:r>
      <w:r>
        <w:rPr>
          <w:spacing w:val="-9"/>
        </w:rPr>
        <w:t xml:space="preserve"> </w:t>
      </w:r>
      <w:r>
        <w:t>half</w:t>
      </w:r>
      <w:r>
        <w:rPr>
          <w:spacing w:val="-9"/>
        </w:rPr>
        <w:t xml:space="preserve"> </w:t>
      </w:r>
      <w:r>
        <w:t>years.</w:t>
      </w:r>
      <w:r>
        <w:rPr>
          <w:spacing w:val="8"/>
        </w:rPr>
        <w:t xml:space="preserve"> </w:t>
      </w:r>
      <w:r>
        <w:t>These</w:t>
      </w:r>
      <w:r>
        <w:rPr>
          <w:spacing w:val="-10"/>
        </w:rPr>
        <w:t xml:space="preserve"> </w:t>
      </w:r>
      <w:r>
        <w:t>findings</w:t>
      </w:r>
      <w:r>
        <w:rPr>
          <w:spacing w:val="-9"/>
        </w:rPr>
        <w:t xml:space="preserve"> </w:t>
      </w:r>
      <w:r>
        <w:t>suggest</w:t>
      </w:r>
      <w:r>
        <w:rPr>
          <w:spacing w:val="-9"/>
        </w:rPr>
        <w:t xml:space="preserve"> </w:t>
      </w:r>
      <w:r>
        <w:t>that</w:t>
      </w:r>
      <w:r>
        <w:rPr>
          <w:spacing w:val="-9"/>
        </w:rPr>
        <w:t xml:space="preserve"> </w:t>
      </w:r>
      <w:r>
        <w:t>tailored</w:t>
      </w:r>
      <w:r>
        <w:rPr>
          <w:spacing w:val="-9"/>
        </w:rPr>
        <w:t xml:space="preserve"> </w:t>
      </w:r>
      <w:r>
        <w:t xml:space="preserve">vaccina- </w:t>
      </w:r>
      <w:proofErr w:type="spellStart"/>
      <w:r>
        <w:t>tion</w:t>
      </w:r>
      <w:proofErr w:type="spellEnd"/>
      <w:r>
        <w:rPr>
          <w:spacing w:val="-10"/>
        </w:rPr>
        <w:t xml:space="preserve"> </w:t>
      </w:r>
      <w:r>
        <w:t>strategies,</w:t>
      </w:r>
      <w:r>
        <w:rPr>
          <w:spacing w:val="-9"/>
        </w:rPr>
        <w:t xml:space="preserve"> </w:t>
      </w:r>
      <w:r>
        <w:t>considering</w:t>
      </w:r>
      <w:r>
        <w:rPr>
          <w:spacing w:val="-9"/>
        </w:rPr>
        <w:t xml:space="preserve"> </w:t>
      </w:r>
      <w:r>
        <w:t>age-specific</w:t>
      </w:r>
      <w:r>
        <w:rPr>
          <w:spacing w:val="-10"/>
        </w:rPr>
        <w:t xml:space="preserve"> </w:t>
      </w:r>
      <w:r>
        <w:t>immune</w:t>
      </w:r>
      <w:r>
        <w:rPr>
          <w:spacing w:val="-10"/>
        </w:rPr>
        <w:t xml:space="preserve"> </w:t>
      </w:r>
      <w:r>
        <w:t>responses,</w:t>
      </w:r>
      <w:r>
        <w:rPr>
          <w:spacing w:val="-8"/>
        </w:rPr>
        <w:t xml:space="preserve"> </w:t>
      </w:r>
      <w:r>
        <w:t>are</w:t>
      </w:r>
      <w:r>
        <w:rPr>
          <w:spacing w:val="-10"/>
        </w:rPr>
        <w:t xml:space="preserve"> </w:t>
      </w:r>
      <w:r>
        <w:t>crucial</w:t>
      </w:r>
      <w:r>
        <w:rPr>
          <w:spacing w:val="-10"/>
        </w:rPr>
        <w:t xml:space="preserve"> </w:t>
      </w:r>
      <w:r>
        <w:t>for</w:t>
      </w:r>
      <w:r>
        <w:rPr>
          <w:spacing w:val="-8"/>
        </w:rPr>
        <w:t xml:space="preserve"> </w:t>
      </w:r>
      <w:r>
        <w:t>enhancing</w:t>
      </w:r>
      <w:r>
        <w:rPr>
          <w:spacing w:val="-10"/>
        </w:rPr>
        <w:t xml:space="preserve"> </w:t>
      </w:r>
      <w:r>
        <w:t>long-term protection against</w:t>
      </w:r>
      <w:r>
        <w:rPr>
          <w:spacing w:val="-3"/>
        </w:rPr>
        <w:t xml:space="preserve"> </w:t>
      </w:r>
      <w:r>
        <w:t>COVID-19.</w:t>
      </w:r>
    </w:p>
    <w:p w14:paraId="30D4E3AC" w14:textId="77777777" w:rsidR="00AE68F4" w:rsidRDefault="00000000">
      <w:pPr>
        <w:pStyle w:val="BodyText"/>
        <w:spacing w:before="12" w:line="252" w:lineRule="auto"/>
        <w:ind w:right="795" w:firstLine="566"/>
        <w:jc w:val="both"/>
      </w:pPr>
      <w:r>
        <w:rPr>
          <w:spacing w:val="-10"/>
        </w:rPr>
        <w:t xml:space="preserve">To </w:t>
      </w:r>
      <w:r>
        <w:t xml:space="preserve">better understand the reasons behind the survival probabilities of different immunity groups as well as age subgroups, we </w:t>
      </w:r>
      <w:proofErr w:type="spellStart"/>
      <w:r>
        <w:t>construsted</w:t>
      </w:r>
      <w:proofErr w:type="spellEnd"/>
      <w:r>
        <w:t xml:space="preserve"> the trajectory plot to track the average </w:t>
      </w:r>
      <w:r>
        <w:rPr>
          <w:spacing w:val="-3"/>
        </w:rPr>
        <w:t xml:space="preserve">change </w:t>
      </w:r>
      <w:r>
        <w:t>of</w:t>
      </w:r>
      <w:r>
        <w:rPr>
          <w:spacing w:val="-15"/>
        </w:rPr>
        <w:t xml:space="preserve"> </w:t>
      </w:r>
      <w:r>
        <w:t>S</w:t>
      </w:r>
      <w:r>
        <w:rPr>
          <w:spacing w:val="-13"/>
        </w:rPr>
        <w:t xml:space="preserve"> </w:t>
      </w:r>
      <w:r>
        <w:t>antibody</w:t>
      </w:r>
      <w:r>
        <w:rPr>
          <w:spacing w:val="-15"/>
        </w:rPr>
        <w:t xml:space="preserve"> </w:t>
      </w:r>
      <w:r>
        <w:t>levels</w:t>
      </w:r>
      <w:r>
        <w:rPr>
          <w:spacing w:val="-14"/>
        </w:rPr>
        <w:t xml:space="preserve"> </w:t>
      </w:r>
      <w:r>
        <w:t>after</w:t>
      </w:r>
      <w:r>
        <w:rPr>
          <w:spacing w:val="-14"/>
        </w:rPr>
        <w:t xml:space="preserve"> </w:t>
      </w:r>
      <w:r>
        <w:t>the</w:t>
      </w:r>
      <w:r>
        <w:rPr>
          <w:spacing w:val="-14"/>
        </w:rPr>
        <w:t xml:space="preserve"> </w:t>
      </w:r>
      <w:r>
        <w:t>immunological</w:t>
      </w:r>
      <w:r>
        <w:rPr>
          <w:spacing w:val="-14"/>
        </w:rPr>
        <w:t xml:space="preserve"> </w:t>
      </w:r>
      <w:r>
        <w:t>events.</w:t>
      </w:r>
      <w:r>
        <w:rPr>
          <w:spacing w:val="4"/>
        </w:rPr>
        <w:t xml:space="preserve"> </w:t>
      </w:r>
      <w:r>
        <w:t>Overall,</w:t>
      </w:r>
      <w:r>
        <w:rPr>
          <w:spacing w:val="-12"/>
        </w:rPr>
        <w:t xml:space="preserve"> </w:t>
      </w:r>
      <w:r>
        <w:t>hybrid-induced</w:t>
      </w:r>
      <w:r>
        <w:rPr>
          <w:spacing w:val="-15"/>
        </w:rPr>
        <w:t xml:space="preserve"> </w:t>
      </w:r>
      <w:r>
        <w:t>immunity</w:t>
      </w:r>
      <w:r>
        <w:rPr>
          <w:spacing w:val="-13"/>
        </w:rPr>
        <w:t xml:space="preserve"> </w:t>
      </w:r>
      <w:r>
        <w:t>can</w:t>
      </w:r>
      <w:r>
        <w:rPr>
          <w:spacing w:val="-14"/>
        </w:rPr>
        <w:t xml:space="preserve"> </w:t>
      </w:r>
      <w:r>
        <w:t xml:space="preserve">sus- </w:t>
      </w:r>
      <w:proofErr w:type="spellStart"/>
      <w:r>
        <w:t>tain</w:t>
      </w:r>
      <w:proofErr w:type="spellEnd"/>
      <w:r>
        <w:t xml:space="preserve"> a high level of S antibody (over 10,000) for one year before decreasing to 7,000, while</w:t>
      </w:r>
      <w:r>
        <w:rPr>
          <w:spacing w:val="-30"/>
        </w:rPr>
        <w:t xml:space="preserve"> </w:t>
      </w:r>
      <w:r>
        <w:t xml:space="preserve">the S antibody level in the vaccine-induced only group falls below the 5,000 threshold six months post-vaccination. These patterns align with the survival curves mentioned above, as the </w:t>
      </w:r>
      <w:r>
        <w:rPr>
          <w:spacing w:val="-3"/>
        </w:rPr>
        <w:t xml:space="preserve">prob- </w:t>
      </w:r>
      <w:r>
        <w:t>ability of survival in vaccine-induced groups decreases rapidly after six months. The plots demonstrate</w:t>
      </w:r>
      <w:r>
        <w:rPr>
          <w:spacing w:val="-5"/>
        </w:rPr>
        <w:t xml:space="preserve"> </w:t>
      </w:r>
      <w:r>
        <w:t>a</w:t>
      </w:r>
      <w:r>
        <w:rPr>
          <w:spacing w:val="-5"/>
        </w:rPr>
        <w:t xml:space="preserve"> </w:t>
      </w:r>
      <w:r>
        <w:t>high</w:t>
      </w:r>
      <w:r>
        <w:rPr>
          <w:spacing w:val="-5"/>
        </w:rPr>
        <w:t xml:space="preserve"> </w:t>
      </w:r>
      <w:r>
        <w:t>correlation</w:t>
      </w:r>
      <w:r>
        <w:rPr>
          <w:spacing w:val="-5"/>
        </w:rPr>
        <w:t xml:space="preserve"> </w:t>
      </w:r>
      <w:r>
        <w:t>between</w:t>
      </w:r>
      <w:r>
        <w:rPr>
          <w:spacing w:val="-5"/>
        </w:rPr>
        <w:t xml:space="preserve"> </w:t>
      </w:r>
      <w:r>
        <w:t>individual</w:t>
      </w:r>
      <w:r>
        <w:rPr>
          <w:spacing w:val="-5"/>
        </w:rPr>
        <w:t xml:space="preserve"> </w:t>
      </w:r>
      <w:r>
        <w:t>survival</w:t>
      </w:r>
      <w:r>
        <w:rPr>
          <w:spacing w:val="-5"/>
        </w:rPr>
        <w:t xml:space="preserve"> </w:t>
      </w:r>
      <w:r>
        <w:t>probability</w:t>
      </w:r>
      <w:r>
        <w:rPr>
          <w:spacing w:val="-5"/>
        </w:rPr>
        <w:t xml:space="preserve"> </w:t>
      </w:r>
      <w:r>
        <w:t>and</w:t>
      </w:r>
      <w:r>
        <w:rPr>
          <w:spacing w:val="-5"/>
        </w:rPr>
        <w:t xml:space="preserve"> </w:t>
      </w:r>
      <w:r>
        <w:t>S</w:t>
      </w:r>
      <w:r>
        <w:rPr>
          <w:spacing w:val="-5"/>
        </w:rPr>
        <w:t xml:space="preserve"> </w:t>
      </w:r>
      <w:r>
        <w:t>antibody</w:t>
      </w:r>
      <w:r>
        <w:rPr>
          <w:spacing w:val="-5"/>
        </w:rPr>
        <w:t xml:space="preserve"> </w:t>
      </w:r>
      <w:r>
        <w:t>levels.</w:t>
      </w:r>
    </w:p>
    <w:p w14:paraId="722F1932" w14:textId="77777777" w:rsidR="00AE68F4" w:rsidRDefault="00AE68F4">
      <w:pPr>
        <w:spacing w:line="252" w:lineRule="auto"/>
        <w:jc w:val="both"/>
        <w:sectPr w:rsidR="00AE68F4">
          <w:pgSz w:w="11910" w:h="16840"/>
          <w:pgMar w:top="1300" w:right="620" w:bottom="1040" w:left="1300" w:header="0" w:footer="840" w:gutter="0"/>
          <w:cols w:space="720"/>
        </w:sectPr>
      </w:pPr>
    </w:p>
    <w:p w14:paraId="13E67998" w14:textId="77777777" w:rsidR="00AE68F4" w:rsidRDefault="00000000">
      <w:pPr>
        <w:pStyle w:val="BodyText"/>
        <w:ind w:left="301"/>
        <w:rPr>
          <w:sz w:val="20"/>
        </w:rPr>
      </w:pPr>
      <w:r>
        <w:rPr>
          <w:noProof/>
          <w:sz w:val="20"/>
        </w:rPr>
        <w:lastRenderedPageBreak/>
        <w:drawing>
          <wp:inline distT="0" distB="0" distL="0" distR="0" wp14:anchorId="11CBE7AE" wp14:editId="5683AD0A">
            <wp:extent cx="5568029" cy="427053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568029" cy="4270533"/>
                    </a:xfrm>
                    <a:prstGeom prst="rect">
                      <a:avLst/>
                    </a:prstGeom>
                  </pic:spPr>
                </pic:pic>
              </a:graphicData>
            </a:graphic>
          </wp:inline>
        </w:drawing>
      </w:r>
    </w:p>
    <w:p w14:paraId="0BD37B63" w14:textId="77777777" w:rsidR="00AE68F4" w:rsidRDefault="00AE68F4">
      <w:pPr>
        <w:pStyle w:val="BodyText"/>
        <w:spacing w:before="7"/>
        <w:ind w:left="0"/>
        <w:rPr>
          <w:sz w:val="14"/>
        </w:rPr>
      </w:pPr>
    </w:p>
    <w:p w14:paraId="4B313D29" w14:textId="77777777" w:rsidR="00AE68F4" w:rsidRDefault="00000000">
      <w:pPr>
        <w:pStyle w:val="BodyText"/>
        <w:spacing w:before="97"/>
        <w:ind w:left="1191"/>
      </w:pPr>
      <w:r>
        <w:t>Figure 3: Survival Plot for Hybrid-induced and Vaccine-induced Groups</w:t>
      </w:r>
    </w:p>
    <w:p w14:paraId="3B043093" w14:textId="77777777" w:rsidR="00AE68F4" w:rsidRDefault="00AE68F4">
      <w:pPr>
        <w:pStyle w:val="BodyText"/>
        <w:ind w:left="0"/>
        <w:rPr>
          <w:sz w:val="20"/>
        </w:rPr>
      </w:pPr>
    </w:p>
    <w:p w14:paraId="2AC859B6" w14:textId="77777777" w:rsidR="00AE68F4" w:rsidRDefault="00000000">
      <w:pPr>
        <w:pStyle w:val="BodyText"/>
        <w:spacing w:before="5"/>
        <w:ind w:left="0"/>
        <w:rPr>
          <w:sz w:val="29"/>
        </w:rPr>
      </w:pPr>
      <w:r>
        <w:rPr>
          <w:noProof/>
        </w:rPr>
        <w:drawing>
          <wp:anchor distT="0" distB="0" distL="0" distR="0" simplePos="0" relativeHeight="11" behindDoc="0" locked="0" layoutInCell="1" allowOverlap="1" wp14:anchorId="149246A1" wp14:editId="4AAC5AD7">
            <wp:simplePos x="0" y="0"/>
            <wp:positionH relativeFrom="page">
              <wp:posOffset>1087999</wp:posOffset>
            </wp:positionH>
            <wp:positionV relativeFrom="paragraph">
              <wp:posOffset>240029</wp:posOffset>
            </wp:positionV>
            <wp:extent cx="5380863" cy="106622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380863" cy="1066228"/>
                    </a:xfrm>
                    <a:prstGeom prst="rect">
                      <a:avLst/>
                    </a:prstGeom>
                  </pic:spPr>
                </pic:pic>
              </a:graphicData>
            </a:graphic>
          </wp:anchor>
        </w:drawing>
      </w:r>
    </w:p>
    <w:p w14:paraId="63265A94" w14:textId="77777777" w:rsidR="00AE68F4" w:rsidRDefault="00AE68F4">
      <w:pPr>
        <w:pStyle w:val="BodyText"/>
        <w:spacing w:before="8"/>
        <w:ind w:left="0"/>
        <w:rPr>
          <w:sz w:val="17"/>
        </w:rPr>
      </w:pPr>
    </w:p>
    <w:p w14:paraId="516DDA33" w14:textId="77777777" w:rsidR="00AE68F4" w:rsidRDefault="00000000">
      <w:pPr>
        <w:pStyle w:val="BodyText"/>
        <w:spacing w:before="97"/>
        <w:ind w:left="2040"/>
      </w:pPr>
      <w:r>
        <w:t>Table 2: Cox Proportional Hazards Regression Results</w:t>
      </w:r>
    </w:p>
    <w:p w14:paraId="7E58A8B8" w14:textId="77777777" w:rsidR="00AE68F4" w:rsidRDefault="00AE68F4">
      <w:pPr>
        <w:pStyle w:val="BodyText"/>
        <w:spacing w:before="2"/>
        <w:ind w:left="0"/>
        <w:rPr>
          <w:sz w:val="26"/>
        </w:rPr>
      </w:pPr>
    </w:p>
    <w:p w14:paraId="2A4DA503" w14:textId="77777777" w:rsidR="00AE68F4" w:rsidRDefault="00000000">
      <w:pPr>
        <w:pStyle w:val="BodyText"/>
        <w:spacing w:line="252" w:lineRule="auto"/>
        <w:ind w:right="795" w:firstLine="566"/>
        <w:jc w:val="both"/>
      </w:pPr>
      <w:r>
        <w:t xml:space="preserve">After performing a Kaplan-Meier survival analysis and observing significant differences in survival probabilities between different groups, we also conducted a Cox proportional </w:t>
      </w:r>
      <w:proofErr w:type="spellStart"/>
      <w:r>
        <w:t>haz</w:t>
      </w:r>
      <w:proofErr w:type="spellEnd"/>
      <w:r>
        <w:t xml:space="preserve">- </w:t>
      </w:r>
      <w:proofErr w:type="spellStart"/>
      <w:r>
        <w:t>ards</w:t>
      </w:r>
      <w:proofErr w:type="spellEnd"/>
      <w:r>
        <w:t xml:space="preserve"> regression to examine of the effect of multiple variables on survival time, adjusting for confounding factors, and providing a more comprehensive understanding of the risk factors involved.</w:t>
      </w:r>
    </w:p>
    <w:p w14:paraId="7FC03BD4" w14:textId="77777777" w:rsidR="00AE68F4" w:rsidRDefault="00000000">
      <w:pPr>
        <w:pStyle w:val="BodyText"/>
        <w:spacing w:line="252" w:lineRule="auto"/>
        <w:ind w:right="795" w:firstLine="566"/>
        <w:jc w:val="both"/>
      </w:pPr>
      <w:r>
        <w:t>The</w:t>
      </w:r>
      <w:r>
        <w:rPr>
          <w:spacing w:val="-10"/>
        </w:rPr>
        <w:t xml:space="preserve"> </w:t>
      </w:r>
      <w:r>
        <w:t>coefficient</w:t>
      </w:r>
      <w:r>
        <w:rPr>
          <w:spacing w:val="-11"/>
        </w:rPr>
        <w:t xml:space="preserve"> </w:t>
      </w:r>
      <w:r>
        <w:t>for</w:t>
      </w:r>
      <w:r>
        <w:rPr>
          <w:spacing w:val="-10"/>
        </w:rPr>
        <w:t xml:space="preserve"> </w:t>
      </w:r>
      <w:r>
        <w:t>hybrid-induced</w:t>
      </w:r>
      <w:r>
        <w:rPr>
          <w:spacing w:val="-10"/>
        </w:rPr>
        <w:t xml:space="preserve"> </w:t>
      </w:r>
      <w:r>
        <w:t>group</w:t>
      </w:r>
      <w:r>
        <w:rPr>
          <w:spacing w:val="-10"/>
        </w:rPr>
        <w:t xml:space="preserve"> </w:t>
      </w:r>
      <w:r>
        <w:t>is</w:t>
      </w:r>
      <w:r>
        <w:rPr>
          <w:spacing w:val="-10"/>
        </w:rPr>
        <w:t xml:space="preserve"> </w:t>
      </w:r>
      <w:r>
        <w:t>-2.38,</w:t>
      </w:r>
      <w:r>
        <w:rPr>
          <w:spacing w:val="-9"/>
        </w:rPr>
        <w:t xml:space="preserve"> </w:t>
      </w:r>
      <w:r>
        <w:t>indicating</w:t>
      </w:r>
      <w:r>
        <w:rPr>
          <w:spacing w:val="-10"/>
        </w:rPr>
        <w:t xml:space="preserve"> </w:t>
      </w:r>
      <w:r>
        <w:t>a</w:t>
      </w:r>
      <w:r>
        <w:rPr>
          <w:spacing w:val="-10"/>
        </w:rPr>
        <w:t xml:space="preserve"> </w:t>
      </w:r>
      <w:r>
        <w:t>substantial</w:t>
      </w:r>
      <w:r>
        <w:rPr>
          <w:spacing w:val="-10"/>
        </w:rPr>
        <w:t xml:space="preserve"> </w:t>
      </w:r>
      <w:r>
        <w:t>reduction</w:t>
      </w:r>
      <w:r>
        <w:rPr>
          <w:spacing w:val="-11"/>
        </w:rPr>
        <w:t xml:space="preserve"> </w:t>
      </w:r>
      <w:r>
        <w:t>in</w:t>
      </w:r>
      <w:r>
        <w:rPr>
          <w:spacing w:val="-9"/>
        </w:rPr>
        <w:t xml:space="preserve"> </w:t>
      </w:r>
      <w:r>
        <w:rPr>
          <w:spacing w:val="-5"/>
        </w:rPr>
        <w:t xml:space="preserve">the </w:t>
      </w:r>
      <w:r>
        <w:t>hazard of infection or death for individuals with hybrid-induced immunity compared to those with vaccine-induced immunity. The hazard ratio (exp(</w:t>
      </w:r>
      <w:proofErr w:type="spellStart"/>
      <w:r>
        <w:t>coef</w:t>
      </w:r>
      <w:proofErr w:type="spellEnd"/>
      <w:r>
        <w:t xml:space="preserve">)) is 0.09, meaning hybrid-induced immunity reduces the risk to approximately 9% of that for vaccine-induced immunity. </w:t>
      </w:r>
      <w:r>
        <w:rPr>
          <w:spacing w:val="-5"/>
        </w:rPr>
        <w:t xml:space="preserve">The </w:t>
      </w:r>
      <w:r>
        <w:t>result is highly</w:t>
      </w:r>
      <w:r>
        <w:rPr>
          <w:spacing w:val="-4"/>
        </w:rPr>
        <w:t xml:space="preserve"> </w:t>
      </w:r>
      <w:r>
        <w:t>significant.</w:t>
      </w:r>
    </w:p>
    <w:p w14:paraId="0CC428C2" w14:textId="77777777" w:rsidR="00AE68F4" w:rsidRDefault="00000000">
      <w:pPr>
        <w:pStyle w:val="BodyText"/>
        <w:spacing w:line="252" w:lineRule="auto"/>
        <w:ind w:right="795" w:firstLine="566"/>
        <w:jc w:val="both"/>
      </w:pPr>
      <w:r>
        <w:t>For</w:t>
      </w:r>
      <w:r>
        <w:rPr>
          <w:spacing w:val="-10"/>
        </w:rPr>
        <w:t xml:space="preserve"> </w:t>
      </w:r>
      <w:r>
        <w:t>the</w:t>
      </w:r>
      <w:r>
        <w:rPr>
          <w:spacing w:val="-9"/>
        </w:rPr>
        <w:t xml:space="preserve"> </w:t>
      </w:r>
      <w:r>
        <w:t>age</w:t>
      </w:r>
      <w:r>
        <w:rPr>
          <w:spacing w:val="-10"/>
        </w:rPr>
        <w:t xml:space="preserve"> </w:t>
      </w:r>
      <w:r>
        <w:t>category</w:t>
      </w:r>
      <w:r>
        <w:rPr>
          <w:spacing w:val="-9"/>
        </w:rPr>
        <w:t xml:space="preserve"> </w:t>
      </w:r>
      <w:r>
        <w:t>20-40,</w:t>
      </w:r>
      <w:r>
        <w:rPr>
          <w:spacing w:val="-9"/>
        </w:rPr>
        <w:t xml:space="preserve"> </w:t>
      </w:r>
      <w:r>
        <w:t>the</w:t>
      </w:r>
      <w:r>
        <w:rPr>
          <w:spacing w:val="-10"/>
        </w:rPr>
        <w:t xml:space="preserve"> </w:t>
      </w:r>
      <w:r>
        <w:t>coefficient</w:t>
      </w:r>
      <w:r>
        <w:rPr>
          <w:spacing w:val="-9"/>
        </w:rPr>
        <w:t xml:space="preserve"> </w:t>
      </w:r>
      <w:r>
        <w:t>is</w:t>
      </w:r>
      <w:r>
        <w:rPr>
          <w:spacing w:val="-10"/>
        </w:rPr>
        <w:t xml:space="preserve"> </w:t>
      </w:r>
      <w:r>
        <w:t>-0.86with</w:t>
      </w:r>
      <w:r>
        <w:rPr>
          <w:spacing w:val="-9"/>
        </w:rPr>
        <w:t xml:space="preserve"> </w:t>
      </w:r>
      <w:r>
        <w:t>a</w:t>
      </w:r>
      <w:r>
        <w:rPr>
          <w:spacing w:val="-9"/>
        </w:rPr>
        <w:t xml:space="preserve"> </w:t>
      </w:r>
      <w:r>
        <w:t>hazard</w:t>
      </w:r>
      <w:r>
        <w:rPr>
          <w:spacing w:val="-10"/>
        </w:rPr>
        <w:t xml:space="preserve"> </w:t>
      </w:r>
      <w:r>
        <w:t>ratio</w:t>
      </w:r>
      <w:r>
        <w:rPr>
          <w:spacing w:val="-9"/>
        </w:rPr>
        <w:t xml:space="preserve"> </w:t>
      </w:r>
      <w:r>
        <w:t>of</w:t>
      </w:r>
      <w:r>
        <w:rPr>
          <w:spacing w:val="-10"/>
        </w:rPr>
        <w:t xml:space="preserve"> </w:t>
      </w:r>
      <w:r>
        <w:t>0.42,</w:t>
      </w:r>
      <w:r>
        <w:rPr>
          <w:spacing w:val="-9"/>
        </w:rPr>
        <w:t xml:space="preserve"> </w:t>
      </w:r>
      <w:r>
        <w:t>indicating</w:t>
      </w:r>
      <w:r>
        <w:rPr>
          <w:spacing w:val="-9"/>
        </w:rPr>
        <w:t xml:space="preserve"> </w:t>
      </w:r>
      <w:r>
        <w:rPr>
          <w:spacing w:val="-14"/>
        </w:rPr>
        <w:t xml:space="preserve">a </w:t>
      </w:r>
      <w:r>
        <w:t>42%</w:t>
      </w:r>
      <w:r>
        <w:rPr>
          <w:spacing w:val="-5"/>
        </w:rPr>
        <w:t xml:space="preserve"> </w:t>
      </w:r>
      <w:r>
        <w:t>risk</w:t>
      </w:r>
      <w:r>
        <w:rPr>
          <w:spacing w:val="-5"/>
        </w:rPr>
        <w:t xml:space="preserve"> </w:t>
      </w:r>
      <w:r>
        <w:t>relative</w:t>
      </w:r>
      <w:r>
        <w:rPr>
          <w:spacing w:val="-4"/>
        </w:rPr>
        <w:t xml:space="preserve"> </w:t>
      </w:r>
      <w:r>
        <w:t>to</w:t>
      </w:r>
      <w:r>
        <w:rPr>
          <w:spacing w:val="-5"/>
        </w:rPr>
        <w:t xml:space="preserve"> </w:t>
      </w:r>
      <w:r>
        <w:t>those</w:t>
      </w:r>
      <w:r>
        <w:rPr>
          <w:spacing w:val="-4"/>
        </w:rPr>
        <w:t xml:space="preserve"> </w:t>
      </w:r>
      <w:r>
        <w:t>under</w:t>
      </w:r>
      <w:r>
        <w:rPr>
          <w:spacing w:val="-5"/>
        </w:rPr>
        <w:t xml:space="preserve"> </w:t>
      </w:r>
      <w:r>
        <w:t>20</w:t>
      </w:r>
      <w:r>
        <w:rPr>
          <w:spacing w:val="-5"/>
        </w:rPr>
        <w:t xml:space="preserve"> </w:t>
      </w:r>
      <w:r>
        <w:t>(p</w:t>
      </w:r>
      <w:r>
        <w:rPr>
          <w:spacing w:val="-4"/>
        </w:rPr>
        <w:t xml:space="preserve"> </w:t>
      </w:r>
      <w:r>
        <w:t>=</w:t>
      </w:r>
      <w:r>
        <w:rPr>
          <w:spacing w:val="-5"/>
        </w:rPr>
        <w:t xml:space="preserve"> </w:t>
      </w:r>
      <w:r>
        <w:t>7.99e-07).</w:t>
      </w:r>
      <w:r>
        <w:rPr>
          <w:spacing w:val="10"/>
        </w:rPr>
        <w:t xml:space="preserve"> </w:t>
      </w:r>
      <w:r>
        <w:t>For</w:t>
      </w:r>
      <w:r>
        <w:rPr>
          <w:spacing w:val="-5"/>
        </w:rPr>
        <w:t xml:space="preserve"> </w:t>
      </w:r>
      <w:r>
        <w:t>ages</w:t>
      </w:r>
      <w:r>
        <w:rPr>
          <w:spacing w:val="-4"/>
        </w:rPr>
        <w:t xml:space="preserve"> </w:t>
      </w:r>
      <w:r>
        <w:t>40-60,</w:t>
      </w:r>
      <w:r>
        <w:rPr>
          <w:spacing w:val="-5"/>
        </w:rPr>
        <w:t xml:space="preserve"> </w:t>
      </w:r>
      <w:r>
        <w:t>the</w:t>
      </w:r>
      <w:r>
        <w:rPr>
          <w:spacing w:val="-4"/>
        </w:rPr>
        <w:t xml:space="preserve"> </w:t>
      </w:r>
      <w:r>
        <w:t>coefficient</w:t>
      </w:r>
      <w:r>
        <w:rPr>
          <w:spacing w:val="-5"/>
        </w:rPr>
        <w:t xml:space="preserve"> </w:t>
      </w:r>
      <w:r>
        <w:t>is</w:t>
      </w:r>
      <w:r>
        <w:rPr>
          <w:spacing w:val="-5"/>
        </w:rPr>
        <w:t xml:space="preserve"> </w:t>
      </w:r>
      <w:r>
        <w:t>-0.72</w:t>
      </w:r>
      <w:r>
        <w:rPr>
          <w:spacing w:val="-4"/>
        </w:rPr>
        <w:t xml:space="preserve"> </w:t>
      </w:r>
      <w:r>
        <w:t>with</w:t>
      </w:r>
    </w:p>
    <w:p w14:paraId="5C5C4DF3" w14:textId="77777777" w:rsidR="00AE68F4" w:rsidRDefault="00AE68F4">
      <w:pPr>
        <w:spacing w:line="252" w:lineRule="auto"/>
        <w:jc w:val="both"/>
        <w:sectPr w:rsidR="00AE68F4">
          <w:pgSz w:w="11910" w:h="16840"/>
          <w:pgMar w:top="1540" w:right="620" w:bottom="1040" w:left="1300" w:header="0" w:footer="840" w:gutter="0"/>
          <w:cols w:space="720"/>
        </w:sectPr>
      </w:pPr>
    </w:p>
    <w:p w14:paraId="5C275B50" w14:textId="77777777" w:rsidR="00AE68F4" w:rsidRDefault="00000000">
      <w:pPr>
        <w:pStyle w:val="BodyText"/>
        <w:spacing w:before="74" w:line="252" w:lineRule="auto"/>
        <w:ind w:right="795"/>
        <w:jc w:val="both"/>
      </w:pPr>
      <w:r>
        <w:lastRenderedPageBreak/>
        <w:t>a hazard ratio of 0.49, reflecting a 49% risk compared to those under 20 (p = 6.49e-06). For individuals over 60, the coefficient is -0.36 with a hazard ratio of 0.69, indicating a 69% risk relative to those under 20 (p = 0.0215).</w:t>
      </w:r>
    </w:p>
    <w:p w14:paraId="6CE6E573" w14:textId="77777777" w:rsidR="00AE68F4" w:rsidRDefault="00000000">
      <w:pPr>
        <w:pStyle w:val="Heading2"/>
        <w:numPr>
          <w:ilvl w:val="1"/>
          <w:numId w:val="2"/>
        </w:numPr>
        <w:tabs>
          <w:tab w:val="left" w:pos="762"/>
          <w:tab w:val="left" w:pos="763"/>
        </w:tabs>
        <w:spacing w:before="185"/>
      </w:pPr>
      <w:bookmarkStart w:id="5" w:name="Infection_Risk_Factors_Analysis"/>
      <w:bookmarkEnd w:id="5"/>
      <w:r>
        <w:t>Infection Risk Factors</w:t>
      </w:r>
      <w:r>
        <w:rPr>
          <w:spacing w:val="6"/>
        </w:rPr>
        <w:t xml:space="preserve"> </w:t>
      </w:r>
      <w:r>
        <w:t>Analysis</w:t>
      </w:r>
    </w:p>
    <w:p w14:paraId="70FD615D" w14:textId="77777777" w:rsidR="00AE68F4" w:rsidRDefault="00000000">
      <w:pPr>
        <w:pStyle w:val="BodyText"/>
        <w:spacing w:before="107" w:line="252" w:lineRule="auto"/>
        <w:ind w:right="795" w:firstLine="566"/>
        <w:jc w:val="both"/>
      </w:pPr>
      <w:r>
        <w:t xml:space="preserve">Among the cohort, the participants’ age ranged from 5 to 99 years (median 52 years; </w:t>
      </w:r>
      <w:r>
        <w:rPr>
          <w:spacing w:val="-5"/>
        </w:rPr>
        <w:t xml:space="preserve">in- </w:t>
      </w:r>
      <w:proofErr w:type="spellStart"/>
      <w:r>
        <w:t>terquartile</w:t>
      </w:r>
      <w:proofErr w:type="spellEnd"/>
      <w:r>
        <w:rPr>
          <w:spacing w:val="-7"/>
        </w:rPr>
        <w:t xml:space="preserve"> </w:t>
      </w:r>
      <w:r>
        <w:t>range</w:t>
      </w:r>
      <w:r>
        <w:rPr>
          <w:spacing w:val="-5"/>
        </w:rPr>
        <w:t xml:space="preserve"> </w:t>
      </w:r>
      <w:r>
        <w:t>[IQR],</w:t>
      </w:r>
      <w:r>
        <w:rPr>
          <w:spacing w:val="-6"/>
        </w:rPr>
        <w:t xml:space="preserve"> </w:t>
      </w:r>
      <w:r>
        <w:t>37–52</w:t>
      </w:r>
      <w:r>
        <w:rPr>
          <w:spacing w:val="-5"/>
        </w:rPr>
        <w:t xml:space="preserve"> </w:t>
      </w:r>
      <w:r>
        <w:t>years)</w:t>
      </w:r>
      <w:r>
        <w:rPr>
          <w:spacing w:val="-6"/>
        </w:rPr>
        <w:t xml:space="preserve"> </w:t>
      </w:r>
      <w:r>
        <w:t>and</w:t>
      </w:r>
      <w:r>
        <w:rPr>
          <w:spacing w:val="-5"/>
        </w:rPr>
        <w:t xml:space="preserve"> </w:t>
      </w:r>
      <w:r>
        <w:t>2106</w:t>
      </w:r>
      <w:r>
        <w:rPr>
          <w:spacing w:val="-6"/>
        </w:rPr>
        <w:t xml:space="preserve"> </w:t>
      </w:r>
      <w:r>
        <w:t>(43%)</w:t>
      </w:r>
      <w:r>
        <w:rPr>
          <w:spacing w:val="-6"/>
        </w:rPr>
        <w:t xml:space="preserve"> </w:t>
      </w:r>
      <w:r>
        <w:t>were</w:t>
      </w:r>
      <w:r>
        <w:rPr>
          <w:spacing w:val="-6"/>
        </w:rPr>
        <w:t xml:space="preserve"> </w:t>
      </w:r>
      <w:r>
        <w:t>male</w:t>
      </w:r>
      <w:r>
        <w:rPr>
          <w:spacing w:val="-6"/>
        </w:rPr>
        <w:t xml:space="preserve"> </w:t>
      </w:r>
      <w:r>
        <w:t>and</w:t>
      </w:r>
      <w:r>
        <w:rPr>
          <w:spacing w:val="-5"/>
        </w:rPr>
        <w:t xml:space="preserve"> </w:t>
      </w:r>
      <w:r>
        <w:t>2762</w:t>
      </w:r>
      <w:r>
        <w:rPr>
          <w:spacing w:val="-6"/>
        </w:rPr>
        <w:t xml:space="preserve"> </w:t>
      </w:r>
      <w:r>
        <w:t>(57%)</w:t>
      </w:r>
      <w:r>
        <w:rPr>
          <w:spacing w:val="-5"/>
        </w:rPr>
        <w:t xml:space="preserve"> </w:t>
      </w:r>
      <w:r>
        <w:t>were</w:t>
      </w:r>
      <w:r>
        <w:rPr>
          <w:spacing w:val="-6"/>
        </w:rPr>
        <w:t xml:space="preserve"> </w:t>
      </w:r>
      <w:r>
        <w:t>female. Briefly, the median age was 53 years (IQR, 35–68) for the case group, 51 years (IQR, 37–64) for the control</w:t>
      </w:r>
      <w:r>
        <w:rPr>
          <w:spacing w:val="-4"/>
        </w:rPr>
        <w:t xml:space="preserve"> </w:t>
      </w:r>
      <w:r>
        <w:t>group.</w:t>
      </w:r>
    </w:p>
    <w:p w14:paraId="438D1EE7" w14:textId="77777777" w:rsidR="00AE68F4" w:rsidRDefault="00000000">
      <w:pPr>
        <w:pStyle w:val="BodyText"/>
        <w:spacing w:line="249" w:lineRule="auto"/>
        <w:ind w:right="795" w:firstLine="566"/>
        <w:jc w:val="both"/>
      </w:pPr>
      <w:r>
        <w:pict w14:anchorId="5125C777">
          <v:shape id="_x0000_s2053" type="#_x0000_t202" style="position:absolute;left:0;text-align:left;margin-left:332.6pt;margin-top:59.7pt;width:52.6pt;height:20.75pt;z-index:-252148736;mso-position-horizontal-relative:page" filled="f" stroked="f">
            <v:textbox inset="0,0,0,0">
              <w:txbxContent>
                <w:p w14:paraId="74D34BCF" w14:textId="77777777" w:rsidR="00AE68F4" w:rsidRDefault="00000000">
                  <w:pPr>
                    <w:tabs>
                      <w:tab w:val="left" w:pos="865"/>
                    </w:tabs>
                    <w:spacing w:line="236" w:lineRule="exact"/>
                    <w:rPr>
                      <w:rFonts w:ascii="Arial" w:hAnsi="Arial"/>
                      <w:i/>
                      <w:sz w:val="24"/>
                    </w:rPr>
                  </w:pPr>
                  <w:r>
                    <w:rPr>
                      <w:rFonts w:ascii="Arial" w:hAnsi="Arial"/>
                      <w:i/>
                      <w:w w:val="135"/>
                      <w:sz w:val="24"/>
                    </w:rPr>
                    <w:t>−</w:t>
                  </w:r>
                  <w:r>
                    <w:rPr>
                      <w:rFonts w:ascii="Arial" w:hAnsi="Arial"/>
                      <w:i/>
                      <w:w w:val="135"/>
                      <w:sz w:val="24"/>
                    </w:rPr>
                    <w:tab/>
                  </w:r>
                  <w:r>
                    <w:rPr>
                      <w:rFonts w:ascii="Arial" w:hAnsi="Arial"/>
                      <w:i/>
                      <w:spacing w:val="-20"/>
                      <w:w w:val="135"/>
                      <w:sz w:val="24"/>
                    </w:rPr>
                    <w:t>−</w:t>
                  </w:r>
                </w:p>
              </w:txbxContent>
            </v:textbox>
            <w10:wrap anchorx="page"/>
          </v:shape>
        </w:pict>
      </w:r>
      <w:r>
        <w:t xml:space="preserve">Statistical significance was determined using nonparametric tests: the Mann-Whitney </w:t>
      </w:r>
      <w:r>
        <w:rPr>
          <w:spacing w:val="-11"/>
        </w:rPr>
        <w:t xml:space="preserve">U </w:t>
      </w:r>
      <w:r>
        <w:t xml:space="preserve">test and Kruskal-Wallis test with </w:t>
      </w:r>
      <w:r>
        <w:rPr>
          <w:spacing w:val="-3"/>
        </w:rPr>
        <w:t xml:space="preserve">Dunn’s </w:t>
      </w:r>
      <w:r>
        <w:t xml:space="preserve">multiple comparison for independent samples, </w:t>
      </w:r>
      <w:r>
        <w:rPr>
          <w:spacing w:val="-4"/>
        </w:rPr>
        <w:t>and</w:t>
      </w:r>
      <w:r>
        <w:rPr>
          <w:spacing w:val="52"/>
        </w:rPr>
        <w:t xml:space="preserve"> </w:t>
      </w:r>
      <w:r>
        <w:t xml:space="preserve">the Wilcoxon signed-rank test for dependent samples. </w:t>
      </w:r>
      <w:r>
        <w:rPr>
          <w:spacing w:val="-10"/>
        </w:rPr>
        <w:t xml:space="preserve">To </w:t>
      </w:r>
      <w:r>
        <w:t xml:space="preserve">ensure robustness, logistic </w:t>
      </w:r>
      <w:r>
        <w:rPr>
          <w:spacing w:val="-3"/>
        </w:rPr>
        <w:t xml:space="preserve">regression </w:t>
      </w:r>
      <w:r>
        <w:t>was employed to quantify the probability dynamics of remaining infection-free, relating these changes to S antibody levels and age groups (</w:t>
      </w:r>
      <w:r>
        <w:rPr>
          <w:rFonts w:ascii="Garamond" w:hAnsi="Garamond"/>
          <w:i/>
        </w:rPr>
        <w:t xml:space="preserve">&lt; </w:t>
      </w:r>
      <w:r>
        <w:rPr>
          <w:rFonts w:ascii="Bernard MT Condensed" w:hAnsi="Bernard MT Condensed"/>
        </w:rPr>
        <w:t>20</w:t>
      </w:r>
      <w:r>
        <w:rPr>
          <w:rFonts w:ascii="Garamond" w:hAnsi="Garamond"/>
          <w:i/>
        </w:rPr>
        <w:t xml:space="preserve">, </w:t>
      </w:r>
      <w:r>
        <w:rPr>
          <w:rFonts w:ascii="Bernard MT Condensed" w:hAnsi="Bernard MT Condensed"/>
        </w:rPr>
        <w:t>20 40</w:t>
      </w:r>
      <w:r>
        <w:rPr>
          <w:rFonts w:ascii="Garamond" w:hAnsi="Garamond"/>
          <w:i/>
        </w:rPr>
        <w:t xml:space="preserve">, </w:t>
      </w:r>
      <w:r>
        <w:rPr>
          <w:rFonts w:ascii="Bernard MT Condensed" w:hAnsi="Bernard MT Condensed"/>
        </w:rPr>
        <w:t xml:space="preserve">40 </w:t>
      </w:r>
      <w:r>
        <w:rPr>
          <w:rFonts w:ascii="Bernard MT Condensed" w:hAnsi="Bernard MT Condensed"/>
          <w:spacing w:val="10"/>
        </w:rPr>
        <w:t>60</w:t>
      </w:r>
      <w:r>
        <w:rPr>
          <w:rFonts w:ascii="Garamond" w:hAnsi="Garamond"/>
          <w:i/>
          <w:spacing w:val="10"/>
        </w:rPr>
        <w:t xml:space="preserve">,&gt; </w:t>
      </w:r>
      <w:r>
        <w:rPr>
          <w:rFonts w:ascii="Bernard MT Condensed" w:hAnsi="Bernard MT Condensed"/>
        </w:rPr>
        <w:t>60</w:t>
      </w:r>
      <w:r>
        <w:t>).</w:t>
      </w:r>
    </w:p>
    <w:p w14:paraId="17E74FF9" w14:textId="77777777" w:rsidR="00AE68F4" w:rsidRDefault="00000000">
      <w:pPr>
        <w:pStyle w:val="BodyText"/>
        <w:spacing w:line="252" w:lineRule="auto"/>
        <w:ind w:right="795" w:firstLine="566"/>
        <w:jc w:val="both"/>
      </w:pPr>
      <w:r>
        <w:t xml:space="preserve">According to the cohort design results, the primary infection risk concerns (with </w:t>
      </w:r>
      <w:r>
        <w:rPr>
          <w:spacing w:val="-4"/>
        </w:rPr>
        <w:t xml:space="preserve">waning </w:t>
      </w:r>
      <w:r>
        <w:t>immunity)</w:t>
      </w:r>
      <w:r>
        <w:rPr>
          <w:spacing w:val="-12"/>
        </w:rPr>
        <w:t xml:space="preserve"> </w:t>
      </w:r>
      <w:r>
        <w:t>are</w:t>
      </w:r>
      <w:r>
        <w:rPr>
          <w:spacing w:val="-12"/>
        </w:rPr>
        <w:t xml:space="preserve"> </w:t>
      </w:r>
      <w:r>
        <w:t>likely</w:t>
      </w:r>
      <w:r>
        <w:rPr>
          <w:spacing w:val="-12"/>
        </w:rPr>
        <w:t xml:space="preserve"> </w:t>
      </w:r>
      <w:r>
        <w:t>to</w:t>
      </w:r>
      <w:r>
        <w:rPr>
          <w:spacing w:val="-12"/>
        </w:rPr>
        <w:t xml:space="preserve"> </w:t>
      </w:r>
      <w:r>
        <w:t>originate</w:t>
      </w:r>
      <w:r>
        <w:rPr>
          <w:spacing w:val="-11"/>
        </w:rPr>
        <w:t xml:space="preserve"> </w:t>
      </w:r>
      <w:r>
        <w:t>from</w:t>
      </w:r>
      <w:r>
        <w:rPr>
          <w:spacing w:val="-12"/>
        </w:rPr>
        <w:t xml:space="preserve"> </w:t>
      </w:r>
      <w:r>
        <w:t>the</w:t>
      </w:r>
      <w:r>
        <w:rPr>
          <w:spacing w:val="-12"/>
        </w:rPr>
        <w:t xml:space="preserve"> </w:t>
      </w:r>
      <w:r>
        <w:t>vaccine</w:t>
      </w:r>
      <w:r>
        <w:rPr>
          <w:spacing w:val="-12"/>
        </w:rPr>
        <w:t xml:space="preserve"> </w:t>
      </w:r>
      <w:r>
        <w:t>group.</w:t>
      </w:r>
      <w:r>
        <w:rPr>
          <w:spacing w:val="6"/>
        </w:rPr>
        <w:t xml:space="preserve"> </w:t>
      </w:r>
      <w:r>
        <w:rPr>
          <w:spacing w:val="-10"/>
        </w:rPr>
        <w:t>To</w:t>
      </w:r>
      <w:r>
        <w:rPr>
          <w:spacing w:val="-11"/>
        </w:rPr>
        <w:t xml:space="preserve"> </w:t>
      </w:r>
      <w:r>
        <w:t>identify</w:t>
      </w:r>
      <w:r>
        <w:rPr>
          <w:spacing w:val="-12"/>
        </w:rPr>
        <w:t xml:space="preserve"> </w:t>
      </w:r>
      <w:r>
        <w:t>specific</w:t>
      </w:r>
      <w:r>
        <w:rPr>
          <w:spacing w:val="-12"/>
        </w:rPr>
        <w:t xml:space="preserve"> </w:t>
      </w:r>
      <w:r>
        <w:t>risk</w:t>
      </w:r>
      <w:r>
        <w:rPr>
          <w:spacing w:val="-12"/>
        </w:rPr>
        <w:t xml:space="preserve"> </w:t>
      </w:r>
      <w:r>
        <w:t>factors</w:t>
      </w:r>
      <w:r>
        <w:rPr>
          <w:spacing w:val="-11"/>
        </w:rPr>
        <w:t xml:space="preserve"> </w:t>
      </w:r>
      <w:r>
        <w:t>within this</w:t>
      </w:r>
      <w:r>
        <w:rPr>
          <w:spacing w:val="-11"/>
        </w:rPr>
        <w:t xml:space="preserve"> </w:t>
      </w:r>
      <w:r>
        <w:t>group,</w:t>
      </w:r>
      <w:r>
        <w:rPr>
          <w:spacing w:val="-9"/>
        </w:rPr>
        <w:t xml:space="preserve"> </w:t>
      </w:r>
      <w:r>
        <w:t>a</w:t>
      </w:r>
      <w:r>
        <w:rPr>
          <w:spacing w:val="-11"/>
        </w:rPr>
        <w:t xml:space="preserve"> </w:t>
      </w:r>
      <w:r>
        <w:t>forest</w:t>
      </w:r>
      <w:r>
        <w:rPr>
          <w:spacing w:val="-9"/>
        </w:rPr>
        <w:t xml:space="preserve"> </w:t>
      </w:r>
      <w:r>
        <w:t>plot</w:t>
      </w:r>
      <w:r>
        <w:rPr>
          <w:spacing w:val="-9"/>
        </w:rPr>
        <w:t xml:space="preserve"> </w:t>
      </w:r>
      <w:r>
        <w:t>was</w:t>
      </w:r>
      <w:r>
        <w:rPr>
          <w:spacing w:val="-11"/>
        </w:rPr>
        <w:t xml:space="preserve"> </w:t>
      </w:r>
      <w:r>
        <w:t>constructed</w:t>
      </w:r>
      <w:r>
        <w:rPr>
          <w:spacing w:val="-10"/>
        </w:rPr>
        <w:t xml:space="preserve"> </w:t>
      </w:r>
      <w:r>
        <w:t>(Figure</w:t>
      </w:r>
      <w:r>
        <w:rPr>
          <w:spacing w:val="-10"/>
        </w:rPr>
        <w:t xml:space="preserve"> </w:t>
      </w:r>
      <w:r>
        <w:t>3).</w:t>
      </w:r>
      <w:r>
        <w:rPr>
          <w:spacing w:val="6"/>
        </w:rPr>
        <w:t xml:space="preserve"> </w:t>
      </w:r>
      <w:r>
        <w:t>All</w:t>
      </w:r>
      <w:r>
        <w:rPr>
          <w:spacing w:val="-10"/>
        </w:rPr>
        <w:t xml:space="preserve"> </w:t>
      </w:r>
      <w:r>
        <w:t>available</w:t>
      </w:r>
      <w:r>
        <w:rPr>
          <w:spacing w:val="-11"/>
        </w:rPr>
        <w:t xml:space="preserve"> </w:t>
      </w:r>
      <w:r>
        <w:t>characteristics</w:t>
      </w:r>
      <w:r>
        <w:rPr>
          <w:spacing w:val="-10"/>
        </w:rPr>
        <w:t xml:space="preserve"> </w:t>
      </w:r>
      <w:r>
        <w:t>were</w:t>
      </w:r>
      <w:r>
        <w:rPr>
          <w:spacing w:val="-10"/>
        </w:rPr>
        <w:t xml:space="preserve"> </w:t>
      </w:r>
      <w:r>
        <w:t xml:space="preserve">converted to categorical variables, with the first subgroup designated as the reference </w:t>
      </w:r>
      <w:r>
        <w:rPr>
          <w:spacing w:val="-3"/>
        </w:rPr>
        <w:t xml:space="preserve">category. </w:t>
      </w:r>
      <w:r>
        <w:t>This al- lowed for the calculation of log odds ratios, where a higher log odds ratio indicates a greater infection</w:t>
      </w:r>
      <w:r>
        <w:rPr>
          <w:spacing w:val="-11"/>
        </w:rPr>
        <w:t xml:space="preserve"> </w:t>
      </w:r>
      <w:r>
        <w:t>risk</w:t>
      </w:r>
      <w:r>
        <w:rPr>
          <w:spacing w:val="-11"/>
        </w:rPr>
        <w:t xml:space="preserve"> </w:t>
      </w:r>
      <w:r>
        <w:t>compared</w:t>
      </w:r>
      <w:r>
        <w:rPr>
          <w:spacing w:val="-10"/>
        </w:rPr>
        <w:t xml:space="preserve"> </w:t>
      </w:r>
      <w:r>
        <w:t>to</w:t>
      </w:r>
      <w:r>
        <w:rPr>
          <w:spacing w:val="-11"/>
        </w:rPr>
        <w:t xml:space="preserve"> </w:t>
      </w:r>
      <w:r>
        <w:t>the</w:t>
      </w:r>
      <w:r>
        <w:rPr>
          <w:spacing w:val="-10"/>
        </w:rPr>
        <w:t xml:space="preserve"> </w:t>
      </w:r>
      <w:r>
        <w:t>reference</w:t>
      </w:r>
      <w:r>
        <w:rPr>
          <w:spacing w:val="-11"/>
        </w:rPr>
        <w:t xml:space="preserve"> </w:t>
      </w:r>
      <w:r>
        <w:t>group.</w:t>
      </w:r>
      <w:r>
        <w:rPr>
          <w:spacing w:val="8"/>
        </w:rPr>
        <w:t xml:space="preserve"> </w:t>
      </w:r>
      <w:r>
        <w:t>A</w:t>
      </w:r>
      <w:r>
        <w:rPr>
          <w:spacing w:val="-11"/>
        </w:rPr>
        <w:t xml:space="preserve"> </w:t>
      </w:r>
      <w:r>
        <w:t>log</w:t>
      </w:r>
      <w:r>
        <w:rPr>
          <w:spacing w:val="-10"/>
        </w:rPr>
        <w:t xml:space="preserve"> </w:t>
      </w:r>
      <w:r>
        <w:t>odds</w:t>
      </w:r>
      <w:r>
        <w:rPr>
          <w:spacing w:val="-11"/>
        </w:rPr>
        <w:t xml:space="preserve"> </w:t>
      </w:r>
      <w:r>
        <w:t>ratio</w:t>
      </w:r>
      <w:r>
        <w:rPr>
          <w:spacing w:val="-10"/>
        </w:rPr>
        <w:t xml:space="preserve"> </w:t>
      </w:r>
      <w:r>
        <w:t>of</w:t>
      </w:r>
      <w:r>
        <w:rPr>
          <w:spacing w:val="-11"/>
        </w:rPr>
        <w:t xml:space="preserve"> </w:t>
      </w:r>
      <w:r>
        <w:t>zero</w:t>
      </w:r>
      <w:r>
        <w:rPr>
          <w:spacing w:val="-10"/>
        </w:rPr>
        <w:t xml:space="preserve"> </w:t>
      </w:r>
      <w:r>
        <w:t>signifies</w:t>
      </w:r>
      <w:r>
        <w:rPr>
          <w:spacing w:val="-11"/>
        </w:rPr>
        <w:t xml:space="preserve"> </w:t>
      </w:r>
      <w:r>
        <w:t>equal</w:t>
      </w:r>
      <w:r>
        <w:rPr>
          <w:spacing w:val="-10"/>
        </w:rPr>
        <w:t xml:space="preserve"> </w:t>
      </w:r>
      <w:r>
        <w:t>risk</w:t>
      </w:r>
      <w:r>
        <w:rPr>
          <w:spacing w:val="-11"/>
        </w:rPr>
        <w:t xml:space="preserve"> </w:t>
      </w:r>
      <w:r>
        <w:rPr>
          <w:spacing w:val="-3"/>
        </w:rPr>
        <w:t xml:space="preserve">with </w:t>
      </w:r>
      <w:r>
        <w:t>the reference</w:t>
      </w:r>
      <w:r>
        <w:rPr>
          <w:spacing w:val="-3"/>
        </w:rPr>
        <w:t xml:space="preserve"> </w:t>
      </w:r>
      <w:r>
        <w:t>group.</w:t>
      </w:r>
    </w:p>
    <w:p w14:paraId="1FF3C4F2" w14:textId="77777777" w:rsidR="00AE68F4" w:rsidRDefault="00000000">
      <w:pPr>
        <w:pStyle w:val="BodyText"/>
        <w:spacing w:line="252" w:lineRule="auto"/>
        <w:ind w:right="795" w:firstLine="566"/>
        <w:jc w:val="both"/>
      </w:pPr>
      <w:r>
        <w:t xml:space="preserve">Among all characteristics, age and S antibody level demonstrated the most significant association with individual infection status, exhibiting clear patterns and non-overlapping </w:t>
      </w:r>
      <w:r>
        <w:rPr>
          <w:spacing w:val="-4"/>
        </w:rPr>
        <w:t xml:space="preserve">con- </w:t>
      </w:r>
      <w:proofErr w:type="spellStart"/>
      <w:r>
        <w:t>fidence</w:t>
      </w:r>
      <w:proofErr w:type="spellEnd"/>
      <w:r>
        <w:t xml:space="preserve"> intervals. Notably, the youngest group exhibited the highest individual infection risks. Except for the youngest group, there was a positive correlation between age and infection</w:t>
      </w:r>
      <w:r>
        <w:rPr>
          <w:spacing w:val="-14"/>
        </w:rPr>
        <w:t xml:space="preserve"> </w:t>
      </w:r>
      <w:r>
        <w:t>risk, indicating</w:t>
      </w:r>
      <w:r>
        <w:rPr>
          <w:spacing w:val="-7"/>
        </w:rPr>
        <w:t xml:space="preserve"> </w:t>
      </w:r>
      <w:r>
        <w:t>that</w:t>
      </w:r>
      <w:r>
        <w:rPr>
          <w:spacing w:val="-8"/>
        </w:rPr>
        <w:t xml:space="preserve"> </w:t>
      </w:r>
      <w:r>
        <w:t>risk</w:t>
      </w:r>
      <w:r>
        <w:rPr>
          <w:spacing w:val="-6"/>
        </w:rPr>
        <w:t xml:space="preserve"> </w:t>
      </w:r>
      <w:r>
        <w:t>increases</w:t>
      </w:r>
      <w:r>
        <w:rPr>
          <w:spacing w:val="-7"/>
        </w:rPr>
        <w:t xml:space="preserve"> </w:t>
      </w:r>
      <w:r>
        <w:t>with</w:t>
      </w:r>
      <w:r>
        <w:rPr>
          <w:spacing w:val="-7"/>
        </w:rPr>
        <w:t xml:space="preserve"> </w:t>
      </w:r>
      <w:r>
        <w:t>age.</w:t>
      </w:r>
      <w:r>
        <w:rPr>
          <w:spacing w:val="9"/>
        </w:rPr>
        <w:t xml:space="preserve"> </w:t>
      </w:r>
      <w:r>
        <w:t>Given</w:t>
      </w:r>
      <w:r>
        <w:rPr>
          <w:spacing w:val="-7"/>
        </w:rPr>
        <w:t xml:space="preserve"> </w:t>
      </w:r>
      <w:r>
        <w:t>the</w:t>
      </w:r>
      <w:r>
        <w:rPr>
          <w:spacing w:val="-8"/>
        </w:rPr>
        <w:t xml:space="preserve"> </w:t>
      </w:r>
      <w:r>
        <w:t>assumptions</w:t>
      </w:r>
      <w:r>
        <w:rPr>
          <w:spacing w:val="-6"/>
        </w:rPr>
        <w:t xml:space="preserve"> </w:t>
      </w:r>
      <w:r>
        <w:t>of</w:t>
      </w:r>
      <w:r>
        <w:rPr>
          <w:spacing w:val="-7"/>
        </w:rPr>
        <w:t xml:space="preserve"> </w:t>
      </w:r>
      <w:r>
        <w:t>the</w:t>
      </w:r>
      <w:r>
        <w:rPr>
          <w:spacing w:val="-7"/>
        </w:rPr>
        <w:t xml:space="preserve"> </w:t>
      </w:r>
      <w:r>
        <w:t>linear</w:t>
      </w:r>
      <w:r>
        <w:rPr>
          <w:spacing w:val="-7"/>
        </w:rPr>
        <w:t xml:space="preserve"> </w:t>
      </w:r>
      <w:r>
        <w:t>model,</w:t>
      </w:r>
      <w:r>
        <w:rPr>
          <w:spacing w:val="-6"/>
        </w:rPr>
        <w:t xml:space="preserve"> </w:t>
      </w:r>
      <w:r>
        <w:t>only</w:t>
      </w:r>
      <w:r>
        <w:rPr>
          <w:spacing w:val="-8"/>
        </w:rPr>
        <w:t xml:space="preserve"> </w:t>
      </w:r>
      <w:r>
        <w:t>age</w:t>
      </w:r>
      <w:r>
        <w:rPr>
          <w:spacing w:val="-6"/>
        </w:rPr>
        <w:t xml:space="preserve"> </w:t>
      </w:r>
      <w:r>
        <w:t>and S antibody level were included in the final</w:t>
      </w:r>
      <w:r>
        <w:rPr>
          <w:spacing w:val="-12"/>
        </w:rPr>
        <w:t xml:space="preserve"> </w:t>
      </w:r>
      <w:r>
        <w:t>model.</w:t>
      </w:r>
    </w:p>
    <w:p w14:paraId="65D7484F" w14:textId="77777777" w:rsidR="00AE68F4" w:rsidRDefault="00AE68F4">
      <w:pPr>
        <w:spacing w:line="252" w:lineRule="auto"/>
        <w:jc w:val="both"/>
        <w:sectPr w:rsidR="00AE68F4">
          <w:pgSz w:w="11910" w:h="16840"/>
          <w:pgMar w:top="1340" w:right="620" w:bottom="1040" w:left="1300" w:header="0" w:footer="840" w:gutter="0"/>
          <w:cols w:space="720"/>
        </w:sectPr>
      </w:pPr>
    </w:p>
    <w:p w14:paraId="0EFDFB15" w14:textId="77777777" w:rsidR="00AE68F4" w:rsidRDefault="00000000">
      <w:pPr>
        <w:pStyle w:val="BodyText"/>
        <w:ind w:left="724"/>
        <w:rPr>
          <w:sz w:val="20"/>
        </w:rPr>
      </w:pPr>
      <w:r>
        <w:rPr>
          <w:noProof/>
          <w:sz w:val="20"/>
        </w:rPr>
        <w:lastRenderedPageBreak/>
        <w:drawing>
          <wp:inline distT="0" distB="0" distL="0" distR="0" wp14:anchorId="31620682" wp14:editId="18A080BF">
            <wp:extent cx="4992624" cy="229514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992624" cy="2295144"/>
                    </a:xfrm>
                    <a:prstGeom prst="rect">
                      <a:avLst/>
                    </a:prstGeom>
                  </pic:spPr>
                </pic:pic>
              </a:graphicData>
            </a:graphic>
          </wp:inline>
        </w:drawing>
      </w:r>
    </w:p>
    <w:p w14:paraId="40961C30" w14:textId="77777777" w:rsidR="00AE68F4" w:rsidRDefault="00000000">
      <w:pPr>
        <w:pStyle w:val="ListParagraph"/>
        <w:numPr>
          <w:ilvl w:val="2"/>
          <w:numId w:val="2"/>
        </w:numPr>
        <w:tabs>
          <w:tab w:val="left" w:pos="3793"/>
        </w:tabs>
        <w:spacing w:before="87"/>
        <w:ind w:hanging="298"/>
      </w:pPr>
      <w:r>
        <w:rPr>
          <w:w w:val="95"/>
        </w:rPr>
        <w:t>Vaccine-</w:t>
      </w:r>
      <w:proofErr w:type="gramStart"/>
      <w:r>
        <w:rPr>
          <w:w w:val="95"/>
        </w:rPr>
        <w:t xml:space="preserve">induced </w:t>
      </w:r>
      <w:r>
        <w:rPr>
          <w:spacing w:val="8"/>
          <w:w w:val="95"/>
        </w:rPr>
        <w:t xml:space="preserve"> </w:t>
      </w:r>
      <w:r>
        <w:rPr>
          <w:w w:val="95"/>
        </w:rPr>
        <w:t>group</w:t>
      </w:r>
      <w:proofErr w:type="gramEnd"/>
    </w:p>
    <w:p w14:paraId="59C422D2" w14:textId="77777777" w:rsidR="00AE68F4" w:rsidRDefault="00000000">
      <w:pPr>
        <w:pStyle w:val="BodyText"/>
        <w:spacing w:before="8"/>
        <w:ind w:left="0"/>
        <w:rPr>
          <w:sz w:val="8"/>
        </w:rPr>
      </w:pPr>
      <w:r>
        <w:rPr>
          <w:noProof/>
        </w:rPr>
        <w:drawing>
          <wp:anchor distT="0" distB="0" distL="0" distR="0" simplePos="0" relativeHeight="13" behindDoc="0" locked="0" layoutInCell="1" allowOverlap="1" wp14:anchorId="6077D8DB" wp14:editId="70C72F9C">
            <wp:simplePos x="0" y="0"/>
            <wp:positionH relativeFrom="page">
              <wp:posOffset>1265257</wp:posOffset>
            </wp:positionH>
            <wp:positionV relativeFrom="paragraph">
              <wp:posOffset>88744</wp:posOffset>
            </wp:positionV>
            <wp:extent cx="5033772" cy="22105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033772" cy="2210562"/>
                    </a:xfrm>
                    <a:prstGeom prst="rect">
                      <a:avLst/>
                    </a:prstGeom>
                  </pic:spPr>
                </pic:pic>
              </a:graphicData>
            </a:graphic>
          </wp:anchor>
        </w:drawing>
      </w:r>
    </w:p>
    <w:p w14:paraId="5478B3C5" w14:textId="77777777" w:rsidR="00AE68F4" w:rsidRDefault="00000000">
      <w:pPr>
        <w:pStyle w:val="ListParagraph"/>
        <w:numPr>
          <w:ilvl w:val="2"/>
          <w:numId w:val="2"/>
        </w:numPr>
        <w:tabs>
          <w:tab w:val="left" w:pos="3835"/>
        </w:tabs>
        <w:spacing w:before="106"/>
        <w:ind w:left="3834" w:hanging="310"/>
      </w:pPr>
      <w:r>
        <w:t>Hybrid-induced</w:t>
      </w:r>
      <w:r>
        <w:rPr>
          <w:spacing w:val="-17"/>
        </w:rPr>
        <w:t xml:space="preserve"> </w:t>
      </w:r>
      <w:r>
        <w:t>group</w:t>
      </w:r>
    </w:p>
    <w:p w14:paraId="35957278" w14:textId="77777777" w:rsidR="00AE68F4" w:rsidRDefault="00000000">
      <w:pPr>
        <w:pStyle w:val="BodyText"/>
        <w:spacing w:before="212" w:line="252" w:lineRule="auto"/>
        <w:ind w:right="728"/>
      </w:pPr>
      <w:r>
        <w:t>Figure 4: Forest plot displaying characteristic patterns: Top - Vaccine-induced group; Bottom - Hybrid-induced group</w:t>
      </w:r>
    </w:p>
    <w:p w14:paraId="415540A2" w14:textId="77777777" w:rsidR="00AE68F4" w:rsidRDefault="00AE68F4">
      <w:pPr>
        <w:pStyle w:val="BodyText"/>
        <w:spacing w:before="5"/>
        <w:ind w:left="0"/>
        <w:rPr>
          <w:sz w:val="34"/>
        </w:rPr>
      </w:pPr>
    </w:p>
    <w:p w14:paraId="7E9D54EC" w14:textId="77777777" w:rsidR="00AE68F4" w:rsidRDefault="00000000">
      <w:pPr>
        <w:pStyle w:val="Heading2"/>
        <w:numPr>
          <w:ilvl w:val="1"/>
          <w:numId w:val="2"/>
        </w:numPr>
        <w:tabs>
          <w:tab w:val="left" w:pos="762"/>
          <w:tab w:val="left" w:pos="763"/>
        </w:tabs>
      </w:pPr>
      <w:bookmarkStart w:id="6" w:name="Logistic_Regression_Model"/>
      <w:bookmarkEnd w:id="6"/>
      <w:r>
        <w:t>Logistic Regression</w:t>
      </w:r>
      <w:r>
        <w:rPr>
          <w:spacing w:val="3"/>
        </w:rPr>
        <w:t xml:space="preserve"> </w:t>
      </w:r>
      <w:r>
        <w:t>Model</w:t>
      </w:r>
    </w:p>
    <w:p w14:paraId="74CFEC46" w14:textId="77777777" w:rsidR="00AE68F4" w:rsidRDefault="00000000">
      <w:pPr>
        <w:pStyle w:val="BodyText"/>
        <w:spacing w:before="107" w:line="247" w:lineRule="auto"/>
        <w:ind w:right="795" w:firstLine="566"/>
        <w:jc w:val="both"/>
      </w:pPr>
      <w:r>
        <w:t>In</w:t>
      </w:r>
      <w:r>
        <w:rPr>
          <w:spacing w:val="-12"/>
        </w:rPr>
        <w:t xml:space="preserve"> </w:t>
      </w:r>
      <w:r>
        <w:t>the</w:t>
      </w:r>
      <w:r>
        <w:rPr>
          <w:spacing w:val="-11"/>
        </w:rPr>
        <w:t xml:space="preserve"> </w:t>
      </w:r>
      <w:r>
        <w:t>previous</w:t>
      </w:r>
      <w:r>
        <w:rPr>
          <w:spacing w:val="-12"/>
        </w:rPr>
        <w:t xml:space="preserve"> </w:t>
      </w:r>
      <w:r>
        <w:t>section,</w:t>
      </w:r>
      <w:r>
        <w:rPr>
          <w:spacing w:val="-9"/>
        </w:rPr>
        <w:t xml:space="preserve"> </w:t>
      </w:r>
      <w:r>
        <w:t>we</w:t>
      </w:r>
      <w:r>
        <w:rPr>
          <w:spacing w:val="-11"/>
        </w:rPr>
        <w:t xml:space="preserve"> </w:t>
      </w:r>
      <w:r>
        <w:t>addressed</w:t>
      </w:r>
      <w:r>
        <w:rPr>
          <w:spacing w:val="-12"/>
        </w:rPr>
        <w:t xml:space="preserve"> </w:t>
      </w:r>
      <w:r>
        <w:t>the</w:t>
      </w:r>
      <w:r>
        <w:rPr>
          <w:spacing w:val="-11"/>
        </w:rPr>
        <w:t xml:space="preserve"> </w:t>
      </w:r>
      <w:r>
        <w:t>issue</w:t>
      </w:r>
      <w:r>
        <w:rPr>
          <w:spacing w:val="-12"/>
        </w:rPr>
        <w:t xml:space="preserve"> </w:t>
      </w:r>
      <w:r>
        <w:t>of</w:t>
      </w:r>
      <w:r>
        <w:rPr>
          <w:spacing w:val="-11"/>
        </w:rPr>
        <w:t xml:space="preserve"> </w:t>
      </w:r>
      <w:r>
        <w:t>imbalanced</w:t>
      </w:r>
      <w:r>
        <w:rPr>
          <w:spacing w:val="-11"/>
        </w:rPr>
        <w:t xml:space="preserve"> </w:t>
      </w:r>
      <w:r>
        <w:t>case-control</w:t>
      </w:r>
      <w:r>
        <w:rPr>
          <w:spacing w:val="-12"/>
        </w:rPr>
        <w:t xml:space="preserve"> </w:t>
      </w:r>
      <w:r>
        <w:t>data,</w:t>
      </w:r>
      <w:r>
        <w:rPr>
          <w:spacing w:val="-9"/>
        </w:rPr>
        <w:t xml:space="preserve"> </w:t>
      </w:r>
      <w:r>
        <w:t>as</w:t>
      </w:r>
      <w:r>
        <w:rPr>
          <w:spacing w:val="-11"/>
        </w:rPr>
        <w:t xml:space="preserve"> </w:t>
      </w:r>
      <w:r>
        <w:t>well</w:t>
      </w:r>
      <w:r>
        <w:rPr>
          <w:spacing w:val="-12"/>
        </w:rPr>
        <w:t xml:space="preserve"> </w:t>
      </w:r>
      <w:r>
        <w:t xml:space="preserve">as the impacts of confounders, by employing the R package </w:t>
      </w:r>
      <w:r>
        <w:rPr>
          <w:rFonts w:ascii="Courier New"/>
        </w:rPr>
        <w:t>Epi</w:t>
      </w:r>
      <w:r>
        <w:rPr>
          <w:rFonts w:ascii="Courier New"/>
          <w:spacing w:val="-120"/>
        </w:rPr>
        <w:t xml:space="preserve"> </w:t>
      </w:r>
      <w:r>
        <w:t xml:space="preserve">(Carstensen et al., 2021). In the original cohort, the ratio between case and control samples was approximately 1:6. </w:t>
      </w:r>
      <w:r>
        <w:rPr>
          <w:spacing w:val="-10"/>
        </w:rPr>
        <w:t xml:space="preserve">To </w:t>
      </w:r>
      <w:r>
        <w:rPr>
          <w:spacing w:val="-4"/>
        </w:rPr>
        <w:t xml:space="preserve">achieve </w:t>
      </w:r>
      <w:r>
        <w:t>a</w:t>
      </w:r>
      <w:r>
        <w:rPr>
          <w:spacing w:val="-6"/>
        </w:rPr>
        <w:t xml:space="preserve"> </w:t>
      </w:r>
      <w:r>
        <w:t>balance</w:t>
      </w:r>
      <w:r>
        <w:rPr>
          <w:spacing w:val="-5"/>
        </w:rPr>
        <w:t xml:space="preserve"> </w:t>
      </w:r>
      <w:r>
        <w:t>between</w:t>
      </w:r>
      <w:r>
        <w:rPr>
          <w:spacing w:val="-6"/>
        </w:rPr>
        <w:t xml:space="preserve"> </w:t>
      </w:r>
      <w:r>
        <w:t>statistical</w:t>
      </w:r>
      <w:r>
        <w:rPr>
          <w:spacing w:val="-5"/>
        </w:rPr>
        <w:t xml:space="preserve"> </w:t>
      </w:r>
      <w:r>
        <w:t>power</w:t>
      </w:r>
      <w:r>
        <w:rPr>
          <w:spacing w:val="-6"/>
        </w:rPr>
        <w:t xml:space="preserve"> </w:t>
      </w:r>
      <w:r>
        <w:t>and</w:t>
      </w:r>
      <w:r>
        <w:rPr>
          <w:spacing w:val="-5"/>
        </w:rPr>
        <w:t xml:space="preserve"> </w:t>
      </w:r>
      <w:r>
        <w:t>practical</w:t>
      </w:r>
      <w:r>
        <w:rPr>
          <w:spacing w:val="-5"/>
        </w:rPr>
        <w:t xml:space="preserve"> </w:t>
      </w:r>
      <w:r>
        <w:t>feasibility,</w:t>
      </w:r>
      <w:r>
        <w:rPr>
          <w:spacing w:val="-5"/>
        </w:rPr>
        <w:t xml:space="preserve"> </w:t>
      </w:r>
      <w:r>
        <w:t>as</w:t>
      </w:r>
      <w:r>
        <w:rPr>
          <w:spacing w:val="-6"/>
        </w:rPr>
        <w:t xml:space="preserve"> </w:t>
      </w:r>
      <w:r>
        <w:t>suggested</w:t>
      </w:r>
      <w:r>
        <w:rPr>
          <w:spacing w:val="-6"/>
        </w:rPr>
        <w:t xml:space="preserve"> </w:t>
      </w:r>
      <w:r>
        <w:t>by</w:t>
      </w:r>
      <w:r>
        <w:rPr>
          <w:spacing w:val="-4"/>
        </w:rPr>
        <w:t xml:space="preserve"> </w:t>
      </w:r>
      <w:r>
        <w:t>Pearce</w:t>
      </w:r>
      <w:r>
        <w:rPr>
          <w:spacing w:val="-6"/>
        </w:rPr>
        <w:t xml:space="preserve"> </w:t>
      </w:r>
      <w:r>
        <w:t>(2016),</w:t>
      </w:r>
      <w:r>
        <w:rPr>
          <w:spacing w:val="-5"/>
        </w:rPr>
        <w:t xml:space="preserve"> </w:t>
      </w:r>
      <w:r>
        <w:rPr>
          <w:spacing w:val="-4"/>
        </w:rPr>
        <w:t xml:space="preserve">the </w:t>
      </w:r>
      <w:r>
        <w:t>matching ratio was set to 1:3 in our</w:t>
      </w:r>
      <w:r>
        <w:rPr>
          <w:spacing w:val="-10"/>
        </w:rPr>
        <w:t xml:space="preserve"> </w:t>
      </w:r>
      <w:r>
        <w:t>research.</w:t>
      </w:r>
    </w:p>
    <w:p w14:paraId="67A83416" w14:textId="77777777" w:rsidR="00AE68F4" w:rsidRDefault="00000000">
      <w:pPr>
        <w:pStyle w:val="BodyText"/>
        <w:spacing w:before="3" w:line="252" w:lineRule="auto"/>
        <w:ind w:right="795" w:firstLine="566"/>
        <w:jc w:val="both"/>
      </w:pPr>
      <w:r>
        <w:t xml:space="preserve">Based on the preceding analysis, only age and S antibody levels were incorporated as predictors in the regression model. All other characteristics were considered confounders </w:t>
      </w:r>
      <w:r>
        <w:rPr>
          <w:spacing w:val="-5"/>
        </w:rPr>
        <w:t xml:space="preserve">and </w:t>
      </w:r>
      <w:r>
        <w:t xml:space="preserve">were consequently selected as matching factors in the nested case-control (NCC) method, </w:t>
      </w:r>
      <w:proofErr w:type="spellStart"/>
      <w:r>
        <w:rPr>
          <w:spacing w:val="-5"/>
        </w:rPr>
        <w:t>en</w:t>
      </w:r>
      <w:proofErr w:type="spellEnd"/>
      <w:r>
        <w:rPr>
          <w:spacing w:val="-5"/>
        </w:rPr>
        <w:t xml:space="preserve">- </w:t>
      </w:r>
      <w:proofErr w:type="spellStart"/>
      <w:r>
        <w:t>suring</w:t>
      </w:r>
      <w:proofErr w:type="spellEnd"/>
      <w:r>
        <w:t xml:space="preserve"> adequate control of potential confounders. Since in the previous section the patterns </w:t>
      </w:r>
      <w:r>
        <w:rPr>
          <w:spacing w:val="-6"/>
        </w:rPr>
        <w:t xml:space="preserve">of </w:t>
      </w:r>
      <w:r>
        <w:t>hybrid-induced</w:t>
      </w:r>
      <w:r>
        <w:rPr>
          <w:spacing w:val="-15"/>
        </w:rPr>
        <w:t xml:space="preserve"> </w:t>
      </w:r>
      <w:r>
        <w:t>group</w:t>
      </w:r>
      <w:r>
        <w:rPr>
          <w:spacing w:val="-15"/>
        </w:rPr>
        <w:t xml:space="preserve"> </w:t>
      </w:r>
      <w:r>
        <w:t>and</w:t>
      </w:r>
      <w:r>
        <w:rPr>
          <w:spacing w:val="-14"/>
        </w:rPr>
        <w:t xml:space="preserve"> </w:t>
      </w:r>
      <w:r>
        <w:t>vaccine-induced</w:t>
      </w:r>
      <w:r>
        <w:rPr>
          <w:spacing w:val="-15"/>
        </w:rPr>
        <w:t xml:space="preserve"> </w:t>
      </w:r>
      <w:r>
        <w:t>group</w:t>
      </w:r>
      <w:r>
        <w:rPr>
          <w:spacing w:val="-15"/>
        </w:rPr>
        <w:t xml:space="preserve"> </w:t>
      </w:r>
      <w:r>
        <w:t>are</w:t>
      </w:r>
      <w:r>
        <w:rPr>
          <w:spacing w:val="-14"/>
        </w:rPr>
        <w:t xml:space="preserve"> </w:t>
      </w:r>
      <w:r>
        <w:t>different,</w:t>
      </w:r>
      <w:r>
        <w:rPr>
          <w:spacing w:val="-14"/>
        </w:rPr>
        <w:t xml:space="preserve"> </w:t>
      </w:r>
      <w:r>
        <w:t>two</w:t>
      </w:r>
      <w:r>
        <w:rPr>
          <w:spacing w:val="-14"/>
        </w:rPr>
        <w:t xml:space="preserve"> </w:t>
      </w:r>
      <w:r>
        <w:t>separate</w:t>
      </w:r>
      <w:r>
        <w:rPr>
          <w:spacing w:val="-15"/>
        </w:rPr>
        <w:t xml:space="preserve"> </w:t>
      </w:r>
      <w:r>
        <w:t>models</w:t>
      </w:r>
      <w:r>
        <w:rPr>
          <w:spacing w:val="-15"/>
        </w:rPr>
        <w:t xml:space="preserve"> </w:t>
      </w:r>
      <w:r>
        <w:t>were</w:t>
      </w:r>
      <w:r>
        <w:rPr>
          <w:spacing w:val="-14"/>
        </w:rPr>
        <w:t xml:space="preserve"> </w:t>
      </w:r>
      <w:r>
        <w:t>fitted.</w:t>
      </w:r>
    </w:p>
    <w:p w14:paraId="3AE3172B" w14:textId="77777777" w:rsidR="00AE68F4" w:rsidRDefault="00AE68F4">
      <w:pPr>
        <w:spacing w:line="252" w:lineRule="auto"/>
        <w:jc w:val="both"/>
        <w:sectPr w:rsidR="00AE68F4">
          <w:pgSz w:w="11910" w:h="16840"/>
          <w:pgMar w:top="1400" w:right="620" w:bottom="1040" w:left="1300" w:header="0" w:footer="840" w:gutter="0"/>
          <w:cols w:space="720"/>
        </w:sectPr>
      </w:pPr>
    </w:p>
    <w:p w14:paraId="34FCAB08" w14:textId="77777777" w:rsidR="00AE68F4" w:rsidRDefault="00000000">
      <w:pPr>
        <w:pStyle w:val="BodyText"/>
        <w:ind w:left="168"/>
        <w:rPr>
          <w:sz w:val="20"/>
        </w:rPr>
      </w:pPr>
      <w:r>
        <w:rPr>
          <w:noProof/>
          <w:sz w:val="20"/>
        </w:rPr>
        <w:lastRenderedPageBreak/>
        <w:drawing>
          <wp:inline distT="0" distB="0" distL="0" distR="0" wp14:anchorId="247A5CA6" wp14:editId="05411237">
            <wp:extent cx="5612130" cy="221970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612130" cy="2219705"/>
                    </a:xfrm>
                    <a:prstGeom prst="rect">
                      <a:avLst/>
                    </a:prstGeom>
                  </pic:spPr>
                </pic:pic>
              </a:graphicData>
            </a:graphic>
          </wp:inline>
        </w:drawing>
      </w:r>
    </w:p>
    <w:p w14:paraId="5C3A26A6" w14:textId="77777777" w:rsidR="00AE68F4" w:rsidRDefault="00AE68F4">
      <w:pPr>
        <w:pStyle w:val="BodyText"/>
        <w:spacing w:before="2"/>
        <w:ind w:left="0"/>
        <w:rPr>
          <w:sz w:val="13"/>
        </w:rPr>
      </w:pPr>
    </w:p>
    <w:p w14:paraId="3DE998DA" w14:textId="77777777" w:rsidR="00AE68F4" w:rsidRDefault="00000000">
      <w:pPr>
        <w:pStyle w:val="BodyText"/>
        <w:spacing w:before="97" w:line="252" w:lineRule="auto"/>
        <w:ind w:right="552"/>
      </w:pPr>
      <w:r>
        <w:t>Figure 5: Regression line comparison for vaccine-induced (left) and hybrid-induced (right) groups</w:t>
      </w:r>
    </w:p>
    <w:p w14:paraId="4599C846" w14:textId="77777777" w:rsidR="00AE68F4" w:rsidRDefault="00AE68F4">
      <w:pPr>
        <w:pStyle w:val="BodyText"/>
        <w:spacing w:before="8"/>
        <w:ind w:left="0"/>
        <w:rPr>
          <w:sz w:val="31"/>
        </w:rPr>
      </w:pPr>
    </w:p>
    <w:p w14:paraId="37A5008B" w14:textId="77777777" w:rsidR="00AE68F4" w:rsidRDefault="00000000">
      <w:pPr>
        <w:pStyle w:val="BodyText"/>
        <w:spacing w:line="244" w:lineRule="auto"/>
        <w:ind w:right="795" w:firstLine="566"/>
        <w:jc w:val="both"/>
      </w:pPr>
      <w:r>
        <w:pict w14:anchorId="2C648D84">
          <v:shape id="_x0000_s2052" type="#_x0000_t202" style="position:absolute;left:0;text-align:left;margin-left:421.25pt;margin-top:59.7pt;width:9.3pt;height:20.75pt;z-index:-252145664;mso-position-horizontal-relative:page" filled="f" stroked="f">
            <v:textbox inset="0,0,0,0">
              <w:txbxContent>
                <w:p w14:paraId="2FFA76B8" w14:textId="77777777" w:rsidR="00AE68F4" w:rsidRDefault="00000000">
                  <w:pPr>
                    <w:spacing w:line="236" w:lineRule="exact"/>
                    <w:rPr>
                      <w:rFonts w:ascii="Arial" w:hAnsi="Arial"/>
                      <w:i/>
                      <w:sz w:val="24"/>
                    </w:rPr>
                  </w:pPr>
                  <w:r>
                    <w:rPr>
                      <w:rFonts w:ascii="Arial" w:hAnsi="Arial"/>
                      <w:i/>
                      <w:w w:val="132"/>
                      <w:sz w:val="24"/>
                    </w:rPr>
                    <w:t>−</w:t>
                  </w:r>
                </w:p>
              </w:txbxContent>
            </v:textbox>
            <w10:wrap anchorx="page"/>
          </v:shape>
        </w:pict>
      </w:r>
      <w:r>
        <w:pict w14:anchorId="2895CA03">
          <v:shape id="_x0000_s2051" type="#_x0000_t202" style="position:absolute;left:0;text-align:left;margin-left:186.95pt;margin-top:103.05pt;width:9.3pt;height:20.75pt;z-index:-252144640;mso-position-horizontal-relative:page" filled="f" stroked="f">
            <v:textbox inset="0,0,0,0">
              <w:txbxContent>
                <w:p w14:paraId="1486B113" w14:textId="77777777" w:rsidR="00AE68F4" w:rsidRDefault="00000000">
                  <w:pPr>
                    <w:spacing w:line="236" w:lineRule="exact"/>
                    <w:rPr>
                      <w:rFonts w:ascii="Arial" w:hAnsi="Arial"/>
                      <w:i/>
                      <w:sz w:val="24"/>
                    </w:rPr>
                  </w:pPr>
                  <w:r>
                    <w:rPr>
                      <w:rFonts w:ascii="Arial" w:hAnsi="Arial"/>
                      <w:i/>
                      <w:w w:val="132"/>
                      <w:sz w:val="24"/>
                    </w:rPr>
                    <w:t>−</w:t>
                  </w:r>
                </w:p>
              </w:txbxContent>
            </v:textbox>
            <w10:wrap anchorx="page"/>
          </v:shape>
        </w:pict>
      </w:r>
      <w:r>
        <w:t xml:space="preserve">The logistic regression analysis reveals significant differences in the probability of </w:t>
      </w:r>
      <w:r>
        <w:rPr>
          <w:spacing w:val="-4"/>
        </w:rPr>
        <w:t xml:space="preserve">re- </w:t>
      </w:r>
      <w:proofErr w:type="spellStart"/>
      <w:r>
        <w:t>maining</w:t>
      </w:r>
      <w:proofErr w:type="spellEnd"/>
      <w:r>
        <w:rPr>
          <w:spacing w:val="-18"/>
        </w:rPr>
        <w:t xml:space="preserve"> </w:t>
      </w:r>
      <w:r>
        <w:t>free</w:t>
      </w:r>
      <w:r>
        <w:rPr>
          <w:spacing w:val="-18"/>
        </w:rPr>
        <w:t xml:space="preserve"> </w:t>
      </w:r>
      <w:r>
        <w:t>from</w:t>
      </w:r>
      <w:r>
        <w:rPr>
          <w:spacing w:val="-18"/>
        </w:rPr>
        <w:t xml:space="preserve"> </w:t>
      </w:r>
      <w:r>
        <w:t>COVID-19</w:t>
      </w:r>
      <w:r>
        <w:rPr>
          <w:spacing w:val="-18"/>
        </w:rPr>
        <w:t xml:space="preserve"> </w:t>
      </w:r>
      <w:r>
        <w:t>infection</w:t>
      </w:r>
      <w:r>
        <w:rPr>
          <w:spacing w:val="-17"/>
        </w:rPr>
        <w:t xml:space="preserve"> </w:t>
      </w:r>
      <w:r>
        <w:t>between</w:t>
      </w:r>
      <w:r>
        <w:rPr>
          <w:spacing w:val="-18"/>
        </w:rPr>
        <w:t xml:space="preserve"> </w:t>
      </w:r>
      <w:r>
        <w:t>vaccine-induced</w:t>
      </w:r>
      <w:r>
        <w:rPr>
          <w:spacing w:val="-18"/>
        </w:rPr>
        <w:t xml:space="preserve"> </w:t>
      </w:r>
      <w:r>
        <w:t>and</w:t>
      </w:r>
      <w:r>
        <w:rPr>
          <w:spacing w:val="-18"/>
        </w:rPr>
        <w:t xml:space="preserve"> </w:t>
      </w:r>
      <w:r>
        <w:t>hybrid-induced</w:t>
      </w:r>
      <w:r>
        <w:rPr>
          <w:spacing w:val="-18"/>
        </w:rPr>
        <w:t xml:space="preserve"> </w:t>
      </w:r>
      <w:r>
        <w:t>immunity across</w:t>
      </w:r>
      <w:r>
        <w:rPr>
          <w:spacing w:val="-15"/>
        </w:rPr>
        <w:t xml:space="preserve"> </w:t>
      </w:r>
      <w:r>
        <w:t>various</w:t>
      </w:r>
      <w:r>
        <w:rPr>
          <w:spacing w:val="-14"/>
        </w:rPr>
        <w:t xml:space="preserve"> </w:t>
      </w:r>
      <w:r>
        <w:t>age</w:t>
      </w:r>
      <w:r>
        <w:rPr>
          <w:spacing w:val="-14"/>
        </w:rPr>
        <w:t xml:space="preserve"> </w:t>
      </w:r>
      <w:r>
        <w:t>groups.</w:t>
      </w:r>
      <w:r>
        <w:rPr>
          <w:spacing w:val="5"/>
        </w:rPr>
        <w:t xml:space="preserve"> </w:t>
      </w:r>
      <w:r>
        <w:t>In</w:t>
      </w:r>
      <w:r>
        <w:rPr>
          <w:spacing w:val="-14"/>
        </w:rPr>
        <w:t xml:space="preserve"> </w:t>
      </w:r>
      <w:r>
        <w:t>the</w:t>
      </w:r>
      <w:r>
        <w:rPr>
          <w:spacing w:val="-13"/>
        </w:rPr>
        <w:t xml:space="preserve"> </w:t>
      </w:r>
      <w:r>
        <w:t>vaccine-induced</w:t>
      </w:r>
      <w:r>
        <w:rPr>
          <w:spacing w:val="-14"/>
        </w:rPr>
        <w:t xml:space="preserve"> </w:t>
      </w:r>
      <w:r>
        <w:t>group,</w:t>
      </w:r>
      <w:r>
        <w:rPr>
          <w:spacing w:val="-12"/>
        </w:rPr>
        <w:t xml:space="preserve"> </w:t>
      </w:r>
      <w:r>
        <w:t>the</w:t>
      </w:r>
      <w:r>
        <w:rPr>
          <w:spacing w:val="-15"/>
        </w:rPr>
        <w:t xml:space="preserve"> </w:t>
      </w:r>
      <w:r>
        <w:t>probability</w:t>
      </w:r>
      <w:r>
        <w:rPr>
          <w:spacing w:val="-13"/>
        </w:rPr>
        <w:t xml:space="preserve"> </w:t>
      </w:r>
      <w:r>
        <w:t>of</w:t>
      </w:r>
      <w:r>
        <w:rPr>
          <w:spacing w:val="-15"/>
        </w:rPr>
        <w:t xml:space="preserve"> </w:t>
      </w:r>
      <w:r>
        <w:t>remaining</w:t>
      </w:r>
      <w:r>
        <w:rPr>
          <w:spacing w:val="-14"/>
        </w:rPr>
        <w:t xml:space="preserve"> </w:t>
      </w:r>
      <w:r>
        <w:t xml:space="preserve">infection- free decreases with higher S antibody levels and increasing age. </w:t>
      </w:r>
      <w:r>
        <w:rPr>
          <w:spacing w:val="-4"/>
        </w:rPr>
        <w:t xml:space="preserve">Younger </w:t>
      </w:r>
      <w:r>
        <w:t>individuals (</w:t>
      </w:r>
      <w:r>
        <w:rPr>
          <w:rFonts w:ascii="Garamond"/>
          <w:i/>
        </w:rPr>
        <w:t xml:space="preserve">&lt; </w:t>
      </w:r>
      <w:r>
        <w:rPr>
          <w:rFonts w:ascii="Bernard MT Condensed"/>
        </w:rPr>
        <w:t>20</w:t>
      </w:r>
      <w:r>
        <w:t xml:space="preserve">) exhibit the highest probability of avoiding infection, while those aged </w:t>
      </w:r>
      <w:r>
        <w:rPr>
          <w:rFonts w:ascii="Bernard MT Condensed"/>
        </w:rPr>
        <w:t xml:space="preserve">20 39 </w:t>
      </w:r>
      <w:r>
        <w:t xml:space="preserve">show the </w:t>
      </w:r>
      <w:r>
        <w:rPr>
          <w:spacing w:val="-3"/>
        </w:rPr>
        <w:t xml:space="preserve">lowest </w:t>
      </w:r>
      <w:r>
        <w:t xml:space="preserve">probability for any given S antibody level. For instance, at an S antibody level of 6000, the probability of remaining infection-free is approximately 0.62 for the </w:t>
      </w:r>
      <w:r>
        <w:rPr>
          <w:rFonts w:ascii="Garamond"/>
          <w:i/>
        </w:rPr>
        <w:t xml:space="preserve">&lt; </w:t>
      </w:r>
      <w:r>
        <w:rPr>
          <w:rFonts w:ascii="Bernard MT Condensed"/>
        </w:rPr>
        <w:t xml:space="preserve">20 </w:t>
      </w:r>
      <w:r>
        <w:t>age group</w:t>
      </w:r>
      <w:r>
        <w:rPr>
          <w:spacing w:val="-23"/>
        </w:rPr>
        <w:t xml:space="preserve"> </w:t>
      </w:r>
      <w:r>
        <w:t xml:space="preserve">compared to about 0.77 for the </w:t>
      </w:r>
      <w:r>
        <w:rPr>
          <w:rFonts w:ascii="Bernard MT Condensed"/>
        </w:rPr>
        <w:t xml:space="preserve">20 39 </w:t>
      </w:r>
      <w:r>
        <w:t>age group. This indicates that within the vaccine-induced group, younger</w:t>
      </w:r>
      <w:r>
        <w:rPr>
          <w:spacing w:val="-14"/>
        </w:rPr>
        <w:t xml:space="preserve"> </w:t>
      </w:r>
      <w:r>
        <w:t>individuals</w:t>
      </w:r>
      <w:r>
        <w:rPr>
          <w:spacing w:val="-14"/>
        </w:rPr>
        <w:t xml:space="preserve"> </w:t>
      </w:r>
      <w:r>
        <w:t>are</w:t>
      </w:r>
      <w:r>
        <w:rPr>
          <w:spacing w:val="-14"/>
        </w:rPr>
        <w:t xml:space="preserve"> </w:t>
      </w:r>
      <w:r>
        <w:t>at</w:t>
      </w:r>
      <w:r>
        <w:rPr>
          <w:spacing w:val="-14"/>
        </w:rPr>
        <w:t xml:space="preserve"> </w:t>
      </w:r>
      <w:r>
        <w:t>a</w:t>
      </w:r>
      <w:r>
        <w:rPr>
          <w:spacing w:val="-14"/>
        </w:rPr>
        <w:t xml:space="preserve"> </w:t>
      </w:r>
      <w:r>
        <w:t>higher</w:t>
      </w:r>
      <w:r>
        <w:rPr>
          <w:spacing w:val="-13"/>
        </w:rPr>
        <w:t xml:space="preserve"> </w:t>
      </w:r>
      <w:r>
        <w:t>probability</w:t>
      </w:r>
      <w:r>
        <w:rPr>
          <w:spacing w:val="-14"/>
        </w:rPr>
        <w:t xml:space="preserve"> </w:t>
      </w:r>
      <w:r>
        <w:t>of</w:t>
      </w:r>
      <w:r>
        <w:rPr>
          <w:spacing w:val="-14"/>
        </w:rPr>
        <w:t xml:space="preserve"> </w:t>
      </w:r>
      <w:r>
        <w:t>avoiding</w:t>
      </w:r>
      <w:r>
        <w:rPr>
          <w:spacing w:val="-14"/>
        </w:rPr>
        <w:t xml:space="preserve"> </w:t>
      </w:r>
      <w:r>
        <w:t>infection</w:t>
      </w:r>
      <w:r>
        <w:rPr>
          <w:spacing w:val="-14"/>
        </w:rPr>
        <w:t xml:space="preserve"> </w:t>
      </w:r>
      <w:r>
        <w:t>than</w:t>
      </w:r>
      <w:r>
        <w:rPr>
          <w:spacing w:val="-14"/>
        </w:rPr>
        <w:t xml:space="preserve"> </w:t>
      </w:r>
      <w:r>
        <w:t>older</w:t>
      </w:r>
      <w:r>
        <w:rPr>
          <w:spacing w:val="-13"/>
        </w:rPr>
        <w:t xml:space="preserve"> </w:t>
      </w:r>
      <w:r>
        <w:t>individuals,</w:t>
      </w:r>
      <w:r>
        <w:rPr>
          <w:spacing w:val="-12"/>
        </w:rPr>
        <w:t xml:space="preserve"> </w:t>
      </w:r>
      <w:r>
        <w:rPr>
          <w:spacing w:val="-3"/>
        </w:rPr>
        <w:t xml:space="preserve">even </w:t>
      </w:r>
      <w:r>
        <w:t>with the same antibody</w:t>
      </w:r>
      <w:r>
        <w:rPr>
          <w:spacing w:val="-5"/>
        </w:rPr>
        <w:t xml:space="preserve"> </w:t>
      </w:r>
      <w:r>
        <w:t>levels.</w:t>
      </w:r>
    </w:p>
    <w:p w14:paraId="5012A98A" w14:textId="77777777" w:rsidR="00AE68F4" w:rsidRDefault="00000000">
      <w:pPr>
        <w:pStyle w:val="BodyText"/>
        <w:spacing w:before="15" w:line="252" w:lineRule="auto"/>
        <w:ind w:right="795" w:firstLine="566"/>
        <w:jc w:val="both"/>
      </w:pPr>
      <w:r>
        <w:t xml:space="preserve">In contrast, the hybrid-induced group shows a consistently high probability of remaining infection-free across all age groups and antibody levels. The probability remains nearly </w:t>
      </w:r>
      <w:r>
        <w:rPr>
          <w:spacing w:val="-5"/>
        </w:rPr>
        <w:t xml:space="preserve">con- </w:t>
      </w:r>
      <w:proofErr w:type="spellStart"/>
      <w:r>
        <w:t>stant</w:t>
      </w:r>
      <w:proofErr w:type="spellEnd"/>
      <w:r>
        <w:t xml:space="preserve"> and very close to 1.0, indicating that hybrid-induced</w:t>
      </w:r>
      <w:r>
        <w:rPr>
          <w:spacing w:val="-43"/>
        </w:rPr>
        <w:t xml:space="preserve"> </w:t>
      </w:r>
      <w:r>
        <w:t xml:space="preserve">immunity provides robust and stable protection against COVID-19 regardless of age or antibody level. This highlights that </w:t>
      </w:r>
      <w:r>
        <w:rPr>
          <w:spacing w:val="-3"/>
        </w:rPr>
        <w:t xml:space="preserve">while </w:t>
      </w:r>
      <w:r>
        <w:t>vaccine-induced</w:t>
      </w:r>
      <w:r>
        <w:rPr>
          <w:spacing w:val="-7"/>
        </w:rPr>
        <w:t xml:space="preserve"> </w:t>
      </w:r>
      <w:r>
        <w:t>immunity</w:t>
      </w:r>
      <w:r>
        <w:rPr>
          <w:spacing w:val="-7"/>
        </w:rPr>
        <w:t xml:space="preserve"> </w:t>
      </w:r>
      <w:r>
        <w:t>varies</w:t>
      </w:r>
      <w:r>
        <w:rPr>
          <w:spacing w:val="-6"/>
        </w:rPr>
        <w:t xml:space="preserve"> </w:t>
      </w:r>
      <w:r>
        <w:t>in</w:t>
      </w:r>
      <w:r>
        <w:rPr>
          <w:spacing w:val="-7"/>
        </w:rPr>
        <w:t xml:space="preserve"> </w:t>
      </w:r>
      <w:r>
        <w:t>effectiveness,</w:t>
      </w:r>
      <w:r>
        <w:rPr>
          <w:spacing w:val="-6"/>
        </w:rPr>
        <w:t xml:space="preserve"> </w:t>
      </w:r>
      <w:r>
        <w:t>hybrid-induced</w:t>
      </w:r>
      <w:r>
        <w:rPr>
          <w:spacing w:val="-7"/>
        </w:rPr>
        <w:t xml:space="preserve"> </w:t>
      </w:r>
      <w:r>
        <w:t>immunity</w:t>
      </w:r>
      <w:r>
        <w:rPr>
          <w:spacing w:val="-7"/>
        </w:rPr>
        <w:t xml:space="preserve"> </w:t>
      </w:r>
      <w:r>
        <w:t>offers</w:t>
      </w:r>
      <w:r>
        <w:rPr>
          <w:spacing w:val="-6"/>
        </w:rPr>
        <w:t xml:space="preserve"> </w:t>
      </w:r>
      <w:r>
        <w:t>a</w:t>
      </w:r>
      <w:r>
        <w:rPr>
          <w:spacing w:val="-7"/>
        </w:rPr>
        <w:t xml:space="preserve"> </w:t>
      </w:r>
      <w:r>
        <w:t>more</w:t>
      </w:r>
      <w:r>
        <w:rPr>
          <w:spacing w:val="-6"/>
        </w:rPr>
        <w:t xml:space="preserve"> </w:t>
      </w:r>
      <w:proofErr w:type="spellStart"/>
      <w:r>
        <w:rPr>
          <w:spacing w:val="-3"/>
        </w:rPr>
        <w:t>reli</w:t>
      </w:r>
      <w:proofErr w:type="spellEnd"/>
      <w:r>
        <w:rPr>
          <w:spacing w:val="-3"/>
        </w:rPr>
        <w:t xml:space="preserve">- </w:t>
      </w:r>
      <w:r>
        <w:t>able</w:t>
      </w:r>
      <w:r>
        <w:rPr>
          <w:spacing w:val="-7"/>
        </w:rPr>
        <w:t xml:space="preserve"> </w:t>
      </w:r>
      <w:r>
        <w:t>protective</w:t>
      </w:r>
      <w:r>
        <w:rPr>
          <w:spacing w:val="-6"/>
        </w:rPr>
        <w:t xml:space="preserve"> </w:t>
      </w:r>
      <w:r>
        <w:t>effect,</w:t>
      </w:r>
      <w:r>
        <w:rPr>
          <w:spacing w:val="-7"/>
        </w:rPr>
        <w:t xml:space="preserve"> </w:t>
      </w:r>
      <w:r>
        <w:t>emphasizing</w:t>
      </w:r>
      <w:r>
        <w:rPr>
          <w:spacing w:val="-6"/>
        </w:rPr>
        <w:t xml:space="preserve"> </w:t>
      </w:r>
      <w:r>
        <w:t>its</w:t>
      </w:r>
      <w:r>
        <w:rPr>
          <w:spacing w:val="-6"/>
        </w:rPr>
        <w:t xml:space="preserve"> </w:t>
      </w:r>
      <w:r>
        <w:t>superior</w:t>
      </w:r>
      <w:r>
        <w:rPr>
          <w:spacing w:val="-7"/>
        </w:rPr>
        <w:t xml:space="preserve"> </w:t>
      </w:r>
      <w:r>
        <w:t>efficacy</w:t>
      </w:r>
      <w:r>
        <w:rPr>
          <w:spacing w:val="-6"/>
        </w:rPr>
        <w:t xml:space="preserve"> </w:t>
      </w:r>
      <w:r>
        <w:t>in</w:t>
      </w:r>
      <w:r>
        <w:rPr>
          <w:spacing w:val="-7"/>
        </w:rPr>
        <w:t xml:space="preserve"> </w:t>
      </w:r>
      <w:r>
        <w:t>maintaining</w:t>
      </w:r>
      <w:r>
        <w:rPr>
          <w:spacing w:val="-6"/>
        </w:rPr>
        <w:t xml:space="preserve"> </w:t>
      </w:r>
      <w:r>
        <w:t>long-term</w:t>
      </w:r>
      <w:r>
        <w:rPr>
          <w:spacing w:val="-6"/>
        </w:rPr>
        <w:t xml:space="preserve"> </w:t>
      </w:r>
      <w:r>
        <w:t>immunity.</w:t>
      </w:r>
    </w:p>
    <w:p w14:paraId="76FEF330" w14:textId="77777777" w:rsidR="00AE68F4" w:rsidRDefault="00AE68F4">
      <w:pPr>
        <w:pStyle w:val="BodyText"/>
        <w:spacing w:before="4"/>
        <w:ind w:left="0"/>
        <w:rPr>
          <w:sz w:val="22"/>
        </w:rPr>
      </w:pPr>
    </w:p>
    <w:p w14:paraId="2DC47365" w14:textId="77777777" w:rsidR="00AE68F4" w:rsidRDefault="00000000">
      <w:pPr>
        <w:pStyle w:val="Heading1"/>
        <w:numPr>
          <w:ilvl w:val="0"/>
          <w:numId w:val="2"/>
        </w:numPr>
        <w:tabs>
          <w:tab w:val="left" w:pos="633"/>
          <w:tab w:val="left" w:pos="634"/>
        </w:tabs>
        <w:spacing w:before="0"/>
      </w:pPr>
      <w:bookmarkStart w:id="7" w:name="Discussion"/>
      <w:bookmarkEnd w:id="7"/>
      <w:r>
        <w:t>Discussion</w:t>
      </w:r>
    </w:p>
    <w:p w14:paraId="648BC660" w14:textId="77777777" w:rsidR="00AE68F4" w:rsidRDefault="00000000">
      <w:pPr>
        <w:pStyle w:val="BodyText"/>
        <w:spacing w:before="231" w:line="252" w:lineRule="auto"/>
        <w:ind w:left="744" w:right="168"/>
        <w:jc w:val="both"/>
      </w:pPr>
      <w:r>
        <w:pict w14:anchorId="15738C64">
          <v:rect id="_x0000_s2050" style="position:absolute;left:0;text-align:left;margin-left:99.2pt;margin-top:11.6pt;width:459.5pt;height:103.4pt;z-index:-252146688;mso-position-horizontal-relative:page" fillcolor="#fff799" stroked="f">
            <w10:wrap anchorx="page"/>
          </v:rect>
        </w:pict>
      </w:r>
      <w:r>
        <w:t xml:space="preserve">In addition to assessing the risk of infection, we also investigated the risk of severe symptoms among those infected. Our analysis indicates that the risk of severe symptoms in the </w:t>
      </w:r>
      <w:r>
        <w:rPr>
          <w:spacing w:val="-3"/>
        </w:rPr>
        <w:t xml:space="preserve">vaccine- </w:t>
      </w:r>
      <w:r>
        <w:t>induced</w:t>
      </w:r>
      <w:r>
        <w:rPr>
          <w:spacing w:val="-15"/>
        </w:rPr>
        <w:t xml:space="preserve"> </w:t>
      </w:r>
      <w:r>
        <w:t>group</w:t>
      </w:r>
      <w:r>
        <w:rPr>
          <w:spacing w:val="-14"/>
        </w:rPr>
        <w:t xml:space="preserve"> </w:t>
      </w:r>
      <w:r>
        <w:t>is</w:t>
      </w:r>
      <w:r>
        <w:rPr>
          <w:spacing w:val="-14"/>
        </w:rPr>
        <w:t xml:space="preserve"> </w:t>
      </w:r>
      <w:r>
        <w:t>approximately</w:t>
      </w:r>
      <w:r>
        <w:rPr>
          <w:spacing w:val="-14"/>
        </w:rPr>
        <w:t xml:space="preserve"> </w:t>
      </w:r>
      <w:r>
        <w:t>1.6</w:t>
      </w:r>
      <w:r>
        <w:rPr>
          <w:spacing w:val="-15"/>
        </w:rPr>
        <w:t xml:space="preserve"> </w:t>
      </w:r>
      <w:r>
        <w:t>times</w:t>
      </w:r>
      <w:r>
        <w:rPr>
          <w:spacing w:val="-14"/>
        </w:rPr>
        <w:t xml:space="preserve"> </w:t>
      </w:r>
      <w:r>
        <w:t>higher</w:t>
      </w:r>
      <w:r>
        <w:rPr>
          <w:spacing w:val="-14"/>
        </w:rPr>
        <w:t xml:space="preserve"> </w:t>
      </w:r>
      <w:r>
        <w:t>than</w:t>
      </w:r>
      <w:r>
        <w:rPr>
          <w:spacing w:val="-14"/>
        </w:rPr>
        <w:t xml:space="preserve"> </w:t>
      </w:r>
      <w:r>
        <w:t>that</w:t>
      </w:r>
      <w:r>
        <w:rPr>
          <w:spacing w:val="-14"/>
        </w:rPr>
        <w:t xml:space="preserve"> </w:t>
      </w:r>
      <w:r>
        <w:t>in</w:t>
      </w:r>
      <w:r>
        <w:rPr>
          <w:spacing w:val="-16"/>
        </w:rPr>
        <w:t xml:space="preserve"> </w:t>
      </w:r>
      <w:r>
        <w:t>the</w:t>
      </w:r>
      <w:r>
        <w:rPr>
          <w:spacing w:val="-14"/>
        </w:rPr>
        <w:t xml:space="preserve"> </w:t>
      </w:r>
      <w:r>
        <w:t>hybrid-induced</w:t>
      </w:r>
      <w:r>
        <w:rPr>
          <w:spacing w:val="-14"/>
        </w:rPr>
        <w:t xml:space="preserve"> </w:t>
      </w:r>
      <w:r>
        <w:t>group.</w:t>
      </w:r>
      <w:r>
        <w:rPr>
          <w:spacing w:val="7"/>
        </w:rPr>
        <w:t xml:space="preserve"> </w:t>
      </w:r>
      <w:r>
        <w:rPr>
          <w:spacing w:val="-4"/>
        </w:rPr>
        <w:t xml:space="preserve">Notably, </w:t>
      </w:r>
      <w:r>
        <w:t>within</w:t>
      </w:r>
      <w:r>
        <w:rPr>
          <w:spacing w:val="-6"/>
        </w:rPr>
        <w:t xml:space="preserve"> </w:t>
      </w:r>
      <w:r>
        <w:t>the</w:t>
      </w:r>
      <w:r>
        <w:rPr>
          <w:spacing w:val="-5"/>
        </w:rPr>
        <w:t xml:space="preserve"> </w:t>
      </w:r>
      <w:r>
        <w:t>vaccine-induced</w:t>
      </w:r>
      <w:r>
        <w:rPr>
          <w:spacing w:val="-5"/>
        </w:rPr>
        <w:t xml:space="preserve"> </w:t>
      </w:r>
      <w:r>
        <w:t>group,</w:t>
      </w:r>
      <w:r>
        <w:rPr>
          <w:spacing w:val="-6"/>
        </w:rPr>
        <w:t xml:space="preserve"> </w:t>
      </w:r>
      <w:r>
        <w:t>nearly</w:t>
      </w:r>
      <w:r>
        <w:rPr>
          <w:spacing w:val="-5"/>
        </w:rPr>
        <w:t xml:space="preserve"> </w:t>
      </w:r>
      <w:r>
        <w:t>70%</w:t>
      </w:r>
      <w:r>
        <w:rPr>
          <w:spacing w:val="-5"/>
        </w:rPr>
        <w:t xml:space="preserve"> </w:t>
      </w:r>
      <w:r>
        <w:t>of</w:t>
      </w:r>
      <w:r>
        <w:rPr>
          <w:spacing w:val="-5"/>
        </w:rPr>
        <w:t xml:space="preserve"> </w:t>
      </w:r>
      <w:r>
        <w:t>severe</w:t>
      </w:r>
      <w:r>
        <w:rPr>
          <w:spacing w:val="-6"/>
        </w:rPr>
        <w:t xml:space="preserve"> </w:t>
      </w:r>
      <w:r>
        <w:t>cases</w:t>
      </w:r>
      <w:r>
        <w:rPr>
          <w:spacing w:val="-5"/>
        </w:rPr>
        <w:t xml:space="preserve"> </w:t>
      </w:r>
      <w:r>
        <w:t>occur</w:t>
      </w:r>
      <w:r>
        <w:rPr>
          <w:spacing w:val="-5"/>
        </w:rPr>
        <w:t xml:space="preserve"> </w:t>
      </w:r>
      <w:r>
        <w:t>in</w:t>
      </w:r>
      <w:r>
        <w:rPr>
          <w:spacing w:val="-5"/>
        </w:rPr>
        <w:t xml:space="preserve"> </w:t>
      </w:r>
      <w:r>
        <w:t>individuals</w:t>
      </w:r>
      <w:r>
        <w:rPr>
          <w:spacing w:val="-6"/>
        </w:rPr>
        <w:t xml:space="preserve"> </w:t>
      </w:r>
      <w:r>
        <w:t>over</w:t>
      </w:r>
      <w:r>
        <w:rPr>
          <w:spacing w:val="-5"/>
        </w:rPr>
        <w:t xml:space="preserve"> </w:t>
      </w:r>
      <w:r>
        <w:t>the</w:t>
      </w:r>
      <w:r>
        <w:rPr>
          <w:spacing w:val="-5"/>
        </w:rPr>
        <w:t xml:space="preserve"> </w:t>
      </w:r>
      <w:r>
        <w:t>age of</w:t>
      </w:r>
      <w:r>
        <w:rPr>
          <w:spacing w:val="-15"/>
        </w:rPr>
        <w:t xml:space="preserve"> </w:t>
      </w:r>
      <w:r>
        <w:t>40.</w:t>
      </w:r>
      <w:r>
        <w:rPr>
          <w:spacing w:val="6"/>
        </w:rPr>
        <w:t xml:space="preserve"> </w:t>
      </w:r>
      <w:r>
        <w:rPr>
          <w:spacing w:val="-4"/>
        </w:rPr>
        <w:t>However,</w:t>
      </w:r>
      <w:r>
        <w:rPr>
          <w:spacing w:val="-12"/>
        </w:rPr>
        <w:t xml:space="preserve"> </w:t>
      </w:r>
      <w:r>
        <w:t>the</w:t>
      </w:r>
      <w:r>
        <w:rPr>
          <w:spacing w:val="-15"/>
        </w:rPr>
        <w:t xml:space="preserve"> </w:t>
      </w:r>
      <w:r>
        <w:t>incidence</w:t>
      </w:r>
      <w:r>
        <w:rPr>
          <w:spacing w:val="-14"/>
        </w:rPr>
        <w:t xml:space="preserve"> </w:t>
      </w:r>
      <w:r>
        <w:t>of</w:t>
      </w:r>
      <w:r>
        <w:rPr>
          <w:spacing w:val="-15"/>
        </w:rPr>
        <w:t xml:space="preserve"> </w:t>
      </w:r>
      <w:r>
        <w:t>severe</w:t>
      </w:r>
      <w:r>
        <w:rPr>
          <w:spacing w:val="-14"/>
        </w:rPr>
        <w:t xml:space="preserve"> </w:t>
      </w:r>
      <w:r>
        <w:t>symptoms</w:t>
      </w:r>
      <w:r>
        <w:rPr>
          <w:spacing w:val="-15"/>
        </w:rPr>
        <w:t xml:space="preserve"> </w:t>
      </w:r>
      <w:r>
        <w:t>following</w:t>
      </w:r>
      <w:r>
        <w:rPr>
          <w:spacing w:val="-14"/>
        </w:rPr>
        <w:t xml:space="preserve"> </w:t>
      </w:r>
      <w:r>
        <w:t>infection</w:t>
      </w:r>
      <w:r>
        <w:rPr>
          <w:spacing w:val="-14"/>
        </w:rPr>
        <w:t xml:space="preserve"> </w:t>
      </w:r>
      <w:r>
        <w:t>with</w:t>
      </w:r>
      <w:r>
        <w:rPr>
          <w:spacing w:val="-15"/>
        </w:rPr>
        <w:t xml:space="preserve"> </w:t>
      </w:r>
      <w:r>
        <w:t>the</w:t>
      </w:r>
      <w:r>
        <w:rPr>
          <w:spacing w:val="-14"/>
        </w:rPr>
        <w:t xml:space="preserve"> </w:t>
      </w:r>
      <w:r>
        <w:t>Omicron</w:t>
      </w:r>
      <w:r>
        <w:rPr>
          <w:spacing w:val="-15"/>
        </w:rPr>
        <w:t xml:space="preserve"> </w:t>
      </w:r>
      <w:r>
        <w:t>variant is</w:t>
      </w:r>
      <w:r>
        <w:rPr>
          <w:spacing w:val="-8"/>
        </w:rPr>
        <w:t xml:space="preserve"> </w:t>
      </w:r>
      <w:r>
        <w:t>notably</w:t>
      </w:r>
      <w:r>
        <w:rPr>
          <w:spacing w:val="-8"/>
        </w:rPr>
        <w:t xml:space="preserve"> </w:t>
      </w:r>
      <w:r>
        <w:t>low</w:t>
      </w:r>
      <w:r>
        <w:rPr>
          <w:spacing w:val="-8"/>
        </w:rPr>
        <w:t xml:space="preserve"> </w:t>
      </w:r>
      <w:r>
        <w:t>in</w:t>
      </w:r>
      <w:r>
        <w:rPr>
          <w:spacing w:val="-7"/>
        </w:rPr>
        <w:t xml:space="preserve"> </w:t>
      </w:r>
      <w:r>
        <w:t>our</w:t>
      </w:r>
      <w:r>
        <w:rPr>
          <w:spacing w:val="-8"/>
        </w:rPr>
        <w:t xml:space="preserve"> </w:t>
      </w:r>
      <w:r>
        <w:t>dataset,</w:t>
      </w:r>
      <w:r>
        <w:rPr>
          <w:spacing w:val="-7"/>
        </w:rPr>
        <w:t xml:space="preserve"> </w:t>
      </w:r>
      <w:r>
        <w:t>particularly</w:t>
      </w:r>
      <w:r>
        <w:rPr>
          <w:spacing w:val="-7"/>
        </w:rPr>
        <w:t xml:space="preserve"> </w:t>
      </w:r>
      <w:r>
        <w:t>within</w:t>
      </w:r>
      <w:r>
        <w:rPr>
          <w:spacing w:val="-8"/>
        </w:rPr>
        <w:t xml:space="preserve"> </w:t>
      </w:r>
      <w:r>
        <w:t>the</w:t>
      </w:r>
      <w:r>
        <w:rPr>
          <w:spacing w:val="-8"/>
        </w:rPr>
        <w:t xml:space="preserve"> </w:t>
      </w:r>
      <w:r>
        <w:t>hybrid-induced</w:t>
      </w:r>
      <w:r>
        <w:rPr>
          <w:spacing w:val="-7"/>
        </w:rPr>
        <w:t xml:space="preserve"> </w:t>
      </w:r>
      <w:r>
        <w:t>group,</w:t>
      </w:r>
      <w:r>
        <w:rPr>
          <w:spacing w:val="-7"/>
        </w:rPr>
        <w:t xml:space="preserve"> </w:t>
      </w:r>
      <w:r>
        <w:t>which</w:t>
      </w:r>
      <w:r>
        <w:rPr>
          <w:spacing w:val="-8"/>
        </w:rPr>
        <w:t xml:space="preserve"> </w:t>
      </w:r>
      <w:r>
        <w:t>includes</w:t>
      </w:r>
      <w:r>
        <w:rPr>
          <w:spacing w:val="-8"/>
        </w:rPr>
        <w:t xml:space="preserve"> </w:t>
      </w:r>
      <w:r>
        <w:rPr>
          <w:spacing w:val="-3"/>
        </w:rPr>
        <w:t xml:space="preserve">only </w:t>
      </w:r>
      <w:r>
        <w:t>3 cases. This limited sample size precludes more detailed statistical</w:t>
      </w:r>
      <w:r>
        <w:rPr>
          <w:spacing w:val="-2"/>
        </w:rPr>
        <w:t xml:space="preserve"> </w:t>
      </w:r>
      <w:r>
        <w:t>analysis.</w:t>
      </w:r>
    </w:p>
    <w:p w14:paraId="61464529" w14:textId="77777777" w:rsidR="00AE68F4" w:rsidRDefault="00000000">
      <w:pPr>
        <w:pStyle w:val="BodyText"/>
        <w:spacing w:line="252" w:lineRule="auto"/>
        <w:ind w:right="795" w:firstLine="566"/>
        <w:jc w:val="both"/>
      </w:pPr>
      <w:r>
        <w:t>Our</w:t>
      </w:r>
      <w:r>
        <w:rPr>
          <w:spacing w:val="-17"/>
        </w:rPr>
        <w:t xml:space="preserve"> </w:t>
      </w:r>
      <w:r>
        <w:t>study</w:t>
      </w:r>
      <w:r>
        <w:rPr>
          <w:spacing w:val="-15"/>
        </w:rPr>
        <w:t xml:space="preserve"> </w:t>
      </w:r>
      <w:r>
        <w:t>highlights</w:t>
      </w:r>
      <w:r>
        <w:rPr>
          <w:spacing w:val="-15"/>
        </w:rPr>
        <w:t xml:space="preserve"> </w:t>
      </w:r>
      <w:r>
        <w:t>significant</w:t>
      </w:r>
      <w:r>
        <w:rPr>
          <w:spacing w:val="-16"/>
        </w:rPr>
        <w:t xml:space="preserve"> </w:t>
      </w:r>
      <w:r>
        <w:t>differences</w:t>
      </w:r>
      <w:r>
        <w:rPr>
          <w:spacing w:val="-16"/>
        </w:rPr>
        <w:t xml:space="preserve"> </w:t>
      </w:r>
      <w:r>
        <w:t>in</w:t>
      </w:r>
      <w:r>
        <w:rPr>
          <w:spacing w:val="-15"/>
        </w:rPr>
        <w:t xml:space="preserve"> </w:t>
      </w:r>
      <w:r>
        <w:t>the</w:t>
      </w:r>
      <w:r>
        <w:rPr>
          <w:spacing w:val="-16"/>
        </w:rPr>
        <w:t xml:space="preserve"> </w:t>
      </w:r>
      <w:r>
        <w:t>efficacy</w:t>
      </w:r>
      <w:r>
        <w:rPr>
          <w:spacing w:val="-16"/>
        </w:rPr>
        <w:t xml:space="preserve"> </w:t>
      </w:r>
      <w:r>
        <w:t>of</w:t>
      </w:r>
      <w:r>
        <w:rPr>
          <w:spacing w:val="-16"/>
        </w:rPr>
        <w:t xml:space="preserve"> </w:t>
      </w:r>
      <w:r>
        <w:t>hybrid-induced</w:t>
      </w:r>
      <w:r>
        <w:rPr>
          <w:spacing w:val="-15"/>
        </w:rPr>
        <w:t xml:space="preserve"> </w:t>
      </w:r>
      <w:r>
        <w:t>and</w:t>
      </w:r>
      <w:r>
        <w:rPr>
          <w:spacing w:val="-16"/>
        </w:rPr>
        <w:t xml:space="preserve"> </w:t>
      </w:r>
      <w:r>
        <w:t>vaccine- induced immunity in preventing COVID-19 infections across various age groups. The</w:t>
      </w:r>
      <w:r>
        <w:rPr>
          <w:spacing w:val="-41"/>
        </w:rPr>
        <w:t xml:space="preserve"> </w:t>
      </w:r>
      <w:r>
        <w:t xml:space="preserve">findings reveal that hybrid-induced immunity consistently provides robust and stable protection </w:t>
      </w:r>
      <w:r>
        <w:rPr>
          <w:spacing w:val="-3"/>
        </w:rPr>
        <w:t xml:space="preserve">across </w:t>
      </w:r>
      <w:r>
        <w:t>all</w:t>
      </w:r>
      <w:r>
        <w:rPr>
          <w:spacing w:val="-5"/>
        </w:rPr>
        <w:t xml:space="preserve"> </w:t>
      </w:r>
      <w:r>
        <w:t>age</w:t>
      </w:r>
      <w:r>
        <w:rPr>
          <w:spacing w:val="-5"/>
        </w:rPr>
        <w:t xml:space="preserve"> </w:t>
      </w:r>
      <w:r>
        <w:t>groups</w:t>
      </w:r>
      <w:r>
        <w:rPr>
          <w:spacing w:val="-5"/>
        </w:rPr>
        <w:t xml:space="preserve"> </w:t>
      </w:r>
      <w:r>
        <w:t>and</w:t>
      </w:r>
      <w:r>
        <w:rPr>
          <w:spacing w:val="-5"/>
        </w:rPr>
        <w:t xml:space="preserve"> </w:t>
      </w:r>
      <w:r>
        <w:t>antibody</w:t>
      </w:r>
      <w:r>
        <w:rPr>
          <w:spacing w:val="-5"/>
        </w:rPr>
        <w:t xml:space="preserve"> </w:t>
      </w:r>
      <w:r>
        <w:t>levels,</w:t>
      </w:r>
      <w:r>
        <w:rPr>
          <w:spacing w:val="-4"/>
        </w:rPr>
        <w:t xml:space="preserve"> </w:t>
      </w:r>
      <w:r>
        <w:t>maintaining</w:t>
      </w:r>
      <w:r>
        <w:rPr>
          <w:spacing w:val="-5"/>
        </w:rPr>
        <w:t xml:space="preserve"> </w:t>
      </w:r>
      <w:r>
        <w:t>a</w:t>
      </w:r>
      <w:r>
        <w:rPr>
          <w:spacing w:val="-5"/>
        </w:rPr>
        <w:t xml:space="preserve"> </w:t>
      </w:r>
      <w:r>
        <w:t>nearly</w:t>
      </w:r>
      <w:r>
        <w:rPr>
          <w:spacing w:val="-5"/>
        </w:rPr>
        <w:t xml:space="preserve"> </w:t>
      </w:r>
      <w:r>
        <w:t>constant</w:t>
      </w:r>
      <w:r>
        <w:rPr>
          <w:spacing w:val="-5"/>
        </w:rPr>
        <w:t xml:space="preserve"> </w:t>
      </w:r>
      <w:r>
        <w:t>high</w:t>
      </w:r>
      <w:r>
        <w:rPr>
          <w:spacing w:val="-4"/>
        </w:rPr>
        <w:t xml:space="preserve"> </w:t>
      </w:r>
      <w:r>
        <w:t>probability</w:t>
      </w:r>
      <w:r>
        <w:rPr>
          <w:spacing w:val="-5"/>
        </w:rPr>
        <w:t xml:space="preserve"> </w:t>
      </w:r>
      <w:r>
        <w:t>of</w:t>
      </w:r>
      <w:r>
        <w:rPr>
          <w:spacing w:val="-5"/>
        </w:rPr>
        <w:t xml:space="preserve"> </w:t>
      </w:r>
      <w:r>
        <w:t xml:space="preserve">remaining infection-free. </w:t>
      </w:r>
      <w:r>
        <w:rPr>
          <w:spacing w:val="-3"/>
        </w:rPr>
        <w:t xml:space="preserve">Conversely, </w:t>
      </w:r>
      <w:r>
        <w:t>the vaccine-induced group demonstrates a decline in infection-free probability</w:t>
      </w:r>
      <w:r>
        <w:rPr>
          <w:spacing w:val="27"/>
        </w:rPr>
        <w:t xml:space="preserve"> </w:t>
      </w:r>
      <w:r>
        <w:t>with</w:t>
      </w:r>
      <w:r>
        <w:rPr>
          <w:spacing w:val="27"/>
        </w:rPr>
        <w:t xml:space="preserve"> </w:t>
      </w:r>
      <w:r>
        <w:t>increasing</w:t>
      </w:r>
      <w:r>
        <w:rPr>
          <w:spacing w:val="27"/>
        </w:rPr>
        <w:t xml:space="preserve"> </w:t>
      </w:r>
      <w:r>
        <w:t>S</w:t>
      </w:r>
      <w:r>
        <w:rPr>
          <w:spacing w:val="27"/>
        </w:rPr>
        <w:t xml:space="preserve"> </w:t>
      </w:r>
      <w:r>
        <w:t>antibody</w:t>
      </w:r>
      <w:r>
        <w:rPr>
          <w:spacing w:val="27"/>
        </w:rPr>
        <w:t xml:space="preserve"> </w:t>
      </w:r>
      <w:r>
        <w:t>levels</w:t>
      </w:r>
      <w:r>
        <w:rPr>
          <w:spacing w:val="27"/>
        </w:rPr>
        <w:t xml:space="preserve"> </w:t>
      </w:r>
      <w:r>
        <w:t>and</w:t>
      </w:r>
      <w:r>
        <w:rPr>
          <w:spacing w:val="28"/>
        </w:rPr>
        <w:t xml:space="preserve"> </w:t>
      </w:r>
      <w:r>
        <w:t>age,</w:t>
      </w:r>
      <w:r>
        <w:rPr>
          <w:spacing w:val="35"/>
        </w:rPr>
        <w:t xml:space="preserve"> </w:t>
      </w:r>
      <w:r>
        <w:t>indicating</w:t>
      </w:r>
      <w:r>
        <w:rPr>
          <w:spacing w:val="27"/>
        </w:rPr>
        <w:t xml:space="preserve"> </w:t>
      </w:r>
      <w:r>
        <w:t>a</w:t>
      </w:r>
      <w:r>
        <w:rPr>
          <w:spacing w:val="27"/>
        </w:rPr>
        <w:t xml:space="preserve"> </w:t>
      </w:r>
      <w:r>
        <w:t>more</w:t>
      </w:r>
      <w:r>
        <w:rPr>
          <w:spacing w:val="27"/>
        </w:rPr>
        <w:t xml:space="preserve"> </w:t>
      </w:r>
      <w:r>
        <w:t>variable</w:t>
      </w:r>
      <w:r>
        <w:rPr>
          <w:spacing w:val="27"/>
        </w:rPr>
        <w:t xml:space="preserve"> </w:t>
      </w:r>
      <w:r>
        <w:rPr>
          <w:spacing w:val="-3"/>
        </w:rPr>
        <w:t>protective</w:t>
      </w:r>
    </w:p>
    <w:p w14:paraId="5FD83280" w14:textId="77777777" w:rsidR="00AE68F4" w:rsidRDefault="00AE68F4">
      <w:pPr>
        <w:spacing w:line="252" w:lineRule="auto"/>
        <w:jc w:val="both"/>
        <w:sectPr w:rsidR="00AE68F4">
          <w:pgSz w:w="11910" w:h="16840"/>
          <w:pgMar w:top="1460" w:right="620" w:bottom="1040" w:left="1300" w:header="0" w:footer="840" w:gutter="0"/>
          <w:cols w:space="720"/>
        </w:sectPr>
      </w:pPr>
    </w:p>
    <w:p w14:paraId="041634F7" w14:textId="77777777" w:rsidR="00AE68F4" w:rsidRDefault="00000000">
      <w:pPr>
        <w:pStyle w:val="BodyText"/>
        <w:spacing w:before="66" w:line="249" w:lineRule="auto"/>
        <w:ind w:right="795"/>
        <w:jc w:val="both"/>
      </w:pPr>
      <w:r>
        <w:lastRenderedPageBreak/>
        <w:t xml:space="preserve">effect. </w:t>
      </w:r>
      <w:r>
        <w:rPr>
          <w:spacing w:val="-4"/>
        </w:rPr>
        <w:t xml:space="preserve">Younger </w:t>
      </w:r>
      <w:r>
        <w:t>individuals (</w:t>
      </w:r>
      <w:r>
        <w:rPr>
          <w:rFonts w:ascii="Garamond"/>
          <w:i/>
        </w:rPr>
        <w:t xml:space="preserve">&lt; </w:t>
      </w:r>
      <w:r>
        <w:rPr>
          <w:rFonts w:ascii="Bernard MT Condensed"/>
        </w:rPr>
        <w:t>20</w:t>
      </w:r>
      <w:r>
        <w:t>) in the vaccine-induced group exhibit the highest infection risk</w:t>
      </w:r>
      <w:r>
        <w:rPr>
          <w:spacing w:val="-18"/>
        </w:rPr>
        <w:t xml:space="preserve"> </w:t>
      </w:r>
      <w:r>
        <w:t>and</w:t>
      </w:r>
      <w:r>
        <w:rPr>
          <w:spacing w:val="-18"/>
        </w:rPr>
        <w:t xml:space="preserve"> </w:t>
      </w:r>
      <w:r>
        <w:t>require</w:t>
      </w:r>
      <w:r>
        <w:rPr>
          <w:spacing w:val="-17"/>
        </w:rPr>
        <w:t xml:space="preserve"> </w:t>
      </w:r>
      <w:r>
        <w:t>significantly</w:t>
      </w:r>
      <w:r>
        <w:rPr>
          <w:spacing w:val="-18"/>
        </w:rPr>
        <w:t xml:space="preserve"> </w:t>
      </w:r>
      <w:r>
        <w:t>higher</w:t>
      </w:r>
      <w:r>
        <w:rPr>
          <w:spacing w:val="-18"/>
        </w:rPr>
        <w:t xml:space="preserve"> </w:t>
      </w:r>
      <w:r>
        <w:t>antibody</w:t>
      </w:r>
      <w:r>
        <w:rPr>
          <w:spacing w:val="-16"/>
        </w:rPr>
        <w:t xml:space="preserve"> </w:t>
      </w:r>
      <w:r>
        <w:t>thresholds</w:t>
      </w:r>
      <w:r>
        <w:rPr>
          <w:spacing w:val="-18"/>
        </w:rPr>
        <w:t xml:space="preserve"> </w:t>
      </w:r>
      <w:r>
        <w:t>to</w:t>
      </w:r>
      <w:r>
        <w:rPr>
          <w:spacing w:val="-18"/>
        </w:rPr>
        <w:t xml:space="preserve"> </w:t>
      </w:r>
      <w:r>
        <w:t>achieve</w:t>
      </w:r>
      <w:r>
        <w:rPr>
          <w:spacing w:val="-17"/>
        </w:rPr>
        <w:t xml:space="preserve"> </w:t>
      </w:r>
      <w:r>
        <w:t>comparable</w:t>
      </w:r>
      <w:r>
        <w:rPr>
          <w:spacing w:val="-18"/>
        </w:rPr>
        <w:t xml:space="preserve"> </w:t>
      </w:r>
      <w:r>
        <w:t>protection</w:t>
      </w:r>
      <w:r>
        <w:rPr>
          <w:spacing w:val="-18"/>
        </w:rPr>
        <w:t xml:space="preserve"> </w:t>
      </w:r>
      <w:r>
        <w:t>levels to older age groups. These results underscore the importance of considering age and antibody levels</w:t>
      </w:r>
      <w:r>
        <w:rPr>
          <w:spacing w:val="-7"/>
        </w:rPr>
        <w:t xml:space="preserve"> </w:t>
      </w:r>
      <w:r>
        <w:t>in</w:t>
      </w:r>
      <w:r>
        <w:rPr>
          <w:spacing w:val="-7"/>
        </w:rPr>
        <w:t xml:space="preserve"> </w:t>
      </w:r>
      <w:r>
        <w:t>vaccination</w:t>
      </w:r>
      <w:r>
        <w:rPr>
          <w:spacing w:val="-7"/>
        </w:rPr>
        <w:t xml:space="preserve"> </w:t>
      </w:r>
      <w:r>
        <w:t>strategies</w:t>
      </w:r>
      <w:r>
        <w:rPr>
          <w:spacing w:val="-7"/>
        </w:rPr>
        <w:t xml:space="preserve"> </w:t>
      </w:r>
      <w:r>
        <w:t>to</w:t>
      </w:r>
      <w:r>
        <w:rPr>
          <w:spacing w:val="-6"/>
        </w:rPr>
        <w:t xml:space="preserve"> </w:t>
      </w:r>
      <w:r>
        <w:t>enhance</w:t>
      </w:r>
      <w:r>
        <w:rPr>
          <w:spacing w:val="-7"/>
        </w:rPr>
        <w:t xml:space="preserve"> </w:t>
      </w:r>
      <w:r>
        <w:t>long-term</w:t>
      </w:r>
      <w:r>
        <w:rPr>
          <w:spacing w:val="-7"/>
        </w:rPr>
        <w:t xml:space="preserve"> </w:t>
      </w:r>
      <w:r>
        <w:t>immunity,</w:t>
      </w:r>
      <w:r>
        <w:rPr>
          <w:spacing w:val="-7"/>
        </w:rPr>
        <w:t xml:space="preserve"> </w:t>
      </w:r>
      <w:r>
        <w:t>suggesting</w:t>
      </w:r>
      <w:r>
        <w:rPr>
          <w:spacing w:val="-6"/>
        </w:rPr>
        <w:t xml:space="preserve"> </w:t>
      </w:r>
      <w:r>
        <w:t>that</w:t>
      </w:r>
      <w:r>
        <w:rPr>
          <w:spacing w:val="-7"/>
        </w:rPr>
        <w:t xml:space="preserve"> </w:t>
      </w:r>
      <w:r>
        <w:t>hybrid-induced immunity may offer superior long-term protection across diverse</w:t>
      </w:r>
      <w:r>
        <w:rPr>
          <w:spacing w:val="-19"/>
        </w:rPr>
        <w:t xml:space="preserve"> </w:t>
      </w:r>
      <w:r>
        <w:t>demographics.</w:t>
      </w:r>
    </w:p>
    <w:p w14:paraId="62FAA0C0" w14:textId="77777777" w:rsidR="00AE68F4" w:rsidRDefault="00000000">
      <w:pPr>
        <w:pStyle w:val="BodyText"/>
        <w:spacing w:line="252" w:lineRule="auto"/>
        <w:ind w:right="795" w:firstLine="566"/>
        <w:jc w:val="both"/>
      </w:pPr>
      <w:r>
        <w:t xml:space="preserve">From the perspective of immune type, both vaccine-induced and hybrid-induced groups show that the youngest population faces the highest infection risk. Specifically, within the vaccine-induced group, to achieve an 80% probability of remaining free from COVID-19 in- </w:t>
      </w:r>
      <w:proofErr w:type="spellStart"/>
      <w:r>
        <w:t>fection</w:t>
      </w:r>
      <w:proofErr w:type="spellEnd"/>
      <w:r>
        <w:t>, the S antibody threshold for the youngest age group must exceed 25,000, which is significantly higher than the threshold for the 20-39 age group, set at 9,000. This disparity emphasizes the need for tailored vaccination strategies that address the unique immunological requirements of different age groups to ensure optimal protection against COVID-19.</w:t>
      </w:r>
    </w:p>
    <w:p w14:paraId="43F5C85B" w14:textId="77777777" w:rsidR="00AE68F4" w:rsidRDefault="00000000">
      <w:pPr>
        <w:pStyle w:val="BodyText"/>
        <w:spacing w:line="252" w:lineRule="auto"/>
        <w:ind w:right="795" w:firstLine="566"/>
        <w:jc w:val="both"/>
      </w:pPr>
      <w:r>
        <w:t>Our</w:t>
      </w:r>
      <w:r>
        <w:rPr>
          <w:spacing w:val="-7"/>
        </w:rPr>
        <w:t xml:space="preserve"> </w:t>
      </w:r>
      <w:r>
        <w:t>results</w:t>
      </w:r>
      <w:r>
        <w:rPr>
          <w:spacing w:val="-7"/>
        </w:rPr>
        <w:t xml:space="preserve"> </w:t>
      </w:r>
      <w:r>
        <w:t>align</w:t>
      </w:r>
      <w:r>
        <w:rPr>
          <w:spacing w:val="-7"/>
        </w:rPr>
        <w:t xml:space="preserve"> </w:t>
      </w:r>
      <w:r>
        <w:t>with</w:t>
      </w:r>
      <w:r>
        <w:rPr>
          <w:spacing w:val="-7"/>
        </w:rPr>
        <w:t xml:space="preserve"> </w:t>
      </w:r>
      <w:r>
        <w:t>previous</w:t>
      </w:r>
      <w:r>
        <w:rPr>
          <w:spacing w:val="-6"/>
        </w:rPr>
        <w:t xml:space="preserve"> </w:t>
      </w:r>
      <w:r>
        <w:t>studies</w:t>
      </w:r>
      <w:r>
        <w:rPr>
          <w:spacing w:val="-7"/>
        </w:rPr>
        <w:t xml:space="preserve"> </w:t>
      </w:r>
      <w:r>
        <w:t>showing</w:t>
      </w:r>
      <w:r>
        <w:rPr>
          <w:spacing w:val="-7"/>
        </w:rPr>
        <w:t xml:space="preserve"> </w:t>
      </w:r>
      <w:r>
        <w:t>that</w:t>
      </w:r>
      <w:r>
        <w:rPr>
          <w:spacing w:val="-7"/>
        </w:rPr>
        <w:t xml:space="preserve"> </w:t>
      </w:r>
      <w:r>
        <w:t>immune</w:t>
      </w:r>
      <w:r>
        <w:rPr>
          <w:spacing w:val="-6"/>
        </w:rPr>
        <w:t xml:space="preserve"> </w:t>
      </w:r>
      <w:r>
        <w:t>system</w:t>
      </w:r>
      <w:r>
        <w:rPr>
          <w:spacing w:val="-7"/>
        </w:rPr>
        <w:t xml:space="preserve"> </w:t>
      </w:r>
      <w:r>
        <w:t>efficiency</w:t>
      </w:r>
      <w:r>
        <w:rPr>
          <w:spacing w:val="-7"/>
        </w:rPr>
        <w:t xml:space="preserve"> </w:t>
      </w:r>
      <w:r>
        <w:t xml:space="preserve">decreases with age, a phenomenon known as </w:t>
      </w:r>
      <w:proofErr w:type="spellStart"/>
      <w:r>
        <w:t>immunosenescence</w:t>
      </w:r>
      <w:proofErr w:type="spellEnd"/>
      <w:r>
        <w:t xml:space="preserve">. This decline results in slower and </w:t>
      </w:r>
      <w:r>
        <w:rPr>
          <w:spacing w:val="-4"/>
        </w:rPr>
        <w:t xml:space="preserve">less </w:t>
      </w:r>
      <w:r>
        <w:t xml:space="preserve">effective responses to infections, including COVID-19. Additionally, the production of new </w:t>
      </w:r>
      <w:r>
        <w:rPr>
          <w:spacing w:val="-14"/>
        </w:rPr>
        <w:t xml:space="preserve">T </w:t>
      </w:r>
      <w:r>
        <w:t xml:space="preserve">cells decreases with age, weakening the </w:t>
      </w:r>
      <w:r>
        <w:rPr>
          <w:spacing w:val="-3"/>
        </w:rPr>
        <w:t xml:space="preserve">body’s </w:t>
      </w:r>
      <w:r>
        <w:t xml:space="preserve">ability to combat the virus (BMJ, 2020). </w:t>
      </w:r>
      <w:r>
        <w:rPr>
          <w:spacing w:val="-4"/>
        </w:rPr>
        <w:t xml:space="preserve">This </w:t>
      </w:r>
      <w:r>
        <w:t>may explain why younger individuals in our research face a lower risk of COVID-19</w:t>
      </w:r>
      <w:r>
        <w:rPr>
          <w:spacing w:val="-16"/>
        </w:rPr>
        <w:t xml:space="preserve"> </w:t>
      </w:r>
      <w:r>
        <w:t>infection despite having similar levels of S</w:t>
      </w:r>
      <w:r>
        <w:rPr>
          <w:spacing w:val="-8"/>
        </w:rPr>
        <w:t xml:space="preserve"> </w:t>
      </w:r>
      <w:r>
        <w:t>antibodies.</w:t>
      </w:r>
    </w:p>
    <w:p w14:paraId="47142665" w14:textId="77777777" w:rsidR="00AE68F4" w:rsidRDefault="00000000">
      <w:pPr>
        <w:pStyle w:val="BodyText"/>
        <w:spacing w:line="252" w:lineRule="auto"/>
        <w:ind w:right="795" w:firstLine="566"/>
        <w:jc w:val="both"/>
      </w:pPr>
      <w:r>
        <w:t>Moreover,</w:t>
      </w:r>
      <w:r>
        <w:rPr>
          <w:spacing w:val="-17"/>
        </w:rPr>
        <w:t xml:space="preserve"> </w:t>
      </w:r>
      <w:r>
        <w:t>older</w:t>
      </w:r>
      <w:r>
        <w:rPr>
          <w:spacing w:val="-18"/>
        </w:rPr>
        <w:t xml:space="preserve"> </w:t>
      </w:r>
      <w:r>
        <w:t>adults</w:t>
      </w:r>
      <w:r>
        <w:rPr>
          <w:spacing w:val="-19"/>
        </w:rPr>
        <w:t xml:space="preserve"> </w:t>
      </w:r>
      <w:r>
        <w:rPr>
          <w:spacing w:val="-3"/>
        </w:rPr>
        <w:t>have</w:t>
      </w:r>
      <w:r>
        <w:rPr>
          <w:spacing w:val="-18"/>
        </w:rPr>
        <w:t xml:space="preserve"> </w:t>
      </w:r>
      <w:r>
        <w:t>demonstrated</w:t>
      </w:r>
      <w:r>
        <w:rPr>
          <w:spacing w:val="-18"/>
        </w:rPr>
        <w:t xml:space="preserve"> </w:t>
      </w:r>
      <w:r>
        <w:t>higher</w:t>
      </w:r>
      <w:r>
        <w:rPr>
          <w:spacing w:val="-19"/>
        </w:rPr>
        <w:t xml:space="preserve"> </w:t>
      </w:r>
      <w:r>
        <w:t>mobility</w:t>
      </w:r>
      <w:r>
        <w:rPr>
          <w:spacing w:val="-18"/>
        </w:rPr>
        <w:t xml:space="preserve"> </w:t>
      </w:r>
      <w:r>
        <w:t>resilience</w:t>
      </w:r>
      <w:r>
        <w:rPr>
          <w:spacing w:val="-18"/>
        </w:rPr>
        <w:t xml:space="preserve"> </w:t>
      </w:r>
      <w:r>
        <w:t>compared</w:t>
      </w:r>
      <w:r>
        <w:rPr>
          <w:spacing w:val="-19"/>
        </w:rPr>
        <w:t xml:space="preserve"> </w:t>
      </w:r>
      <w:r>
        <w:t>to</w:t>
      </w:r>
      <w:r>
        <w:rPr>
          <w:spacing w:val="-18"/>
        </w:rPr>
        <w:t xml:space="preserve"> </w:t>
      </w:r>
      <w:r>
        <w:t xml:space="preserve">younger </w:t>
      </w:r>
      <w:r>
        <w:rPr>
          <w:w w:val="99"/>
        </w:rPr>
        <w:t>ind</w:t>
      </w:r>
      <w:r>
        <w:rPr>
          <w:spacing w:val="-6"/>
          <w:w w:val="99"/>
        </w:rPr>
        <w:t>i</w:t>
      </w:r>
      <w:r>
        <w:rPr>
          <w:w w:val="99"/>
        </w:rPr>
        <w:t>viduals</w:t>
      </w:r>
      <w:r>
        <w:rPr>
          <w:spacing w:val="-2"/>
        </w:rPr>
        <w:t xml:space="preserve"> </w:t>
      </w:r>
      <w:r>
        <w:rPr>
          <w:w w:val="99"/>
        </w:rPr>
        <w:t>(</w:t>
      </w:r>
      <w:proofErr w:type="spellStart"/>
      <w:r>
        <w:rPr>
          <w:spacing w:val="-1"/>
          <w:w w:val="99"/>
        </w:rPr>
        <w:t>V</w:t>
      </w:r>
      <w:r>
        <w:rPr>
          <w:spacing w:val="-93"/>
          <w:w w:val="99"/>
        </w:rPr>
        <w:t>a</w:t>
      </w:r>
      <w:r>
        <w:rPr>
          <w:spacing w:val="13"/>
          <w:w w:val="99"/>
        </w:rPr>
        <w:t>¨</w:t>
      </w:r>
      <w:r>
        <w:rPr>
          <w:w w:val="99"/>
        </w:rPr>
        <w:t>is</w:t>
      </w:r>
      <w:r>
        <w:rPr>
          <w:spacing w:val="-93"/>
          <w:w w:val="99"/>
        </w:rPr>
        <w:t>a</w:t>
      </w:r>
      <w:r>
        <w:rPr>
          <w:spacing w:val="13"/>
          <w:w w:val="99"/>
        </w:rPr>
        <w:t>¨</w:t>
      </w:r>
      <w:r>
        <w:rPr>
          <w:w w:val="99"/>
        </w:rPr>
        <w:t>nen</w:t>
      </w:r>
      <w:proofErr w:type="spellEnd"/>
      <w:r>
        <w:rPr>
          <w:spacing w:val="-2"/>
        </w:rPr>
        <w:t xml:space="preserve"> </w:t>
      </w:r>
      <w:r>
        <w:rPr>
          <w:w w:val="99"/>
        </w:rPr>
        <w:t>&amp;</w:t>
      </w:r>
      <w:r>
        <w:rPr>
          <w:spacing w:val="-2"/>
        </w:rPr>
        <w:t xml:space="preserve"> </w:t>
      </w:r>
      <w:r>
        <w:rPr>
          <w:spacing w:val="-20"/>
          <w:w w:val="99"/>
        </w:rPr>
        <w:t>T</w:t>
      </w:r>
      <w:r>
        <w:rPr>
          <w:w w:val="99"/>
        </w:rPr>
        <w:t>o</w:t>
      </w:r>
      <w:r>
        <w:rPr>
          <w:spacing w:val="-6"/>
          <w:w w:val="99"/>
        </w:rPr>
        <w:t>i</w:t>
      </w:r>
      <w:r>
        <w:rPr>
          <w:spacing w:val="-5"/>
          <w:w w:val="99"/>
        </w:rPr>
        <w:t>v</w:t>
      </w:r>
      <w:r>
        <w:rPr>
          <w:w w:val="99"/>
        </w:rPr>
        <w:t>onen,</w:t>
      </w:r>
      <w:r>
        <w:rPr>
          <w:spacing w:val="-1"/>
        </w:rPr>
        <w:t xml:space="preserve"> </w:t>
      </w:r>
      <w:r>
        <w:rPr>
          <w:w w:val="99"/>
        </w:rPr>
        <w:t>2021),</w:t>
      </w:r>
      <w:r>
        <w:rPr>
          <w:spacing w:val="-2"/>
        </w:rPr>
        <w:t xml:space="preserve"> </w:t>
      </w:r>
      <w:r>
        <w:rPr>
          <w:w w:val="99"/>
        </w:rPr>
        <w:t>leading</w:t>
      </w:r>
      <w:r>
        <w:rPr>
          <w:spacing w:val="-2"/>
        </w:rPr>
        <w:t xml:space="preserve"> </w:t>
      </w:r>
      <w:r>
        <w:rPr>
          <w:w w:val="99"/>
        </w:rPr>
        <w:t>to</w:t>
      </w:r>
      <w:r>
        <w:rPr>
          <w:spacing w:val="-2"/>
        </w:rPr>
        <w:t xml:space="preserve"> </w:t>
      </w:r>
      <w:r>
        <w:rPr>
          <w:w w:val="99"/>
        </w:rPr>
        <w:t>a</w:t>
      </w:r>
      <w:r>
        <w:rPr>
          <w:spacing w:val="-2"/>
        </w:rPr>
        <w:t xml:space="preserve"> </w:t>
      </w:r>
      <w:r>
        <w:rPr>
          <w:w w:val="99"/>
        </w:rPr>
        <w:t>l</w:t>
      </w:r>
      <w:r>
        <w:rPr>
          <w:spacing w:val="-6"/>
          <w:w w:val="99"/>
        </w:rPr>
        <w:t>o</w:t>
      </w:r>
      <w:r>
        <w:rPr>
          <w:w w:val="99"/>
        </w:rPr>
        <w:t>wer</w:t>
      </w:r>
      <w:r>
        <w:rPr>
          <w:spacing w:val="-2"/>
        </w:rPr>
        <w:t xml:space="preserve"> </w:t>
      </w:r>
      <w:r>
        <w:rPr>
          <w:spacing w:val="-4"/>
          <w:w w:val="99"/>
        </w:rPr>
        <w:t>e</w:t>
      </w:r>
      <w:r>
        <w:rPr>
          <w:w w:val="99"/>
        </w:rPr>
        <w:t>xposure</w:t>
      </w:r>
      <w:r>
        <w:rPr>
          <w:spacing w:val="-2"/>
        </w:rPr>
        <w:t xml:space="preserve"> </w:t>
      </w:r>
      <w:r>
        <w:rPr>
          <w:w w:val="99"/>
        </w:rPr>
        <w:t>risk</w:t>
      </w:r>
      <w:r>
        <w:rPr>
          <w:spacing w:val="-2"/>
        </w:rPr>
        <w:t xml:space="preserve"> </w:t>
      </w:r>
      <w:r>
        <w:rPr>
          <w:w w:val="99"/>
        </w:rPr>
        <w:t>for</w:t>
      </w:r>
      <w:r>
        <w:rPr>
          <w:spacing w:val="-2"/>
        </w:rPr>
        <w:t xml:space="preserve"> </w:t>
      </w:r>
      <w:r>
        <w:rPr>
          <w:w w:val="99"/>
        </w:rPr>
        <w:t>the</w:t>
      </w:r>
      <w:r>
        <w:rPr>
          <w:spacing w:val="-2"/>
        </w:rPr>
        <w:t xml:space="preserve"> </w:t>
      </w:r>
      <w:r>
        <w:rPr>
          <w:w w:val="99"/>
        </w:rPr>
        <w:t>elderl</w:t>
      </w:r>
      <w:r>
        <w:rPr>
          <w:spacing w:val="-16"/>
          <w:w w:val="99"/>
        </w:rPr>
        <w:t>y</w:t>
      </w:r>
      <w:r>
        <w:rPr>
          <w:w w:val="99"/>
        </w:rPr>
        <w:t>.</w:t>
      </w:r>
      <w:r>
        <w:rPr>
          <w:spacing w:val="13"/>
        </w:rPr>
        <w:t xml:space="preserve"> </w:t>
      </w:r>
      <w:r>
        <w:rPr>
          <w:w w:val="99"/>
        </w:rPr>
        <w:t xml:space="preserve">This </w:t>
      </w:r>
      <w:r>
        <w:t xml:space="preserve">variation in exposure risk explains why the protective efficacy of a fixed S antibody level </w:t>
      </w:r>
      <w:r>
        <w:rPr>
          <w:spacing w:val="-4"/>
        </w:rPr>
        <w:t xml:space="preserve">does </w:t>
      </w:r>
      <w:r>
        <w:t>not strictly increase with decreasing age in our</w:t>
      </w:r>
      <w:r>
        <w:rPr>
          <w:spacing w:val="-10"/>
        </w:rPr>
        <w:t xml:space="preserve"> </w:t>
      </w:r>
      <w:r>
        <w:rPr>
          <w:spacing w:val="-3"/>
        </w:rPr>
        <w:t>study.</w:t>
      </w:r>
    </w:p>
    <w:p w14:paraId="6B11DAA3" w14:textId="77777777" w:rsidR="00AE68F4" w:rsidRDefault="00000000">
      <w:pPr>
        <w:pStyle w:val="BodyText"/>
        <w:spacing w:line="273" w:lineRule="exact"/>
        <w:ind w:left="684"/>
        <w:jc w:val="both"/>
      </w:pPr>
      <w:r>
        <w:t>One notable limitation of this study is the potential bias in comparing the increased spike</w:t>
      </w:r>
    </w:p>
    <w:p w14:paraId="26FD9946" w14:textId="77777777" w:rsidR="00AE68F4" w:rsidRDefault="00000000">
      <w:pPr>
        <w:pStyle w:val="ListParagraph"/>
        <w:numPr>
          <w:ilvl w:val="0"/>
          <w:numId w:val="1"/>
        </w:numPr>
        <w:tabs>
          <w:tab w:val="left" w:pos="480"/>
        </w:tabs>
        <w:spacing w:before="0" w:line="252" w:lineRule="auto"/>
        <w:ind w:right="795" w:firstLine="0"/>
        <w:jc w:val="both"/>
        <w:rPr>
          <w:sz w:val="24"/>
        </w:rPr>
      </w:pPr>
      <w:r>
        <w:rPr>
          <w:sz w:val="24"/>
        </w:rPr>
        <w:t xml:space="preserve">antibody titer levels themselves due to diagnostic and data collection issues. The </w:t>
      </w:r>
      <w:proofErr w:type="spellStart"/>
      <w:r>
        <w:rPr>
          <w:sz w:val="24"/>
        </w:rPr>
        <w:t>variabil</w:t>
      </w:r>
      <w:proofErr w:type="spellEnd"/>
      <w:r>
        <w:rPr>
          <w:sz w:val="24"/>
        </w:rPr>
        <w:t xml:space="preserve">- </w:t>
      </w:r>
      <w:proofErr w:type="spellStart"/>
      <w:r>
        <w:rPr>
          <w:sz w:val="24"/>
        </w:rPr>
        <w:t>ity</w:t>
      </w:r>
      <w:proofErr w:type="spellEnd"/>
      <w:r>
        <w:rPr>
          <w:sz w:val="24"/>
        </w:rPr>
        <w:t xml:space="preserve"> in diagnostic accuracy and data quality across different surveillance points may introduce inconsistencies in the measurement of antibody titers. This could affect the reliability of direct comparisons between hybrid-induced and vaccine-induced immunity groups based solely on </w:t>
      </w:r>
      <w:r>
        <w:rPr>
          <w:spacing w:val="-15"/>
          <w:sz w:val="24"/>
        </w:rPr>
        <w:t xml:space="preserve">S </w:t>
      </w:r>
      <w:r>
        <w:rPr>
          <w:sz w:val="24"/>
        </w:rPr>
        <w:t>antibody titer</w:t>
      </w:r>
      <w:r>
        <w:rPr>
          <w:spacing w:val="-3"/>
          <w:sz w:val="24"/>
        </w:rPr>
        <w:t xml:space="preserve"> </w:t>
      </w:r>
      <w:r>
        <w:rPr>
          <w:sz w:val="24"/>
        </w:rPr>
        <w:t>levels.</w:t>
      </w:r>
    </w:p>
    <w:p w14:paraId="69EDE838" w14:textId="77777777" w:rsidR="00AE68F4" w:rsidRDefault="00000000">
      <w:pPr>
        <w:pStyle w:val="BodyText"/>
        <w:spacing w:line="252" w:lineRule="auto"/>
        <w:ind w:right="795" w:firstLine="566"/>
        <w:jc w:val="both"/>
      </w:pPr>
      <w:r>
        <w:rPr>
          <w:spacing w:val="-10"/>
        </w:rPr>
        <w:t xml:space="preserve">To </w:t>
      </w:r>
      <w:r>
        <w:t xml:space="preserve">mitigate this bias, we recommend focusing on </w:t>
      </w:r>
      <w:proofErr w:type="gramStart"/>
      <w:r>
        <w:t>the ”infection</w:t>
      </w:r>
      <w:proofErr w:type="gramEnd"/>
      <w:r>
        <w:t xml:space="preserve"> averting efficacy” as- sociated with S antibody levels between the comparison groups. This approach allows for </w:t>
      </w:r>
      <w:r>
        <w:rPr>
          <w:spacing w:val="-14"/>
        </w:rPr>
        <w:t xml:space="preserve">a </w:t>
      </w:r>
      <w:r>
        <w:t>more robust assessment of immune protection by evaluating the ability of different immunity types</w:t>
      </w:r>
      <w:r>
        <w:rPr>
          <w:spacing w:val="-13"/>
        </w:rPr>
        <w:t xml:space="preserve"> </w:t>
      </w:r>
      <w:r>
        <w:t>to</w:t>
      </w:r>
      <w:r>
        <w:rPr>
          <w:spacing w:val="-12"/>
        </w:rPr>
        <w:t xml:space="preserve"> </w:t>
      </w:r>
      <w:r>
        <w:t>prevent</w:t>
      </w:r>
      <w:r>
        <w:rPr>
          <w:spacing w:val="-13"/>
        </w:rPr>
        <w:t xml:space="preserve"> </w:t>
      </w:r>
      <w:r>
        <w:rPr>
          <w:spacing w:val="-3"/>
        </w:rPr>
        <w:t>SARS-CoV-2</w:t>
      </w:r>
      <w:r>
        <w:rPr>
          <w:spacing w:val="-12"/>
        </w:rPr>
        <w:t xml:space="preserve"> </w:t>
      </w:r>
      <w:r>
        <w:t>infection,</w:t>
      </w:r>
      <w:r>
        <w:rPr>
          <w:spacing w:val="-11"/>
        </w:rPr>
        <w:t xml:space="preserve"> </w:t>
      </w:r>
      <w:r>
        <w:t>rather</w:t>
      </w:r>
      <w:r>
        <w:rPr>
          <w:spacing w:val="-12"/>
        </w:rPr>
        <w:t xml:space="preserve"> </w:t>
      </w:r>
      <w:r>
        <w:t>than</w:t>
      </w:r>
      <w:r>
        <w:rPr>
          <w:spacing w:val="-13"/>
        </w:rPr>
        <w:t xml:space="preserve"> </w:t>
      </w:r>
      <w:r>
        <w:t>solely</w:t>
      </w:r>
      <w:r>
        <w:rPr>
          <w:spacing w:val="-12"/>
        </w:rPr>
        <w:t xml:space="preserve"> </w:t>
      </w:r>
      <w:r>
        <w:t>relying</w:t>
      </w:r>
      <w:r>
        <w:rPr>
          <w:spacing w:val="-12"/>
        </w:rPr>
        <w:t xml:space="preserve"> </w:t>
      </w:r>
      <w:r>
        <w:t>on</w:t>
      </w:r>
      <w:r>
        <w:rPr>
          <w:spacing w:val="-13"/>
        </w:rPr>
        <w:t xml:space="preserve"> </w:t>
      </w:r>
      <w:r>
        <w:t>changes</w:t>
      </w:r>
      <w:r>
        <w:rPr>
          <w:spacing w:val="-12"/>
        </w:rPr>
        <w:t xml:space="preserve"> </w:t>
      </w:r>
      <w:r>
        <w:t>in</w:t>
      </w:r>
      <w:r>
        <w:rPr>
          <w:spacing w:val="-13"/>
        </w:rPr>
        <w:t xml:space="preserve"> </w:t>
      </w:r>
      <w:r>
        <w:t>antibody</w:t>
      </w:r>
      <w:r>
        <w:rPr>
          <w:spacing w:val="-12"/>
        </w:rPr>
        <w:t xml:space="preserve"> </w:t>
      </w:r>
      <w:r>
        <w:t>titers. By emphasizing the efficacy of infection prevention, we aim to provide a more accurate and meaningful comparison of hybrid-induced and vaccine-induced immunity, despite the</w:t>
      </w:r>
      <w:r>
        <w:rPr>
          <w:spacing w:val="-27"/>
        </w:rPr>
        <w:t xml:space="preserve"> </w:t>
      </w:r>
      <w:r>
        <w:t>inherent challenges in antibody titer</w:t>
      </w:r>
      <w:r>
        <w:rPr>
          <w:spacing w:val="-5"/>
        </w:rPr>
        <w:t xml:space="preserve"> </w:t>
      </w:r>
      <w:r>
        <w:t>measurement.</w:t>
      </w:r>
    </w:p>
    <w:p w14:paraId="66F2ABB8" w14:textId="77777777" w:rsidR="00AE68F4" w:rsidRDefault="00000000">
      <w:pPr>
        <w:pStyle w:val="BodyText"/>
        <w:spacing w:line="252" w:lineRule="auto"/>
        <w:ind w:right="795" w:firstLine="566"/>
        <w:jc w:val="both"/>
      </w:pPr>
      <w:r>
        <w:t xml:space="preserve">Despite these limitations, the study offers important implications. If the survey had been conducted in the early stages of the COVID-19 pandemic, it would </w:t>
      </w:r>
      <w:r>
        <w:rPr>
          <w:spacing w:val="-3"/>
        </w:rPr>
        <w:t xml:space="preserve">have </w:t>
      </w:r>
      <w:r>
        <w:t xml:space="preserve">been possible to ana- </w:t>
      </w:r>
      <w:proofErr w:type="spellStart"/>
      <w:r>
        <w:t>lyze</w:t>
      </w:r>
      <w:proofErr w:type="spellEnd"/>
      <w:r>
        <w:rPr>
          <w:spacing w:val="-8"/>
        </w:rPr>
        <w:t xml:space="preserve"> </w:t>
      </w:r>
      <w:r>
        <w:t>the</w:t>
      </w:r>
      <w:r>
        <w:rPr>
          <w:spacing w:val="-7"/>
        </w:rPr>
        <w:t xml:space="preserve"> </w:t>
      </w:r>
      <w:r>
        <w:t>effectiveness</w:t>
      </w:r>
      <w:r>
        <w:rPr>
          <w:spacing w:val="-7"/>
        </w:rPr>
        <w:t xml:space="preserve"> </w:t>
      </w:r>
      <w:r>
        <w:t>of</w:t>
      </w:r>
      <w:r>
        <w:rPr>
          <w:spacing w:val="-8"/>
        </w:rPr>
        <w:t xml:space="preserve"> </w:t>
      </w:r>
      <w:r>
        <w:t>vaccines</w:t>
      </w:r>
      <w:r>
        <w:rPr>
          <w:spacing w:val="-7"/>
        </w:rPr>
        <w:t xml:space="preserve"> </w:t>
      </w:r>
      <w:r>
        <w:t>against</w:t>
      </w:r>
      <w:r>
        <w:rPr>
          <w:spacing w:val="-7"/>
        </w:rPr>
        <w:t xml:space="preserve"> </w:t>
      </w:r>
      <w:r>
        <w:t>various</w:t>
      </w:r>
      <w:r>
        <w:rPr>
          <w:spacing w:val="-7"/>
        </w:rPr>
        <w:t xml:space="preserve"> </w:t>
      </w:r>
      <w:r>
        <w:t>variants</w:t>
      </w:r>
      <w:r>
        <w:rPr>
          <w:spacing w:val="-8"/>
        </w:rPr>
        <w:t xml:space="preserve"> </w:t>
      </w:r>
      <w:r>
        <w:t>of</w:t>
      </w:r>
      <w:r>
        <w:rPr>
          <w:spacing w:val="-7"/>
        </w:rPr>
        <w:t xml:space="preserve"> </w:t>
      </w:r>
      <w:r>
        <w:t>the</w:t>
      </w:r>
      <w:r>
        <w:rPr>
          <w:spacing w:val="-7"/>
        </w:rPr>
        <w:t xml:space="preserve"> </w:t>
      </w:r>
      <w:r>
        <w:t>virus,</w:t>
      </w:r>
      <w:r>
        <w:rPr>
          <w:spacing w:val="-7"/>
        </w:rPr>
        <w:t xml:space="preserve"> </w:t>
      </w:r>
      <w:r>
        <w:t>not</w:t>
      </w:r>
      <w:r>
        <w:rPr>
          <w:spacing w:val="-8"/>
        </w:rPr>
        <w:t xml:space="preserve"> </w:t>
      </w:r>
      <w:r>
        <w:t>just</w:t>
      </w:r>
      <w:r>
        <w:rPr>
          <w:spacing w:val="-7"/>
        </w:rPr>
        <w:t xml:space="preserve"> </w:t>
      </w:r>
      <w:r>
        <w:t>Omicron.</w:t>
      </w:r>
      <w:r>
        <w:rPr>
          <w:spacing w:val="8"/>
        </w:rPr>
        <w:t xml:space="preserve"> </w:t>
      </w:r>
      <w:r>
        <w:rPr>
          <w:spacing w:val="-3"/>
        </w:rPr>
        <w:t xml:space="preserve">More- </w:t>
      </w:r>
      <w:r>
        <w:rPr>
          <w:spacing w:val="-4"/>
        </w:rPr>
        <w:t>over,</w:t>
      </w:r>
      <w:r>
        <w:rPr>
          <w:spacing w:val="-16"/>
        </w:rPr>
        <w:t xml:space="preserve"> </w:t>
      </w:r>
      <w:r>
        <w:t>more</w:t>
      </w:r>
      <w:r>
        <w:rPr>
          <w:spacing w:val="-18"/>
        </w:rPr>
        <w:t xml:space="preserve"> </w:t>
      </w:r>
      <w:r>
        <w:t>frequent</w:t>
      </w:r>
      <w:r>
        <w:rPr>
          <w:spacing w:val="-18"/>
        </w:rPr>
        <w:t xml:space="preserve"> </w:t>
      </w:r>
      <w:r>
        <w:t>and</w:t>
      </w:r>
      <w:r>
        <w:rPr>
          <w:spacing w:val="-17"/>
        </w:rPr>
        <w:t xml:space="preserve"> </w:t>
      </w:r>
      <w:r>
        <w:t>continuous</w:t>
      </w:r>
      <w:r>
        <w:rPr>
          <w:spacing w:val="-18"/>
        </w:rPr>
        <w:t xml:space="preserve"> </w:t>
      </w:r>
      <w:r>
        <w:t>surveillance</w:t>
      </w:r>
      <w:r>
        <w:rPr>
          <w:spacing w:val="-18"/>
        </w:rPr>
        <w:t xml:space="preserve"> </w:t>
      </w:r>
      <w:r>
        <w:t>data</w:t>
      </w:r>
      <w:r>
        <w:rPr>
          <w:spacing w:val="-18"/>
        </w:rPr>
        <w:t xml:space="preserve"> </w:t>
      </w:r>
      <w:r>
        <w:t>would</w:t>
      </w:r>
      <w:r>
        <w:rPr>
          <w:spacing w:val="-18"/>
        </w:rPr>
        <w:t xml:space="preserve"> </w:t>
      </w:r>
      <w:r>
        <w:t>enable</w:t>
      </w:r>
      <w:r>
        <w:rPr>
          <w:spacing w:val="-18"/>
        </w:rPr>
        <w:t xml:space="preserve"> </w:t>
      </w:r>
      <w:r>
        <w:t>a</w:t>
      </w:r>
      <w:r>
        <w:rPr>
          <w:spacing w:val="-18"/>
        </w:rPr>
        <w:t xml:space="preserve"> </w:t>
      </w:r>
      <w:r>
        <w:t>more</w:t>
      </w:r>
      <w:r>
        <w:rPr>
          <w:spacing w:val="-18"/>
        </w:rPr>
        <w:t xml:space="preserve"> </w:t>
      </w:r>
      <w:r>
        <w:t>precise</w:t>
      </w:r>
      <w:r>
        <w:rPr>
          <w:spacing w:val="-18"/>
        </w:rPr>
        <w:t xml:space="preserve"> </w:t>
      </w:r>
      <w:r>
        <w:t>quantification of</w:t>
      </w:r>
      <w:r>
        <w:rPr>
          <w:spacing w:val="-4"/>
        </w:rPr>
        <w:t xml:space="preserve"> </w:t>
      </w:r>
      <w:r>
        <w:t>the</w:t>
      </w:r>
      <w:r>
        <w:rPr>
          <w:spacing w:val="-4"/>
        </w:rPr>
        <w:t xml:space="preserve"> </w:t>
      </w:r>
      <w:r>
        <w:t>protective</w:t>
      </w:r>
      <w:r>
        <w:rPr>
          <w:spacing w:val="-4"/>
        </w:rPr>
        <w:t xml:space="preserve"> </w:t>
      </w:r>
      <w:r>
        <w:t>efficacy</w:t>
      </w:r>
      <w:r>
        <w:rPr>
          <w:spacing w:val="-4"/>
        </w:rPr>
        <w:t xml:space="preserve"> </w:t>
      </w:r>
      <w:r>
        <w:t>of</w:t>
      </w:r>
      <w:r>
        <w:rPr>
          <w:spacing w:val="-4"/>
        </w:rPr>
        <w:t xml:space="preserve"> </w:t>
      </w:r>
      <w:r>
        <w:t>infection</w:t>
      </w:r>
      <w:r>
        <w:rPr>
          <w:spacing w:val="-3"/>
        </w:rPr>
        <w:t xml:space="preserve"> </w:t>
      </w:r>
      <w:r>
        <w:t>and</w:t>
      </w:r>
      <w:r>
        <w:rPr>
          <w:spacing w:val="-4"/>
        </w:rPr>
        <w:t xml:space="preserve"> </w:t>
      </w:r>
      <w:r>
        <w:t>vaccination</w:t>
      </w:r>
      <w:r>
        <w:rPr>
          <w:spacing w:val="-4"/>
        </w:rPr>
        <w:t xml:space="preserve"> </w:t>
      </w:r>
      <w:r>
        <w:t>by</w:t>
      </w:r>
      <w:r>
        <w:rPr>
          <w:spacing w:val="-4"/>
        </w:rPr>
        <w:t xml:space="preserve"> </w:t>
      </w:r>
      <w:r>
        <w:t>measuring</w:t>
      </w:r>
      <w:r>
        <w:rPr>
          <w:spacing w:val="-4"/>
        </w:rPr>
        <w:t xml:space="preserve"> </w:t>
      </w:r>
      <w:r>
        <w:t>S</w:t>
      </w:r>
      <w:r>
        <w:rPr>
          <w:spacing w:val="-4"/>
        </w:rPr>
        <w:t xml:space="preserve"> </w:t>
      </w:r>
      <w:r>
        <w:t>antibody</w:t>
      </w:r>
      <w:r>
        <w:rPr>
          <w:spacing w:val="-3"/>
        </w:rPr>
        <w:t xml:space="preserve"> </w:t>
      </w:r>
      <w:r>
        <w:t>levels.</w:t>
      </w:r>
    </w:p>
    <w:p w14:paraId="06B2A9F5" w14:textId="77777777" w:rsidR="00AE68F4" w:rsidRDefault="00AE68F4">
      <w:pPr>
        <w:spacing w:line="252" w:lineRule="auto"/>
        <w:jc w:val="both"/>
        <w:sectPr w:rsidR="00AE68F4">
          <w:pgSz w:w="11910" w:h="16840"/>
          <w:pgMar w:top="1340" w:right="620" w:bottom="1040" w:left="1300" w:header="0" w:footer="840" w:gutter="0"/>
          <w:cols w:space="720"/>
        </w:sectPr>
      </w:pPr>
    </w:p>
    <w:p w14:paraId="0F2ED600" w14:textId="77777777" w:rsidR="00AE68F4" w:rsidRDefault="00000000">
      <w:pPr>
        <w:pStyle w:val="Heading1"/>
        <w:ind w:left="117" w:firstLine="0"/>
      </w:pPr>
      <w:r>
        <w:lastRenderedPageBreak/>
        <w:t>References</w:t>
      </w:r>
    </w:p>
    <w:p w14:paraId="12D4881B" w14:textId="77777777" w:rsidR="00AE68F4" w:rsidRDefault="00000000">
      <w:pPr>
        <w:pStyle w:val="ListParagraph"/>
        <w:numPr>
          <w:ilvl w:val="1"/>
          <w:numId w:val="1"/>
        </w:numPr>
        <w:tabs>
          <w:tab w:val="left" w:pos="633"/>
        </w:tabs>
        <w:spacing w:before="171" w:line="252" w:lineRule="auto"/>
        <w:ind w:right="795"/>
        <w:jc w:val="left"/>
        <w:rPr>
          <w:sz w:val="24"/>
        </w:rPr>
      </w:pPr>
      <w:r>
        <w:rPr>
          <w:spacing w:val="-3"/>
          <w:sz w:val="24"/>
        </w:rPr>
        <w:t xml:space="preserve">Khoury, </w:t>
      </w:r>
      <w:r>
        <w:rPr>
          <w:sz w:val="24"/>
        </w:rPr>
        <w:t>D. S., et al. (2021). Neutralizing antibody levels are highly predictive of</w:t>
      </w:r>
      <w:r>
        <w:rPr>
          <w:spacing w:val="-36"/>
          <w:sz w:val="24"/>
        </w:rPr>
        <w:t xml:space="preserve"> </w:t>
      </w:r>
      <w:r>
        <w:rPr>
          <w:spacing w:val="-3"/>
          <w:sz w:val="24"/>
        </w:rPr>
        <w:t xml:space="preserve">immune </w:t>
      </w:r>
      <w:r>
        <w:rPr>
          <w:sz w:val="24"/>
        </w:rPr>
        <w:t>protection</w:t>
      </w:r>
      <w:r>
        <w:rPr>
          <w:spacing w:val="-18"/>
          <w:sz w:val="24"/>
        </w:rPr>
        <w:t xml:space="preserve"> </w:t>
      </w:r>
      <w:r>
        <w:rPr>
          <w:sz w:val="24"/>
        </w:rPr>
        <w:t>from</w:t>
      </w:r>
      <w:r>
        <w:rPr>
          <w:spacing w:val="-18"/>
          <w:sz w:val="24"/>
        </w:rPr>
        <w:t xml:space="preserve"> </w:t>
      </w:r>
      <w:r>
        <w:rPr>
          <w:sz w:val="24"/>
        </w:rPr>
        <w:t>symptomatic</w:t>
      </w:r>
      <w:r>
        <w:rPr>
          <w:spacing w:val="-17"/>
          <w:sz w:val="24"/>
        </w:rPr>
        <w:t xml:space="preserve"> </w:t>
      </w:r>
      <w:r>
        <w:rPr>
          <w:spacing w:val="-3"/>
          <w:sz w:val="24"/>
        </w:rPr>
        <w:t>SARS-CoV-2</w:t>
      </w:r>
      <w:r>
        <w:rPr>
          <w:spacing w:val="-18"/>
          <w:sz w:val="24"/>
        </w:rPr>
        <w:t xml:space="preserve"> </w:t>
      </w:r>
      <w:r>
        <w:rPr>
          <w:sz w:val="24"/>
        </w:rPr>
        <w:t>infection.</w:t>
      </w:r>
      <w:r>
        <w:rPr>
          <w:spacing w:val="-17"/>
          <w:sz w:val="24"/>
        </w:rPr>
        <w:t xml:space="preserve"> </w:t>
      </w:r>
      <w:r>
        <w:rPr>
          <w:i/>
          <w:sz w:val="24"/>
        </w:rPr>
        <w:t>Nature</w:t>
      </w:r>
      <w:r>
        <w:rPr>
          <w:i/>
          <w:spacing w:val="-18"/>
          <w:sz w:val="24"/>
        </w:rPr>
        <w:t xml:space="preserve"> </w:t>
      </w:r>
      <w:r>
        <w:rPr>
          <w:i/>
          <w:sz w:val="24"/>
        </w:rPr>
        <w:t>Medicine</w:t>
      </w:r>
      <w:r>
        <w:rPr>
          <w:sz w:val="24"/>
        </w:rPr>
        <w:t>,</w:t>
      </w:r>
      <w:r>
        <w:rPr>
          <w:spacing w:val="-15"/>
          <w:sz w:val="24"/>
        </w:rPr>
        <w:t xml:space="preserve"> </w:t>
      </w:r>
      <w:r>
        <w:rPr>
          <w:sz w:val="24"/>
        </w:rPr>
        <w:t>27(7),</w:t>
      </w:r>
      <w:r>
        <w:rPr>
          <w:spacing w:val="-16"/>
          <w:sz w:val="24"/>
        </w:rPr>
        <w:t xml:space="preserve"> </w:t>
      </w:r>
      <w:r>
        <w:rPr>
          <w:sz w:val="24"/>
        </w:rPr>
        <w:t>1205-1211.</w:t>
      </w:r>
    </w:p>
    <w:p w14:paraId="7E763FEF" w14:textId="77777777" w:rsidR="00AE68F4" w:rsidRDefault="00000000">
      <w:pPr>
        <w:pStyle w:val="ListParagraph"/>
        <w:numPr>
          <w:ilvl w:val="1"/>
          <w:numId w:val="1"/>
        </w:numPr>
        <w:tabs>
          <w:tab w:val="left" w:pos="633"/>
        </w:tabs>
        <w:spacing w:line="252" w:lineRule="auto"/>
        <w:ind w:right="795"/>
        <w:jc w:val="left"/>
        <w:rPr>
          <w:sz w:val="24"/>
        </w:rPr>
      </w:pPr>
      <w:r>
        <w:rPr>
          <w:sz w:val="24"/>
        </w:rPr>
        <w:t xml:space="preserve">Feng, S., et al. (2021). Correlates of protection against symptomatic and </w:t>
      </w:r>
      <w:r>
        <w:rPr>
          <w:spacing w:val="-2"/>
          <w:sz w:val="24"/>
        </w:rPr>
        <w:t xml:space="preserve">asymptomatic </w:t>
      </w:r>
      <w:r>
        <w:rPr>
          <w:spacing w:val="-3"/>
          <w:sz w:val="24"/>
        </w:rPr>
        <w:t xml:space="preserve">SARS-CoV-2 </w:t>
      </w:r>
      <w:r>
        <w:rPr>
          <w:sz w:val="24"/>
        </w:rPr>
        <w:t xml:space="preserve">infection. </w:t>
      </w:r>
      <w:r>
        <w:rPr>
          <w:i/>
          <w:sz w:val="24"/>
        </w:rPr>
        <w:t>Nature Medicine</w:t>
      </w:r>
      <w:r>
        <w:rPr>
          <w:sz w:val="24"/>
        </w:rPr>
        <w:t>, 27(11),</w:t>
      </w:r>
      <w:r>
        <w:rPr>
          <w:spacing w:val="-5"/>
          <w:sz w:val="24"/>
        </w:rPr>
        <w:t xml:space="preserve"> </w:t>
      </w:r>
      <w:r>
        <w:rPr>
          <w:sz w:val="24"/>
        </w:rPr>
        <w:t>2032-2040.</w:t>
      </w:r>
    </w:p>
    <w:p w14:paraId="197FA2A5" w14:textId="77777777" w:rsidR="00AE68F4" w:rsidRDefault="00000000">
      <w:pPr>
        <w:pStyle w:val="ListParagraph"/>
        <w:numPr>
          <w:ilvl w:val="1"/>
          <w:numId w:val="1"/>
        </w:numPr>
        <w:tabs>
          <w:tab w:val="left" w:pos="633"/>
        </w:tabs>
        <w:spacing w:before="197" w:line="252" w:lineRule="auto"/>
        <w:ind w:right="795"/>
        <w:jc w:val="left"/>
        <w:rPr>
          <w:sz w:val="24"/>
        </w:rPr>
      </w:pPr>
      <w:r>
        <w:rPr>
          <w:sz w:val="24"/>
        </w:rPr>
        <w:t xml:space="preserve">Suthar, M. S., et al. (2021). COVID-19 vaccination-induced immunity: Mechanisms </w:t>
      </w:r>
      <w:r>
        <w:rPr>
          <w:spacing w:val="-4"/>
          <w:sz w:val="24"/>
        </w:rPr>
        <w:t xml:space="preserve">and </w:t>
      </w:r>
      <w:r>
        <w:rPr>
          <w:sz w:val="24"/>
        </w:rPr>
        <w:t xml:space="preserve">challenges. </w:t>
      </w:r>
      <w:r>
        <w:rPr>
          <w:i/>
          <w:sz w:val="24"/>
        </w:rPr>
        <w:t>Cell</w:t>
      </w:r>
      <w:r>
        <w:rPr>
          <w:sz w:val="24"/>
        </w:rPr>
        <w:t>, 184(4),</w:t>
      </w:r>
      <w:r>
        <w:rPr>
          <w:spacing w:val="-4"/>
          <w:sz w:val="24"/>
        </w:rPr>
        <w:t xml:space="preserve"> </w:t>
      </w:r>
      <w:r>
        <w:rPr>
          <w:sz w:val="24"/>
        </w:rPr>
        <w:t>1043-1050.</w:t>
      </w:r>
    </w:p>
    <w:p w14:paraId="508F604B" w14:textId="77777777" w:rsidR="00AE68F4" w:rsidRDefault="00000000">
      <w:pPr>
        <w:pStyle w:val="ListParagraph"/>
        <w:numPr>
          <w:ilvl w:val="1"/>
          <w:numId w:val="1"/>
        </w:numPr>
        <w:tabs>
          <w:tab w:val="left" w:pos="633"/>
        </w:tabs>
        <w:spacing w:line="252" w:lineRule="auto"/>
        <w:ind w:right="795"/>
        <w:jc w:val="left"/>
        <w:rPr>
          <w:sz w:val="24"/>
        </w:rPr>
      </w:pPr>
      <w:r>
        <w:rPr>
          <w:sz w:val="24"/>
        </w:rPr>
        <w:t xml:space="preserve">Levin, E. G., et al. (2021). </w:t>
      </w:r>
      <w:r>
        <w:rPr>
          <w:spacing w:val="-4"/>
          <w:sz w:val="24"/>
        </w:rPr>
        <w:t xml:space="preserve">Waning </w:t>
      </w:r>
      <w:r>
        <w:rPr>
          <w:sz w:val="24"/>
        </w:rPr>
        <w:t xml:space="preserve">immune humoral response to BNT162b2 </w:t>
      </w:r>
      <w:r>
        <w:rPr>
          <w:spacing w:val="-4"/>
          <w:sz w:val="24"/>
        </w:rPr>
        <w:t>COVID-19</w:t>
      </w:r>
      <w:r>
        <w:rPr>
          <w:spacing w:val="52"/>
          <w:sz w:val="24"/>
        </w:rPr>
        <w:t xml:space="preserve"> </w:t>
      </w:r>
      <w:r>
        <w:rPr>
          <w:sz w:val="24"/>
        </w:rPr>
        <w:t xml:space="preserve">vaccine over 6 months. </w:t>
      </w:r>
      <w:r>
        <w:rPr>
          <w:i/>
          <w:sz w:val="24"/>
        </w:rPr>
        <w:t>New England Journal of Medicine</w:t>
      </w:r>
      <w:r>
        <w:rPr>
          <w:sz w:val="24"/>
        </w:rPr>
        <w:t>, 385(24),</w:t>
      </w:r>
      <w:r>
        <w:rPr>
          <w:spacing w:val="-23"/>
          <w:sz w:val="24"/>
        </w:rPr>
        <w:t xml:space="preserve"> </w:t>
      </w:r>
      <w:r>
        <w:rPr>
          <w:sz w:val="24"/>
        </w:rPr>
        <w:t>e84.</w:t>
      </w:r>
    </w:p>
    <w:p w14:paraId="276DFA9C" w14:textId="77777777" w:rsidR="00AE68F4" w:rsidRDefault="00000000">
      <w:pPr>
        <w:pStyle w:val="ListParagraph"/>
        <w:numPr>
          <w:ilvl w:val="1"/>
          <w:numId w:val="1"/>
        </w:numPr>
        <w:tabs>
          <w:tab w:val="left" w:pos="633"/>
        </w:tabs>
        <w:spacing w:before="197" w:line="252" w:lineRule="auto"/>
        <w:ind w:right="795"/>
        <w:jc w:val="left"/>
        <w:rPr>
          <w:sz w:val="24"/>
        </w:rPr>
      </w:pPr>
      <w:r>
        <w:rPr>
          <w:sz w:val="24"/>
        </w:rPr>
        <w:t xml:space="preserve">Garcia-Beltran, </w:t>
      </w:r>
      <w:r>
        <w:rPr>
          <w:spacing w:val="-11"/>
          <w:sz w:val="24"/>
        </w:rPr>
        <w:t xml:space="preserve">W. </w:t>
      </w:r>
      <w:r>
        <w:rPr>
          <w:spacing w:val="-7"/>
          <w:sz w:val="24"/>
        </w:rPr>
        <w:t xml:space="preserve">F., </w:t>
      </w:r>
      <w:r>
        <w:rPr>
          <w:sz w:val="24"/>
        </w:rPr>
        <w:t xml:space="preserve">et al. (2021). mRNA-based COVID-19 vaccine boosters </w:t>
      </w:r>
      <w:r>
        <w:rPr>
          <w:spacing w:val="-3"/>
          <w:sz w:val="24"/>
        </w:rPr>
        <w:t xml:space="preserve">induce </w:t>
      </w:r>
      <w:r>
        <w:rPr>
          <w:sz w:val="24"/>
        </w:rPr>
        <w:t xml:space="preserve">neutralizing immunity against </w:t>
      </w:r>
      <w:r>
        <w:rPr>
          <w:spacing w:val="-3"/>
          <w:sz w:val="24"/>
        </w:rPr>
        <w:t xml:space="preserve">SARS-CoV-2 </w:t>
      </w:r>
      <w:r>
        <w:rPr>
          <w:sz w:val="24"/>
        </w:rPr>
        <w:t xml:space="preserve">Omicron variant. </w:t>
      </w:r>
      <w:r>
        <w:rPr>
          <w:i/>
          <w:sz w:val="24"/>
        </w:rPr>
        <w:t>Cell</w:t>
      </w:r>
      <w:r>
        <w:rPr>
          <w:sz w:val="24"/>
        </w:rPr>
        <w:t>, 185(3),</w:t>
      </w:r>
      <w:r>
        <w:rPr>
          <w:spacing w:val="-28"/>
          <w:sz w:val="24"/>
        </w:rPr>
        <w:t xml:space="preserve"> </w:t>
      </w:r>
      <w:r>
        <w:rPr>
          <w:sz w:val="24"/>
        </w:rPr>
        <w:t>457-466.e4.</w:t>
      </w:r>
    </w:p>
    <w:p w14:paraId="4133F296" w14:textId="77777777" w:rsidR="00AE68F4" w:rsidRDefault="00000000">
      <w:pPr>
        <w:pStyle w:val="ListParagraph"/>
        <w:numPr>
          <w:ilvl w:val="1"/>
          <w:numId w:val="1"/>
        </w:numPr>
        <w:tabs>
          <w:tab w:val="left" w:pos="633"/>
        </w:tabs>
        <w:spacing w:line="252" w:lineRule="auto"/>
        <w:ind w:right="795"/>
        <w:jc w:val="left"/>
        <w:rPr>
          <w:sz w:val="24"/>
        </w:rPr>
      </w:pPr>
      <w:r>
        <w:rPr>
          <w:sz w:val="24"/>
        </w:rPr>
        <w:t xml:space="preserve">Liu, C., et al. (2021). Reduced neutralization of </w:t>
      </w:r>
      <w:r>
        <w:rPr>
          <w:spacing w:val="-3"/>
          <w:sz w:val="24"/>
        </w:rPr>
        <w:t xml:space="preserve">SARS-CoV-2 </w:t>
      </w:r>
      <w:r>
        <w:rPr>
          <w:sz w:val="24"/>
        </w:rPr>
        <w:t xml:space="preserve">B.1.617 by vaccine </w:t>
      </w:r>
      <w:r>
        <w:rPr>
          <w:spacing w:val="-4"/>
          <w:sz w:val="24"/>
        </w:rPr>
        <w:t>and</w:t>
      </w:r>
      <w:r>
        <w:rPr>
          <w:spacing w:val="52"/>
          <w:sz w:val="24"/>
        </w:rPr>
        <w:t xml:space="preserve"> </w:t>
      </w:r>
      <w:r>
        <w:rPr>
          <w:sz w:val="24"/>
        </w:rPr>
        <w:t xml:space="preserve">convalescent serum. </w:t>
      </w:r>
      <w:r>
        <w:rPr>
          <w:i/>
          <w:sz w:val="24"/>
        </w:rPr>
        <w:t>Cell</w:t>
      </w:r>
      <w:r>
        <w:rPr>
          <w:sz w:val="24"/>
        </w:rPr>
        <w:t>, 184(16),</w:t>
      </w:r>
      <w:r>
        <w:rPr>
          <w:spacing w:val="-7"/>
          <w:sz w:val="24"/>
        </w:rPr>
        <w:t xml:space="preserve"> </w:t>
      </w:r>
      <w:r>
        <w:rPr>
          <w:sz w:val="24"/>
        </w:rPr>
        <w:t>4220-4236.e13.</w:t>
      </w:r>
    </w:p>
    <w:p w14:paraId="00EE3C03" w14:textId="77777777" w:rsidR="00AE68F4" w:rsidRDefault="00000000">
      <w:pPr>
        <w:pStyle w:val="ListParagraph"/>
        <w:numPr>
          <w:ilvl w:val="1"/>
          <w:numId w:val="1"/>
        </w:numPr>
        <w:tabs>
          <w:tab w:val="left" w:pos="633"/>
        </w:tabs>
        <w:spacing w:before="197" w:line="252" w:lineRule="auto"/>
        <w:ind w:right="795"/>
        <w:jc w:val="left"/>
        <w:rPr>
          <w:sz w:val="24"/>
        </w:rPr>
      </w:pPr>
      <w:r>
        <w:rPr>
          <w:sz w:val="24"/>
        </w:rPr>
        <w:t xml:space="preserve">Earle, K. A., et al. (2021). Evidence for antibody as a protective correlate for </w:t>
      </w:r>
      <w:r>
        <w:rPr>
          <w:spacing w:val="-4"/>
          <w:sz w:val="24"/>
        </w:rPr>
        <w:t xml:space="preserve">COVID-19 </w:t>
      </w:r>
      <w:r>
        <w:rPr>
          <w:sz w:val="24"/>
        </w:rPr>
        <w:t xml:space="preserve">vaccines. </w:t>
      </w:r>
      <w:r>
        <w:rPr>
          <w:i/>
          <w:spacing w:val="-4"/>
          <w:sz w:val="24"/>
        </w:rPr>
        <w:t>Vaccine</w:t>
      </w:r>
      <w:r>
        <w:rPr>
          <w:spacing w:val="-4"/>
          <w:sz w:val="24"/>
        </w:rPr>
        <w:t xml:space="preserve">, </w:t>
      </w:r>
      <w:r>
        <w:rPr>
          <w:sz w:val="24"/>
        </w:rPr>
        <w:t>39(32), 4423-4428.</w:t>
      </w:r>
    </w:p>
    <w:p w14:paraId="4E80F88F" w14:textId="77777777" w:rsidR="00AE68F4" w:rsidRDefault="00000000">
      <w:pPr>
        <w:pStyle w:val="ListParagraph"/>
        <w:numPr>
          <w:ilvl w:val="1"/>
          <w:numId w:val="1"/>
        </w:numPr>
        <w:tabs>
          <w:tab w:val="left" w:pos="633"/>
        </w:tabs>
        <w:spacing w:line="252" w:lineRule="auto"/>
        <w:ind w:right="795"/>
        <w:jc w:val="left"/>
        <w:rPr>
          <w:sz w:val="24"/>
        </w:rPr>
      </w:pPr>
      <w:r>
        <w:rPr>
          <w:sz w:val="24"/>
        </w:rPr>
        <w:t xml:space="preserve">Dan, J. M., et al. (2021). Immunological memory to </w:t>
      </w:r>
      <w:r>
        <w:rPr>
          <w:spacing w:val="-3"/>
          <w:sz w:val="24"/>
        </w:rPr>
        <w:t xml:space="preserve">SARS-CoV-2 </w:t>
      </w:r>
      <w:r>
        <w:rPr>
          <w:sz w:val="24"/>
        </w:rPr>
        <w:t xml:space="preserve">assessed for up to 8 months after infection. </w:t>
      </w:r>
      <w:r>
        <w:rPr>
          <w:i/>
          <w:sz w:val="24"/>
        </w:rPr>
        <w:t>Science</w:t>
      </w:r>
      <w:r>
        <w:rPr>
          <w:sz w:val="24"/>
        </w:rPr>
        <w:t>, 371(6529),</w:t>
      </w:r>
      <w:r>
        <w:rPr>
          <w:spacing w:val="-7"/>
          <w:sz w:val="24"/>
        </w:rPr>
        <w:t xml:space="preserve"> </w:t>
      </w:r>
      <w:r>
        <w:rPr>
          <w:sz w:val="24"/>
        </w:rPr>
        <w:t>eabf4063.</w:t>
      </w:r>
    </w:p>
    <w:p w14:paraId="44CC6C01" w14:textId="77777777" w:rsidR="00AE68F4" w:rsidRDefault="00000000">
      <w:pPr>
        <w:pStyle w:val="ListParagraph"/>
        <w:numPr>
          <w:ilvl w:val="1"/>
          <w:numId w:val="1"/>
        </w:numPr>
        <w:tabs>
          <w:tab w:val="left" w:pos="633"/>
        </w:tabs>
        <w:spacing w:before="197"/>
        <w:ind w:hanging="397"/>
        <w:jc w:val="left"/>
        <w:rPr>
          <w:sz w:val="24"/>
        </w:rPr>
      </w:pPr>
      <w:r>
        <w:rPr>
          <w:sz w:val="24"/>
        </w:rPr>
        <w:t xml:space="preserve">Pearce, N. (2016). Analysis of matched case-control studies. </w:t>
      </w:r>
      <w:r>
        <w:rPr>
          <w:i/>
          <w:sz w:val="24"/>
        </w:rPr>
        <w:t>BMJ</w:t>
      </w:r>
      <w:r>
        <w:rPr>
          <w:sz w:val="24"/>
        </w:rPr>
        <w:t>, 352,</w:t>
      </w:r>
      <w:r>
        <w:rPr>
          <w:spacing w:val="-16"/>
          <w:sz w:val="24"/>
        </w:rPr>
        <w:t xml:space="preserve"> </w:t>
      </w:r>
      <w:r>
        <w:rPr>
          <w:sz w:val="24"/>
        </w:rPr>
        <w:t>i969.</w:t>
      </w:r>
    </w:p>
    <w:p w14:paraId="71583070" w14:textId="77777777" w:rsidR="00AE68F4" w:rsidRDefault="00000000">
      <w:pPr>
        <w:pStyle w:val="ListParagraph"/>
        <w:numPr>
          <w:ilvl w:val="1"/>
          <w:numId w:val="1"/>
        </w:numPr>
        <w:tabs>
          <w:tab w:val="left" w:pos="633"/>
        </w:tabs>
        <w:spacing w:before="212" w:line="252" w:lineRule="auto"/>
        <w:ind w:right="795" w:hanging="516"/>
        <w:jc w:val="left"/>
        <w:rPr>
          <w:sz w:val="24"/>
        </w:rPr>
      </w:pPr>
      <w:r>
        <w:rPr>
          <w:sz w:val="24"/>
        </w:rPr>
        <w:t>Richardson,</w:t>
      </w:r>
      <w:r>
        <w:rPr>
          <w:spacing w:val="-7"/>
          <w:sz w:val="24"/>
        </w:rPr>
        <w:t xml:space="preserve"> </w:t>
      </w:r>
      <w:r>
        <w:rPr>
          <w:sz w:val="24"/>
        </w:rPr>
        <w:t>D.</w:t>
      </w:r>
      <w:r>
        <w:rPr>
          <w:spacing w:val="-8"/>
          <w:sz w:val="24"/>
        </w:rPr>
        <w:t xml:space="preserve"> </w:t>
      </w:r>
      <w:r>
        <w:rPr>
          <w:sz w:val="24"/>
        </w:rPr>
        <w:t>B.</w:t>
      </w:r>
      <w:r>
        <w:rPr>
          <w:spacing w:val="-7"/>
          <w:sz w:val="24"/>
        </w:rPr>
        <w:t xml:space="preserve"> </w:t>
      </w:r>
      <w:r>
        <w:rPr>
          <w:sz w:val="24"/>
        </w:rPr>
        <w:t>(2004).</w:t>
      </w:r>
      <w:r>
        <w:rPr>
          <w:spacing w:val="-8"/>
          <w:sz w:val="24"/>
        </w:rPr>
        <w:t xml:space="preserve"> </w:t>
      </w:r>
      <w:r>
        <w:rPr>
          <w:sz w:val="24"/>
        </w:rPr>
        <w:t>An</w:t>
      </w:r>
      <w:r>
        <w:rPr>
          <w:spacing w:val="-8"/>
          <w:sz w:val="24"/>
        </w:rPr>
        <w:t xml:space="preserve"> </w:t>
      </w:r>
      <w:r>
        <w:rPr>
          <w:sz w:val="24"/>
        </w:rPr>
        <w:t>incidence</w:t>
      </w:r>
      <w:r>
        <w:rPr>
          <w:spacing w:val="-7"/>
          <w:sz w:val="24"/>
        </w:rPr>
        <w:t xml:space="preserve"> </w:t>
      </w:r>
      <w:r>
        <w:rPr>
          <w:sz w:val="24"/>
        </w:rPr>
        <w:t>density</w:t>
      </w:r>
      <w:r>
        <w:rPr>
          <w:spacing w:val="-8"/>
          <w:sz w:val="24"/>
        </w:rPr>
        <w:t xml:space="preserve"> </w:t>
      </w:r>
      <w:r>
        <w:rPr>
          <w:sz w:val="24"/>
        </w:rPr>
        <w:t>sampling</w:t>
      </w:r>
      <w:r>
        <w:rPr>
          <w:spacing w:val="-8"/>
          <w:sz w:val="24"/>
        </w:rPr>
        <w:t xml:space="preserve"> </w:t>
      </w:r>
      <w:r>
        <w:rPr>
          <w:sz w:val="24"/>
        </w:rPr>
        <w:t>program</w:t>
      </w:r>
      <w:r>
        <w:rPr>
          <w:spacing w:val="-7"/>
          <w:sz w:val="24"/>
        </w:rPr>
        <w:t xml:space="preserve"> </w:t>
      </w:r>
      <w:r>
        <w:rPr>
          <w:sz w:val="24"/>
        </w:rPr>
        <w:t>for</w:t>
      </w:r>
      <w:r>
        <w:rPr>
          <w:spacing w:val="-8"/>
          <w:sz w:val="24"/>
        </w:rPr>
        <w:t xml:space="preserve"> </w:t>
      </w:r>
      <w:r>
        <w:rPr>
          <w:sz w:val="24"/>
        </w:rPr>
        <w:t>nested</w:t>
      </w:r>
      <w:r>
        <w:rPr>
          <w:spacing w:val="-8"/>
          <w:sz w:val="24"/>
        </w:rPr>
        <w:t xml:space="preserve"> </w:t>
      </w:r>
      <w:r>
        <w:rPr>
          <w:sz w:val="24"/>
        </w:rPr>
        <w:t xml:space="preserve">case-control analyses. </w:t>
      </w:r>
      <w:r>
        <w:rPr>
          <w:i/>
          <w:sz w:val="24"/>
        </w:rPr>
        <w:t>Occupational and Environmental Medicine</w:t>
      </w:r>
      <w:r>
        <w:rPr>
          <w:sz w:val="24"/>
        </w:rPr>
        <w:t>, 61(12),</w:t>
      </w:r>
      <w:r>
        <w:rPr>
          <w:spacing w:val="-12"/>
          <w:sz w:val="24"/>
        </w:rPr>
        <w:t xml:space="preserve"> </w:t>
      </w:r>
      <w:r>
        <w:rPr>
          <w:sz w:val="24"/>
        </w:rPr>
        <w:t>e59.</w:t>
      </w:r>
    </w:p>
    <w:p w14:paraId="5F471CDD" w14:textId="77777777" w:rsidR="00AE68F4" w:rsidRDefault="00000000">
      <w:pPr>
        <w:pStyle w:val="ListParagraph"/>
        <w:numPr>
          <w:ilvl w:val="1"/>
          <w:numId w:val="1"/>
        </w:numPr>
        <w:tabs>
          <w:tab w:val="left" w:pos="633"/>
        </w:tabs>
        <w:spacing w:line="252" w:lineRule="auto"/>
        <w:ind w:right="795" w:hanging="516"/>
        <w:jc w:val="left"/>
        <w:rPr>
          <w:sz w:val="24"/>
        </w:rPr>
      </w:pPr>
      <w:r>
        <w:rPr>
          <w:sz w:val="24"/>
        </w:rPr>
        <w:t xml:space="preserve">Carstensen, B., Plummer, M., </w:t>
      </w:r>
      <w:proofErr w:type="spellStart"/>
      <w:r>
        <w:rPr>
          <w:sz w:val="24"/>
        </w:rPr>
        <w:t>Laara</w:t>
      </w:r>
      <w:proofErr w:type="spellEnd"/>
      <w:r>
        <w:rPr>
          <w:sz w:val="24"/>
        </w:rPr>
        <w:t xml:space="preserve">, E., Hills, M. (2021). Epi: A Package for Statistical Analysis in Epidemiology. </w:t>
      </w:r>
      <w:r>
        <w:rPr>
          <w:i/>
          <w:sz w:val="24"/>
        </w:rPr>
        <w:t>R package version</w:t>
      </w:r>
      <w:r>
        <w:rPr>
          <w:i/>
          <w:spacing w:val="-11"/>
          <w:sz w:val="24"/>
        </w:rPr>
        <w:t xml:space="preserve"> </w:t>
      </w:r>
      <w:r>
        <w:rPr>
          <w:i/>
          <w:sz w:val="24"/>
        </w:rPr>
        <w:t>2.44</w:t>
      </w:r>
      <w:r>
        <w:rPr>
          <w:sz w:val="24"/>
        </w:rPr>
        <w:t>.</w:t>
      </w:r>
    </w:p>
    <w:p w14:paraId="462B44F1" w14:textId="77777777" w:rsidR="00AE68F4" w:rsidRDefault="00AE68F4">
      <w:pPr>
        <w:spacing w:line="252" w:lineRule="auto"/>
        <w:rPr>
          <w:sz w:val="24"/>
        </w:rPr>
        <w:sectPr w:rsidR="00AE68F4">
          <w:pgSz w:w="11910" w:h="16840"/>
          <w:pgMar w:top="1300" w:right="620" w:bottom="1040" w:left="1300" w:header="0" w:footer="840" w:gutter="0"/>
          <w:cols w:space="720"/>
        </w:sectPr>
      </w:pPr>
    </w:p>
    <w:p w14:paraId="0500B8A8" w14:textId="77777777" w:rsidR="00AE68F4" w:rsidRDefault="00000000">
      <w:pPr>
        <w:pStyle w:val="Heading1"/>
        <w:ind w:left="117" w:firstLine="0"/>
      </w:pPr>
      <w:r>
        <w:lastRenderedPageBreak/>
        <w:t>Appendix</w:t>
      </w:r>
    </w:p>
    <w:p w14:paraId="07B8B61D" w14:textId="77777777" w:rsidR="00AE68F4" w:rsidRDefault="00AE68F4">
      <w:pPr>
        <w:pStyle w:val="BodyText"/>
        <w:ind w:left="0"/>
        <w:rPr>
          <w:b/>
          <w:sz w:val="20"/>
        </w:rPr>
      </w:pPr>
    </w:p>
    <w:p w14:paraId="542F2909" w14:textId="77777777" w:rsidR="00AE68F4" w:rsidRDefault="00AE68F4">
      <w:pPr>
        <w:pStyle w:val="BodyText"/>
        <w:ind w:left="0"/>
        <w:rPr>
          <w:b/>
          <w:sz w:val="20"/>
        </w:rPr>
      </w:pPr>
    </w:p>
    <w:p w14:paraId="30462872" w14:textId="77777777" w:rsidR="00AE68F4" w:rsidRDefault="00000000">
      <w:pPr>
        <w:pStyle w:val="BodyText"/>
        <w:spacing w:before="8"/>
        <w:ind w:left="0"/>
        <w:rPr>
          <w:b/>
          <w:sz w:val="15"/>
        </w:rPr>
      </w:pPr>
      <w:r>
        <w:rPr>
          <w:noProof/>
        </w:rPr>
        <w:drawing>
          <wp:anchor distT="0" distB="0" distL="0" distR="0" simplePos="0" relativeHeight="17" behindDoc="0" locked="0" layoutInCell="1" allowOverlap="1" wp14:anchorId="0CDD8DC1" wp14:editId="2A93EC26">
            <wp:simplePos x="0" y="0"/>
            <wp:positionH relativeFrom="page">
              <wp:posOffset>999169</wp:posOffset>
            </wp:positionH>
            <wp:positionV relativeFrom="paragraph">
              <wp:posOffset>139953</wp:posOffset>
            </wp:positionV>
            <wp:extent cx="5549741" cy="34117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549741" cy="3411759"/>
                    </a:xfrm>
                    <a:prstGeom prst="rect">
                      <a:avLst/>
                    </a:prstGeom>
                  </pic:spPr>
                </pic:pic>
              </a:graphicData>
            </a:graphic>
          </wp:anchor>
        </w:drawing>
      </w:r>
    </w:p>
    <w:p w14:paraId="0E8A5FA7" w14:textId="77777777" w:rsidR="00AE68F4" w:rsidRDefault="00AE68F4">
      <w:pPr>
        <w:pStyle w:val="BodyText"/>
        <w:ind w:left="0"/>
        <w:rPr>
          <w:b/>
          <w:sz w:val="25"/>
        </w:rPr>
      </w:pPr>
    </w:p>
    <w:p w14:paraId="6D845305" w14:textId="77777777" w:rsidR="00AE68F4" w:rsidRDefault="00000000">
      <w:pPr>
        <w:pStyle w:val="BodyText"/>
        <w:spacing w:before="97"/>
        <w:ind w:left="2153"/>
      </w:pPr>
      <w:r>
        <w:t>Figure 6: ROC curves for logistic regression models</w:t>
      </w:r>
    </w:p>
    <w:sectPr w:rsidR="00AE68F4">
      <w:pgSz w:w="11910" w:h="16840"/>
      <w:pgMar w:top="1300" w:right="620" w:bottom="1040" w:left="1300" w:header="0" w:footer="8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E9D03" w14:textId="77777777" w:rsidR="008D5901" w:rsidRDefault="008D5901">
      <w:r>
        <w:separator/>
      </w:r>
    </w:p>
  </w:endnote>
  <w:endnote w:type="continuationSeparator" w:id="0">
    <w:p w14:paraId="1E9A1E19" w14:textId="77777777" w:rsidR="008D5901" w:rsidRDefault="008D5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arnockPro-Regular">
    <w:altName w:val="Cambria"/>
    <w:panose1 w:val="00000000000000000000"/>
    <w:charset w:val="A1"/>
    <w:family w:val="roman"/>
    <w:notTrueType/>
    <w:pitch w:val="default"/>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AdvOT89719618">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03460" w14:textId="77777777" w:rsidR="00AE68F4" w:rsidRDefault="00000000">
    <w:pPr>
      <w:pStyle w:val="BodyText"/>
      <w:spacing w:line="14" w:lineRule="auto"/>
      <w:ind w:left="0"/>
      <w:rPr>
        <w:sz w:val="20"/>
      </w:rPr>
    </w:pPr>
    <w:r>
      <w:pict w14:anchorId="48D0EEE4">
        <v:shapetype id="_x0000_t202" coordsize="21600,21600" o:spt="202" path="m,l,21600r21600,l21600,xe">
          <v:stroke joinstyle="miter"/>
          <v:path gradientshapeok="t" o:connecttype="rect"/>
        </v:shapetype>
        <v:shape id="_x0000_s1025" type="#_x0000_t202" style="position:absolute;margin-left:288.65pt;margin-top:788.85pt;width:18pt;height:16.45pt;z-index:-251658752;mso-position-horizontal-relative:page;mso-position-vertical-relative:page" filled="f" stroked="f">
          <v:textbox inset="0,0,0,0">
            <w:txbxContent>
              <w:p w14:paraId="46EDA75B" w14:textId="77777777" w:rsidR="00AE68F4" w:rsidRDefault="00000000">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38239" w14:textId="77777777" w:rsidR="008D5901" w:rsidRDefault="008D5901">
      <w:r>
        <w:separator/>
      </w:r>
    </w:p>
  </w:footnote>
  <w:footnote w:type="continuationSeparator" w:id="0">
    <w:p w14:paraId="504B35B1" w14:textId="77777777" w:rsidR="008D5901" w:rsidRDefault="008D5901">
      <w:r>
        <w:continuationSeparator/>
      </w:r>
    </w:p>
  </w:footnote>
  <w:footnote w:id="1">
    <w:p w14:paraId="78FEC414" w14:textId="77777777" w:rsidR="00497122" w:rsidRDefault="00497122" w:rsidP="00497122">
      <w:pPr>
        <w:pStyle w:val="FootnoteText"/>
      </w:pPr>
      <w:r>
        <w:rPr>
          <w:rStyle w:val="FootnoteReference"/>
        </w:rPr>
        <w:footnoteRef/>
      </w:r>
      <w:r>
        <w:t xml:space="preserve"> </w:t>
      </w:r>
      <w:r>
        <w:rPr>
          <w:rFonts w:ascii="AdvOT89719618" w:hAnsi="AdvOT89719618" w:cs="AdvOT89719618"/>
          <w:sz w:val="16"/>
          <w:szCs w:val="16"/>
        </w:rPr>
        <w:t>https://doi.org/10.1038/s41467-022-32265-5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num w:numId="1" w16cid:durableId="713045352">
    <w:abstractNumId w:val="0"/>
  </w:num>
  <w:num w:numId="2" w16cid:durableId="387842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322"/>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OyNLMwMzQ2MjMyMTdT0lEKTi0uzszPAykwrAUAPOkklywAAAA="/>
  </w:docVars>
  <w:rsids>
    <w:rsidRoot w:val="00AE68F4"/>
    <w:rsid w:val="00497122"/>
    <w:rsid w:val="008D5901"/>
    <w:rsid w:val="009F1334"/>
    <w:rsid w:val="00AE68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2"/>
    <o:shapelayout v:ext="edit">
      <o:idmap v:ext="edit" data="2"/>
    </o:shapelayout>
  </w:shapeDefaults>
  <w:decimalSymbol w:val="."/>
  <w:listSeparator w:val=","/>
  <w14:docId w14:val="70D8BE7B"/>
  <w15:docId w15:val="{5329A6D6-AEB8-4DB2-91A0-735120F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633" w:hanging="517"/>
      <w:outlineLvl w:val="0"/>
    </w:pPr>
    <w:rPr>
      <w:b/>
      <w:bCs/>
      <w:sz w:val="34"/>
      <w:szCs w:val="34"/>
    </w:rPr>
  </w:style>
  <w:style w:type="paragraph" w:styleId="Heading2">
    <w:name w:val="heading 2"/>
    <w:basedOn w:val="Normal"/>
    <w:uiPriority w:val="9"/>
    <w:unhideWhenUsed/>
    <w:qFormat/>
    <w:pPr>
      <w:ind w:left="762" w:hanging="646"/>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7"/>
    </w:pPr>
    <w:rPr>
      <w:sz w:val="24"/>
      <w:szCs w:val="24"/>
    </w:rPr>
  </w:style>
  <w:style w:type="paragraph" w:styleId="ListParagraph">
    <w:name w:val="List Paragraph"/>
    <w:basedOn w:val="Normal"/>
    <w:uiPriority w:val="1"/>
    <w:qFormat/>
    <w:pPr>
      <w:spacing w:before="198"/>
      <w:ind w:left="632" w:hanging="396"/>
    </w:pPr>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497122"/>
    <w:rPr>
      <w:sz w:val="20"/>
      <w:szCs w:val="20"/>
    </w:rPr>
  </w:style>
  <w:style w:type="character" w:customStyle="1" w:styleId="FootnoteTextChar">
    <w:name w:val="Footnote Text Char"/>
    <w:basedOn w:val="DefaultParagraphFont"/>
    <w:link w:val="FootnoteText"/>
    <w:uiPriority w:val="99"/>
    <w:semiHidden/>
    <w:rsid w:val="004971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971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zfranky6@uconn.edu"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y6@uconn.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3711</Words>
  <Characters>22453</Characters>
  <Application>Microsoft Office Word</Application>
  <DocSecurity>0</DocSecurity>
  <Lines>522</Lines>
  <Paragraphs>94</Paragraphs>
  <ScaleCrop>false</ScaleCrop>
  <Company/>
  <LinksUpToDate>false</LinksUpToDate>
  <CharactersWithSpaces>26070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Youngji Jo</cp:lastModifiedBy>
  <cp:revision>2</cp:revision>
  <dcterms:created xsi:type="dcterms:W3CDTF">2024-07-24T12:14:00Z</dcterms:created>
  <dcterms:modified xsi:type="dcterms:W3CDTF">2024-07-24T12:15:00Z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2024-07-22T00:00:00Z</vt:filetime>
  </property>
  <property fmtid="{D5CDD505-2E9C-101B-9397-08002B2CF9AE}" pid="3" name="Creator">
    <vt:lpwstr>LaTeX with hyperref</vt:lpwstr>
  </property>
  <property fmtid="{D5CDD505-2E9C-101B-9397-08002B2CF9AE}" pid="4" name="LastSaved">
    <vt:filetime>2024-07-24T00:00:00Z</vt:filetime>
  </property>
  <property fmtid="{D5CDD505-2E9C-101B-9397-08002B2CF9AE}" pid="5" name="GrammarlyDocumentId">
    <vt:lpwstr>443a6d9a48507cace476d3c4b754ddcf970cf59ac67e48e7bf5aa1f906d84bee</vt:lpwstr>
  </property>
</Properties>
</file>