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7DB2" w14:textId="77777777" w:rsidR="00D3651D" w:rsidRDefault="00D3651D" w:rsidP="00D3651D">
      <w:pPr>
        <w:pStyle w:val="BodyText"/>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D3651D">
      <w:pPr>
        <w:pStyle w:val="BodyText"/>
        <w:ind w:left="0"/>
        <w:rPr>
          <w:rFonts w:eastAsiaTheme="minorEastAsia"/>
          <w:b/>
          <w:sz w:val="32"/>
          <w:szCs w:val="12"/>
          <w:lang w:eastAsia="ko-KR"/>
        </w:rPr>
      </w:pPr>
    </w:p>
    <w:p w14:paraId="68F9DD6E" w14:textId="77777777" w:rsidR="00D3651D" w:rsidRPr="00936392" w:rsidRDefault="00D3651D" w:rsidP="00D3651D">
      <w:pPr>
        <w:pStyle w:val="BodyText"/>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 Won Chang, Kevin </w:t>
      </w:r>
      <w:proofErr w:type="spellStart"/>
      <w:r w:rsidRPr="00936392">
        <w:rPr>
          <w:rFonts w:eastAsiaTheme="minorEastAsia" w:hint="eastAsia"/>
          <w:bCs/>
          <w:sz w:val="22"/>
          <w:szCs w:val="6"/>
          <w:lang w:eastAsia="ko-KR"/>
        </w:rPr>
        <w:t>Diekhuis</w:t>
      </w:r>
      <w:proofErr w:type="spellEnd"/>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 </w:t>
      </w:r>
      <w:proofErr w:type="spellStart"/>
      <w:r w:rsidRPr="00936392">
        <w:rPr>
          <w:rFonts w:eastAsiaTheme="minorEastAsia" w:hint="eastAsia"/>
          <w:bCs/>
          <w:sz w:val="22"/>
          <w:szCs w:val="6"/>
          <w:lang w:eastAsia="ko-KR"/>
        </w:rPr>
        <w:t>Youngji</w:t>
      </w:r>
      <w:proofErr w:type="spellEnd"/>
      <w:r w:rsidRPr="00936392">
        <w:rPr>
          <w:rFonts w:eastAsiaTheme="minorEastAsia" w:hint="eastAsia"/>
          <w:bCs/>
          <w:sz w:val="22"/>
          <w:szCs w:val="6"/>
          <w:lang w:eastAsia="ko-KR"/>
        </w:rPr>
        <w:t xml:space="preserve"> Jo*,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p>
    <w:p w14:paraId="54B0AD8F" w14:textId="77777777" w:rsidR="00D3651D" w:rsidRDefault="00D3651D" w:rsidP="00D3651D">
      <w:pPr>
        <w:pStyle w:val="BodyText"/>
        <w:ind w:left="0"/>
        <w:rPr>
          <w:rFonts w:eastAsiaTheme="minorEastAsia"/>
          <w:b/>
          <w:sz w:val="32"/>
          <w:szCs w:val="12"/>
          <w:lang w:eastAsia="ko-KR"/>
        </w:rPr>
      </w:pPr>
    </w:p>
    <w:p w14:paraId="18FF36AC" w14:textId="77777777" w:rsidR="00D3651D" w:rsidRPr="00936392" w:rsidRDefault="00D3651D" w:rsidP="00D3651D">
      <w:pPr>
        <w:pStyle w:val="BodyText"/>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77777777" w:rsidR="00D3651D" w:rsidRPr="00936392" w:rsidRDefault="00D3651D" w:rsidP="00D3651D">
      <w:pPr>
        <w:pStyle w:val="BodyText"/>
        <w:ind w:left="0"/>
        <w:rPr>
          <w:rFonts w:eastAsiaTheme="minorEastAsia"/>
          <w:sz w:val="22"/>
          <w:szCs w:val="22"/>
          <w:lang w:eastAsia="ko-KR"/>
        </w:rPr>
      </w:pPr>
      <w:r w:rsidRPr="00936392">
        <w:rPr>
          <w:sz w:val="22"/>
          <w:szCs w:val="22"/>
        </w:rPr>
        <w:t>Department of Statistics, University of Connecticut</w:t>
      </w:r>
    </w:p>
    <w:p w14:paraId="66502AC0" w14:textId="77777777" w:rsidR="00D3651D" w:rsidRPr="00936392" w:rsidRDefault="00D3651D" w:rsidP="00D3651D">
      <w:pPr>
        <w:pStyle w:val="BodyText"/>
        <w:spacing w:before="13"/>
        <w:ind w:left="0" w:right="2724"/>
        <w:jc w:val="both"/>
        <w:rPr>
          <w:rFonts w:eastAsiaTheme="minorEastAsia"/>
          <w:sz w:val="22"/>
          <w:szCs w:val="22"/>
          <w:lang w:eastAsia="ko-KR"/>
        </w:rPr>
      </w:pPr>
      <w:r w:rsidRPr="00936392">
        <w:rPr>
          <w:sz w:val="22"/>
          <w:szCs w:val="22"/>
        </w:rPr>
        <w:t>Department of Public Health Sciences, UConn Health</w:t>
      </w:r>
    </w:p>
    <w:p w14:paraId="2C85015D" w14:textId="77777777" w:rsidR="00D3651D" w:rsidRPr="00936392" w:rsidRDefault="00D3651D" w:rsidP="00D3651D">
      <w:pPr>
        <w:pStyle w:val="BodyText"/>
        <w:spacing w:before="13"/>
        <w:ind w:left="0" w:right="2724"/>
        <w:jc w:val="both"/>
        <w:rPr>
          <w:rFonts w:eastAsiaTheme="minorEastAsia"/>
          <w:lang w:eastAsia="ko-KR"/>
        </w:rPr>
      </w:pPr>
    </w:p>
    <w:p w14:paraId="4F71015F" w14:textId="4C6E099D" w:rsidR="00D3651D" w:rsidRPr="0072734B" w:rsidRDefault="009206CF" w:rsidP="00D3651D">
      <w:pPr>
        <w:pStyle w:val="BodyText"/>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72734B">
      <w:pPr>
        <w:pStyle w:val="BodyText"/>
        <w:spacing w:before="13" w:line="252" w:lineRule="auto"/>
        <w:ind w:left="0" w:right="2724"/>
        <w:rPr>
          <w:rFonts w:eastAsiaTheme="minorEastAsia"/>
          <w:sz w:val="22"/>
          <w:szCs w:val="22"/>
          <w:lang w:eastAsia="ko-KR"/>
        </w:rPr>
      </w:pPr>
      <w:hyperlink r:id="rId7"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72734B">
      <w:pPr>
        <w:pStyle w:val="BodyText"/>
        <w:spacing w:before="13" w:line="252"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D3651D">
      <w:pPr>
        <w:pStyle w:val="BodyText"/>
        <w:spacing w:line="252" w:lineRule="auto"/>
        <w:ind w:left="0"/>
        <w:jc w:val="both"/>
        <w:rPr>
          <w:rFonts w:eastAsiaTheme="minorEastAsia"/>
          <w:b/>
          <w:bCs/>
          <w:color w:val="000000"/>
          <w:sz w:val="22"/>
          <w:szCs w:val="22"/>
          <w:lang w:eastAsia="ko-KR"/>
        </w:rPr>
      </w:pPr>
    </w:p>
    <w:p w14:paraId="4D649CE5" w14:textId="55A510C4" w:rsidR="009206CF" w:rsidRDefault="009206CF" w:rsidP="00D3651D">
      <w:pPr>
        <w:pStyle w:val="BodyText"/>
        <w:spacing w:line="252" w:lineRule="auto"/>
        <w:ind w:left="0"/>
        <w:jc w:val="both"/>
        <w:rPr>
          <w:rFonts w:eastAsiaTheme="minorEastAsia"/>
          <w:b/>
          <w:bCs/>
          <w:color w:val="000000"/>
          <w:sz w:val="22"/>
          <w:szCs w:val="22"/>
          <w:lang w:eastAsia="ko-KR"/>
        </w:rPr>
      </w:pPr>
    </w:p>
    <w:p w14:paraId="1A1D4C2C" w14:textId="77777777" w:rsidR="0072734B" w:rsidRDefault="0072734B" w:rsidP="00D3651D">
      <w:pPr>
        <w:pStyle w:val="BodyText"/>
        <w:spacing w:line="252" w:lineRule="auto"/>
        <w:ind w:left="0"/>
        <w:jc w:val="both"/>
        <w:rPr>
          <w:rFonts w:eastAsiaTheme="minorEastAsia"/>
          <w:b/>
          <w:bCs/>
          <w:color w:val="000000"/>
          <w:sz w:val="22"/>
          <w:szCs w:val="22"/>
          <w:lang w:eastAsia="ko-KR"/>
        </w:rPr>
      </w:pPr>
    </w:p>
    <w:p w14:paraId="201C0610" w14:textId="30D5EE22" w:rsidR="00D3651D" w:rsidRPr="008126BD" w:rsidRDefault="00D3651D" w:rsidP="00D3651D">
      <w:pPr>
        <w:pStyle w:val="BodyText"/>
        <w:spacing w:line="252"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p>
    <w:p w14:paraId="6E2160E9" w14:textId="77777777" w:rsidR="00D3651D" w:rsidRPr="008126BD" w:rsidRDefault="00D3651D" w:rsidP="00D3651D">
      <w:pPr>
        <w:pStyle w:val="BodyText"/>
        <w:spacing w:line="252" w:lineRule="auto"/>
        <w:ind w:left="0"/>
        <w:jc w:val="both"/>
        <w:rPr>
          <w:rFonts w:eastAsiaTheme="minorEastAsia"/>
          <w:color w:val="000000"/>
          <w:sz w:val="22"/>
          <w:szCs w:val="22"/>
          <w:lang w:eastAsia="ko-KR"/>
        </w:rPr>
      </w:pPr>
    </w:p>
    <w:p w14:paraId="118FC754" w14:textId="77777777" w:rsidR="00D3651D" w:rsidRPr="008126BD" w:rsidRDefault="00D3651D" w:rsidP="00D3651D">
      <w:pPr>
        <w:pStyle w:val="BodyText"/>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Pr="008126BD">
        <w:rPr>
          <w:rFonts w:eastAsiaTheme="minorEastAsia"/>
          <w:color w:val="000000"/>
          <w:sz w:val="22"/>
          <w:szCs w:val="22"/>
          <w:lang w:eastAsia="ko-KR"/>
        </w:rPr>
        <w:t>Our study examined the protective effectiveness of COVID-19 infection across age groups between hybrid and vaccine-induced in the general population</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Pr="008126BD">
        <w:rPr>
          <w:rFonts w:eastAsiaTheme="minorEastAsia"/>
          <w:color w:val="000000"/>
          <w:sz w:val="22"/>
          <w:szCs w:val="22"/>
          <w:lang w:eastAsia="ko-KR"/>
        </w:rPr>
        <w:t xml:space="preserve">. </w:t>
      </w:r>
    </w:p>
    <w:p w14:paraId="53DE9E95" w14:textId="77777777" w:rsidR="00D3651D" w:rsidRPr="008126BD" w:rsidRDefault="00D3651D" w:rsidP="00D3651D">
      <w:pPr>
        <w:widowControl/>
        <w:tabs>
          <w:tab w:val="num" w:pos="720"/>
        </w:tabs>
        <w:adjustRightInd w:val="0"/>
        <w:contextualSpacing/>
        <w:jc w:val="both"/>
        <w:rPr>
          <w:rFonts w:eastAsiaTheme="minorEastAsia"/>
          <w:lang w:eastAsia="ko-KR"/>
        </w:rPr>
      </w:pPr>
    </w:p>
    <w:p w14:paraId="1E769565" w14:textId="77777777" w:rsidR="00D3651D" w:rsidRPr="008126BD" w:rsidRDefault="00D3651D" w:rsidP="00D3651D">
      <w:pPr>
        <w:widowControl/>
        <w:tabs>
          <w:tab w:val="num" w:pos="720"/>
        </w:tabs>
        <w:adjustRightInd w:val="0"/>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464E004F" w14:textId="77777777" w:rsidR="00D3651D" w:rsidRPr="008126BD" w:rsidRDefault="00D3651D" w:rsidP="00D3651D">
      <w:pPr>
        <w:widowControl/>
        <w:tabs>
          <w:tab w:val="num" w:pos="720"/>
        </w:tabs>
        <w:adjustRightInd w:val="0"/>
        <w:contextualSpacing/>
        <w:jc w:val="both"/>
        <w:rPr>
          <w:rFonts w:eastAsiaTheme="minorEastAsia"/>
          <w:lang w:eastAsia="ko-KR"/>
        </w:rPr>
      </w:pPr>
    </w:p>
    <w:p w14:paraId="396EAE84" w14:textId="77777777" w:rsidR="00D3651D" w:rsidRPr="008126BD" w:rsidRDefault="00D3651D" w:rsidP="00D3651D">
      <w:pPr>
        <w:widowControl/>
        <w:tabs>
          <w:tab w:val="num" w:pos="720"/>
        </w:tabs>
        <w:adjustRightInd w:val="0"/>
        <w:contextualSpacing/>
        <w:jc w:val="both"/>
        <w:rPr>
          <w:rFonts w:eastAsiaTheme="minorEastAsia"/>
        </w:rPr>
      </w:pPr>
      <w:r w:rsidRPr="008126BD">
        <w:rPr>
          <w:rFonts w:eastAsiaTheme="minorEastAsia" w:hint="eastAsia"/>
          <w:b/>
          <w:bCs/>
          <w:lang w:eastAsia="ko-KR"/>
        </w:rPr>
        <w:t>Results:</w:t>
      </w:r>
      <w:r w:rsidRPr="008126BD">
        <w:rPr>
          <w:rFonts w:eastAsiaTheme="minorEastAsia" w:hint="eastAsia"/>
          <w:lang w:eastAsia="ko-KR"/>
        </w:rPr>
        <w:t xml:space="preserve"> </w:t>
      </w:r>
      <w:r w:rsidRPr="008126BD">
        <w:rPr>
          <w:rFonts w:eastAsiaTheme="minorEastAsia"/>
        </w:rPr>
        <w:t xml:space="preserve">We showed that S ab waning and risk infection trends are highly correlated; hybrid group resulted in higher and longer-lasting antibody responses compared to vaccination alone, in the long term as well. </w:t>
      </w:r>
      <w:r w:rsidRPr="008126BD">
        <w:rPr>
          <w:rFonts w:eastAsiaTheme="minorEastAsia"/>
          <w:lang w:eastAsia="ko-KR"/>
        </w:rPr>
        <w:t xml:space="preserve"> </w:t>
      </w:r>
      <w:r w:rsidRPr="008126BD">
        <w:rPr>
          <w:rFonts w:eastAsiaTheme="minorEastAsia"/>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w:t>
      </w:r>
    </w:p>
    <w:p w14:paraId="6629D34B" w14:textId="77777777" w:rsidR="00D3651D" w:rsidRPr="008126BD" w:rsidRDefault="00D3651D" w:rsidP="00D3651D">
      <w:pPr>
        <w:widowControl/>
        <w:tabs>
          <w:tab w:val="num" w:pos="720"/>
        </w:tabs>
        <w:adjustRightInd w:val="0"/>
        <w:contextualSpacing/>
        <w:jc w:val="both"/>
        <w:rPr>
          <w:rFonts w:eastAsiaTheme="minorEastAsia"/>
        </w:rPr>
      </w:pPr>
    </w:p>
    <w:p w14:paraId="6D9BE02D" w14:textId="77777777" w:rsidR="00D3651D" w:rsidRPr="008126BD" w:rsidRDefault="00D3651D" w:rsidP="00D3651D">
      <w:pPr>
        <w:widowControl/>
        <w:tabs>
          <w:tab w:val="num" w:pos="720"/>
        </w:tabs>
        <w:adjustRightInd w:val="0"/>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O</w:t>
      </w:r>
      <w:r w:rsidRPr="008126BD">
        <w:rPr>
          <w:rFonts w:eastAsiaTheme="minorEastAsia"/>
        </w:rPr>
        <w:t>ur results indicate that vaccination campaigns should be tailored according to individual immune status, previous history of SARS-CoV-2 infection, and characteristics of the population risk factors (age, gender) to achieve optimal responses and protection across individuals.</w:t>
      </w:r>
    </w:p>
    <w:p w14:paraId="0FF408D3" w14:textId="77777777" w:rsidR="00D3651D" w:rsidRDefault="00D3651D" w:rsidP="00D3651D">
      <w:pPr>
        <w:pStyle w:val="BodyText"/>
        <w:ind w:left="0"/>
        <w:contextualSpacing/>
        <w:jc w:val="both"/>
      </w:pPr>
    </w:p>
    <w:p w14:paraId="20033E7A" w14:textId="77777777" w:rsidR="00D3651D" w:rsidRDefault="00D3651D" w:rsidP="00D3651D">
      <w:pPr>
        <w:jc w:val="both"/>
        <w:rPr>
          <w:rFonts w:eastAsiaTheme="minorEastAsia"/>
          <w:lang w:eastAsia="ko-KR"/>
        </w:rPr>
      </w:pPr>
    </w:p>
    <w:p w14:paraId="37808E29" w14:textId="77777777" w:rsidR="00D3651D" w:rsidRPr="00D051AD" w:rsidRDefault="00D3651D" w:rsidP="00D3651D">
      <w:pPr>
        <w:jc w:val="both"/>
        <w:rPr>
          <w:b/>
          <w:bCs/>
          <w:sz w:val="24"/>
        </w:rPr>
      </w:pPr>
      <w:r w:rsidRPr="00D051AD">
        <w:rPr>
          <w:b/>
          <w:bCs/>
        </w:rPr>
        <w:t>Introduction</w:t>
      </w:r>
    </w:p>
    <w:p w14:paraId="59DA8B71" w14:textId="77777777" w:rsidR="00D3651D" w:rsidRDefault="00D3651D" w:rsidP="00D3651D">
      <w:pPr>
        <w:pStyle w:val="BodyText"/>
        <w:kinsoku w:val="0"/>
        <w:overflowPunct w:val="0"/>
        <w:spacing w:before="74" w:line="252" w:lineRule="auto"/>
        <w:ind w:firstLine="566"/>
        <w:jc w:val="both"/>
        <w:rPr>
          <w:rFonts w:ascii="WarnockPro-Regular" w:eastAsiaTheme="minorEastAsia" w:hAnsi="WarnockPro-Regular" w:cs="WarnockPro-Regular"/>
          <w:color w:val="000000"/>
          <w:sz w:val="20"/>
          <w:szCs w:val="20"/>
        </w:rPr>
      </w:pPr>
    </w:p>
    <w:p w14:paraId="30245202" w14:textId="77777777" w:rsidR="00D3651D" w:rsidRPr="008126BD" w:rsidRDefault="00D3651D" w:rsidP="00D3651D">
      <w:pPr>
        <w:pStyle w:val="BodyText"/>
        <w:kinsoku w:val="0"/>
        <w:overflowPunct w:val="0"/>
        <w:spacing w:line="276" w:lineRule="auto"/>
        <w:ind w:left="0"/>
        <w:jc w:val="both"/>
        <w:rPr>
          <w:rFonts w:eastAsiaTheme="minorEastAsia"/>
          <w:color w:val="000000"/>
          <w:sz w:val="22"/>
          <w:szCs w:val="22"/>
          <w:lang w:eastAsia="ko-KR"/>
        </w:rPr>
      </w:pPr>
      <w:r w:rsidRPr="008126BD">
        <w:rPr>
          <w:rFonts w:eastAsiaTheme="minorEastAsia"/>
          <w:color w:val="000000"/>
          <w:sz w:val="22"/>
          <w:szCs w:val="22"/>
        </w:rPr>
        <w:t>Natural SARS-CoV-2 infection and vaccination against</w:t>
      </w:r>
      <w:r w:rsidRPr="008126BD">
        <w:rPr>
          <w:rFonts w:eastAsiaTheme="minorEastAsia"/>
          <w:color w:val="000000"/>
          <w:sz w:val="22"/>
          <w:szCs w:val="22"/>
          <w:lang w:eastAsia="ko-KR"/>
        </w:rPr>
        <w:t xml:space="preserve"> </w:t>
      </w:r>
      <w:r w:rsidRPr="008126BD">
        <w:rPr>
          <w:rFonts w:eastAsiaTheme="minorEastAsia"/>
          <w:color w:val="000000"/>
          <w:sz w:val="22"/>
          <w:szCs w:val="22"/>
        </w:rPr>
        <w:t>COVID-19 both contribute to building the population’s</w:t>
      </w:r>
      <w:r w:rsidRPr="008126BD">
        <w:rPr>
          <w:rFonts w:eastAsiaTheme="minorEastAsia"/>
          <w:color w:val="000000"/>
          <w:sz w:val="22"/>
          <w:szCs w:val="22"/>
          <w:lang w:eastAsia="ko-KR"/>
        </w:rPr>
        <w:t xml:space="preserve"> </w:t>
      </w:r>
      <w:r w:rsidRPr="008126BD">
        <w:rPr>
          <w:rFonts w:eastAsiaTheme="minorEastAsia"/>
          <w:color w:val="000000"/>
          <w:sz w:val="22"/>
          <w:szCs w:val="22"/>
        </w:rPr>
        <w:t>immunity. Immune responses are multifaceted, but single components that are easy to measure, such as antibodies, are used in epidemiological studies to characterize the population-level</w:t>
      </w:r>
      <w:r w:rsidRPr="008126BD">
        <w:rPr>
          <w:rFonts w:eastAsiaTheme="minorEastAsia"/>
          <w:color w:val="000000"/>
          <w:sz w:val="22"/>
          <w:szCs w:val="22"/>
          <w:lang w:eastAsia="ko-KR"/>
        </w:rPr>
        <w:t xml:space="preserve"> immunity and the </w:t>
      </w:r>
      <w:r w:rsidRPr="008126BD">
        <w:rPr>
          <w:rFonts w:eastAsiaTheme="minorEastAsia"/>
          <w:color w:val="000000"/>
          <w:sz w:val="22"/>
          <w:szCs w:val="22"/>
        </w:rPr>
        <w:t>longevity</w:t>
      </w:r>
      <w:r w:rsidRPr="008126BD">
        <w:rPr>
          <w:rFonts w:eastAsiaTheme="minorEastAsia"/>
          <w:color w:val="000000"/>
          <w:sz w:val="22"/>
          <w:szCs w:val="22"/>
          <w:lang w:eastAsia="ko-KR"/>
        </w:rPr>
        <w:t xml:space="preserve"> </w:t>
      </w:r>
      <w:r w:rsidRPr="008126BD">
        <w:rPr>
          <w:rFonts w:eastAsiaTheme="minorEastAsia"/>
          <w:color w:val="000000"/>
          <w:sz w:val="22"/>
          <w:szCs w:val="22"/>
        </w:rPr>
        <w:t>of antibody responses induced after infection and/or vaccination.</w:t>
      </w:r>
      <w:r w:rsidRPr="008126BD">
        <w:rPr>
          <w:rFonts w:eastAsiaTheme="minorEastAsia"/>
          <w:color w:val="000000"/>
          <w:sz w:val="22"/>
          <w:szCs w:val="22"/>
          <w:lang w:eastAsia="ko-KR"/>
        </w:rPr>
        <w:t xml:space="preserve"> </w:t>
      </w:r>
      <w:r w:rsidRPr="008126BD">
        <w:rPr>
          <w:rFonts w:eastAsiaTheme="minorEastAsia"/>
          <w:color w:val="000000"/>
          <w:sz w:val="22"/>
          <w:szCs w:val="22"/>
        </w:rPr>
        <w:t>Studies of COVID-19 vaccines have</w:t>
      </w:r>
      <w:r w:rsidRPr="008126BD">
        <w:rPr>
          <w:rFonts w:eastAsiaTheme="minorEastAsia"/>
          <w:color w:val="000000"/>
          <w:sz w:val="22"/>
          <w:szCs w:val="22"/>
          <w:lang w:eastAsia="ko-KR"/>
        </w:rPr>
        <w:t xml:space="preserve"> </w:t>
      </w:r>
      <w:r w:rsidRPr="008126BD">
        <w:rPr>
          <w:rFonts w:eastAsiaTheme="minorEastAsia"/>
          <w:color w:val="000000"/>
          <w:sz w:val="22"/>
          <w:szCs w:val="22"/>
        </w:rPr>
        <w:t>shown waning immunity over time (after 2 doses), as</w:t>
      </w:r>
      <w:r w:rsidRPr="008126BD">
        <w:rPr>
          <w:rFonts w:eastAsiaTheme="minorEastAsia"/>
          <w:color w:val="000000"/>
          <w:sz w:val="22"/>
          <w:szCs w:val="22"/>
          <w:lang w:eastAsia="ko-KR"/>
        </w:rPr>
        <w:t xml:space="preserve"> </w:t>
      </w:r>
      <w:r w:rsidRPr="008126BD">
        <w:rPr>
          <w:rFonts w:eastAsiaTheme="minorEastAsia"/>
          <w:color w:val="000000"/>
          <w:sz w:val="22"/>
          <w:szCs w:val="22"/>
        </w:rPr>
        <w:t>measured by primarily decreasing antibody titers and</w:t>
      </w:r>
      <w:r w:rsidRPr="008126BD">
        <w:rPr>
          <w:rFonts w:eastAsiaTheme="minorEastAsia"/>
          <w:color w:val="000000"/>
          <w:sz w:val="22"/>
          <w:szCs w:val="22"/>
          <w:lang w:eastAsia="ko-KR"/>
        </w:rPr>
        <w:t xml:space="preserve"> </w:t>
      </w:r>
      <w:r w:rsidRPr="008126BD">
        <w:rPr>
          <w:rFonts w:eastAsiaTheme="minorEastAsia"/>
          <w:color w:val="000000"/>
          <w:sz w:val="22"/>
          <w:szCs w:val="22"/>
        </w:rPr>
        <w:t>vaccine effectiveness (breakthrough infections) [</w:t>
      </w:r>
      <w:r w:rsidRPr="008126BD">
        <w:rPr>
          <w:rFonts w:eastAsiaTheme="minorEastAsia"/>
          <w:color w:val="0000FF"/>
          <w:sz w:val="22"/>
          <w:szCs w:val="22"/>
        </w:rPr>
        <w:t>9</w:t>
      </w:r>
      <w:r w:rsidRPr="008126BD">
        <w:rPr>
          <w:rFonts w:eastAsiaTheme="minorEastAsia"/>
          <w:color w:val="000000"/>
          <w:sz w:val="22"/>
          <w:szCs w:val="22"/>
        </w:rPr>
        <w:t xml:space="preserve">, </w:t>
      </w:r>
      <w:r w:rsidRPr="008126BD">
        <w:rPr>
          <w:rFonts w:eastAsiaTheme="minorEastAsia"/>
          <w:color w:val="0000FF"/>
          <w:sz w:val="22"/>
          <w:szCs w:val="22"/>
        </w:rPr>
        <w:t>10</w:t>
      </w:r>
      <w:r w:rsidRPr="008126BD">
        <w:rPr>
          <w:rFonts w:eastAsiaTheme="minorEastAsia"/>
          <w:color w:val="000000"/>
          <w:sz w:val="22"/>
          <w:szCs w:val="22"/>
        </w:rPr>
        <w:t xml:space="preserve">]. </w:t>
      </w:r>
      <w:r w:rsidRPr="008126BD">
        <w:rPr>
          <w:rFonts w:eastAsiaTheme="minorEastAsia"/>
          <w:sz w:val="22"/>
          <w:szCs w:val="22"/>
          <w:lang w:eastAsia="ko-KR"/>
        </w:rPr>
        <w:t xml:space="preserve">However, estimating the magnitude and durability of this protection in the population has become a challenge because of the surge in the omicron (B.1.1.529) variant, which has resulted in many individuals with hybrid immunity (immunity developed through a combination of </w:t>
      </w:r>
      <w:r w:rsidRPr="008126BD">
        <w:rPr>
          <w:rFonts w:eastAsiaTheme="minorEastAsia"/>
          <w:sz w:val="22"/>
          <w:szCs w:val="22"/>
          <w:lang w:eastAsia="ko-KR"/>
        </w:rPr>
        <w:lastRenderedPageBreak/>
        <w:t>SARS-CoV-2 infection and vaccination), varying rates and timings of past infection and vaccination, multiple types of vaccination and numbers of doses, and variants of concern that can escape pre-existing immunity.3,4 Moreover, m</w:t>
      </w:r>
      <w:r w:rsidRPr="008126BD">
        <w:rPr>
          <w:rFonts w:eastAsiaTheme="minorEastAsia"/>
          <w:color w:val="000000"/>
          <w:sz w:val="22"/>
          <w:szCs w:val="22"/>
        </w:rPr>
        <w:t xml:space="preserve">ost </w:t>
      </w:r>
      <w:r w:rsidRPr="008126BD">
        <w:rPr>
          <w:rFonts w:eastAsiaTheme="minorEastAsia"/>
          <w:color w:val="000000"/>
          <w:sz w:val="22"/>
          <w:szCs w:val="22"/>
          <w:lang w:eastAsia="ko-KR"/>
        </w:rPr>
        <w:t xml:space="preserve">existing </w:t>
      </w:r>
      <w:proofErr w:type="spellStart"/>
      <w:r w:rsidRPr="008126BD">
        <w:rPr>
          <w:rFonts w:eastAsiaTheme="minorEastAsia"/>
          <w:color w:val="000000"/>
          <w:sz w:val="22"/>
          <w:szCs w:val="22"/>
        </w:rPr>
        <w:t>seroepidemiological</w:t>
      </w:r>
      <w:proofErr w:type="spellEnd"/>
      <w:r w:rsidRPr="008126BD">
        <w:rPr>
          <w:rFonts w:eastAsiaTheme="minorEastAsia"/>
          <w:color w:val="000000"/>
          <w:sz w:val="22"/>
          <w:szCs w:val="22"/>
        </w:rPr>
        <w:t xml:space="preserve"> studies have focused</w:t>
      </w:r>
      <w:r w:rsidRPr="008126BD">
        <w:rPr>
          <w:rFonts w:eastAsiaTheme="minorEastAsia"/>
          <w:color w:val="000000"/>
          <w:sz w:val="22"/>
          <w:szCs w:val="22"/>
          <w:lang w:eastAsia="ko-KR"/>
        </w:rPr>
        <w:t xml:space="preserve"> </w:t>
      </w:r>
      <w:r w:rsidRPr="008126BD">
        <w:rPr>
          <w:rFonts w:eastAsiaTheme="minorEastAsia"/>
          <w:color w:val="000000"/>
          <w:sz w:val="22"/>
          <w:szCs w:val="22"/>
        </w:rPr>
        <w:t>on specific groups (e.g., healthcare workers) [</w:t>
      </w:r>
      <w:r w:rsidRPr="008126BD">
        <w:rPr>
          <w:rFonts w:eastAsiaTheme="minorEastAsia"/>
          <w:color w:val="0000FF"/>
          <w:sz w:val="22"/>
          <w:szCs w:val="22"/>
        </w:rPr>
        <w:t>1</w:t>
      </w:r>
      <w:r w:rsidRPr="008126BD">
        <w:rPr>
          <w:rFonts w:eastAsiaTheme="minorEastAsia"/>
          <w:color w:val="000000"/>
          <w:sz w:val="22"/>
          <w:szCs w:val="22"/>
        </w:rPr>
        <w:t xml:space="preserve">, </w:t>
      </w:r>
      <w:r w:rsidRPr="008126BD">
        <w:rPr>
          <w:rFonts w:eastAsiaTheme="minorEastAsia"/>
          <w:color w:val="0000FF"/>
          <w:sz w:val="22"/>
          <w:szCs w:val="22"/>
        </w:rPr>
        <w:t>2</w:t>
      </w:r>
      <w:r w:rsidRPr="008126BD">
        <w:rPr>
          <w:rFonts w:eastAsiaTheme="minorEastAsia"/>
          <w:color w:val="000000"/>
          <w:sz w:val="22"/>
          <w:szCs w:val="22"/>
        </w:rPr>
        <w:t>]</w:t>
      </w:r>
      <w:r w:rsidRPr="008126BD">
        <w:rPr>
          <w:rFonts w:eastAsiaTheme="minorEastAsia"/>
          <w:color w:val="000000"/>
          <w:sz w:val="22"/>
          <w:szCs w:val="22"/>
          <w:lang w:eastAsia="ko-KR"/>
        </w:rPr>
        <w:t>, and the</w:t>
      </w:r>
      <w:r w:rsidRPr="008126BD">
        <w:rPr>
          <w:rFonts w:eastAsiaTheme="minorEastAsia"/>
          <w:color w:val="000000"/>
          <w:sz w:val="22"/>
          <w:szCs w:val="22"/>
        </w:rPr>
        <w:t xml:space="preserve"> durability of antibody responses after infection</w:t>
      </w:r>
      <w:r w:rsidRPr="008126BD">
        <w:rPr>
          <w:rFonts w:eastAsiaTheme="minorEastAsia"/>
          <w:color w:val="000000"/>
          <w:sz w:val="22"/>
          <w:szCs w:val="22"/>
          <w:lang w:eastAsia="ko-KR"/>
        </w:rPr>
        <w:t xml:space="preserve"> </w:t>
      </w:r>
      <w:r w:rsidRPr="008126BD">
        <w:rPr>
          <w:rFonts w:eastAsiaTheme="minorEastAsia"/>
          <w:color w:val="000000"/>
          <w:sz w:val="22"/>
          <w:szCs w:val="22"/>
        </w:rPr>
        <w:t>and/or vaccination is less well explored within the general</w:t>
      </w:r>
      <w:r w:rsidRPr="008126BD">
        <w:rPr>
          <w:rFonts w:eastAsiaTheme="minorEastAsia"/>
          <w:color w:val="000000"/>
          <w:sz w:val="22"/>
          <w:szCs w:val="22"/>
          <w:lang w:eastAsia="ko-KR"/>
        </w:rPr>
        <w:t xml:space="preserve"> </w:t>
      </w:r>
      <w:r w:rsidRPr="008126BD">
        <w:rPr>
          <w:rFonts w:eastAsiaTheme="minorEastAsia"/>
          <w:color w:val="000000"/>
          <w:sz w:val="22"/>
          <w:szCs w:val="22"/>
        </w:rPr>
        <w:t>population [</w:t>
      </w:r>
      <w:r w:rsidRPr="008126BD">
        <w:rPr>
          <w:rFonts w:eastAsiaTheme="minorEastAsia"/>
          <w:color w:val="0000FF"/>
          <w:sz w:val="22"/>
          <w:szCs w:val="22"/>
        </w:rPr>
        <w:t>8</w:t>
      </w:r>
      <w:r w:rsidRPr="008126BD">
        <w:rPr>
          <w:rFonts w:eastAsiaTheme="minorEastAsia"/>
          <w:color w:val="000000"/>
          <w:sz w:val="22"/>
          <w:szCs w:val="22"/>
        </w:rPr>
        <w:t>].</w:t>
      </w:r>
      <w:r w:rsidRPr="008126BD">
        <w:rPr>
          <w:rFonts w:eastAsiaTheme="minorEastAsia"/>
          <w:color w:val="000000"/>
          <w:sz w:val="22"/>
          <w:szCs w:val="22"/>
          <w:lang w:eastAsia="ko-KR"/>
        </w:rPr>
        <w:t xml:space="preserve"> </w:t>
      </w:r>
    </w:p>
    <w:p w14:paraId="7C6AD60A" w14:textId="77777777" w:rsidR="00D3651D" w:rsidRPr="008126BD" w:rsidRDefault="00D3651D" w:rsidP="00D3651D">
      <w:pPr>
        <w:widowControl/>
        <w:adjustRightInd w:val="0"/>
        <w:spacing w:line="276" w:lineRule="auto"/>
        <w:rPr>
          <w:rFonts w:eastAsiaTheme="minorEastAsia"/>
          <w:color w:val="000000"/>
        </w:rPr>
      </w:pPr>
    </w:p>
    <w:p w14:paraId="29A22A21" w14:textId="2D121230" w:rsidR="00D3651D" w:rsidRPr="00D051AD" w:rsidRDefault="00D3651D" w:rsidP="00D3651D">
      <w:pPr>
        <w:widowControl/>
        <w:adjustRightInd w:val="0"/>
        <w:spacing w:line="276" w:lineRule="auto"/>
        <w:rPr>
          <w:rFonts w:eastAsiaTheme="minorEastAsia"/>
          <w:lang w:eastAsia="ko-KR"/>
        </w:rPr>
      </w:pPr>
      <w:r w:rsidRPr="008126BD">
        <w:rPr>
          <w:rFonts w:eastAsiaTheme="minorEastAsia"/>
          <w:lang w:eastAsia="ko-KR"/>
        </w:rPr>
        <w:t>Systematic reviews of SARS-CoV-2 vaccine effectiveness studies have provided clarity on the durability of protection for different variants of concern.5,6 These studies have compared protection among vaccinated individuals to that in unvaccinated individuals and compared protection between different numbers of doses. Another recent systematic review estimated the durability of protection conferred by hybrid immunity[</w:t>
      </w:r>
      <w:proofErr w:type="gramStart"/>
      <w:r w:rsidRPr="008126BD">
        <w:rPr>
          <w:rFonts w:eastAsiaTheme="minorEastAsia"/>
          <w:lang w:eastAsia="ko-KR"/>
        </w:rPr>
        <w:t>ref]  and</w:t>
      </w:r>
      <w:proofErr w:type="gramEnd"/>
      <w:r w:rsidRPr="008126BD">
        <w:rPr>
          <w:rFonts w:eastAsiaTheme="minorEastAsia"/>
          <w:lang w:eastAsia="ko-KR"/>
        </w:rPr>
        <w:t xml:space="preserve"> previous infection alone against multiple clinical outcomes of SARS-CoV-2 infection caused by the omicron variant. This systematic review and meta-regression found that both previous infection alone and previous infection combined with previous vaccination (</w:t>
      </w:r>
      <w:r w:rsidR="004567C4">
        <w:rPr>
          <w:rFonts w:eastAsiaTheme="minorEastAsia"/>
          <w:lang w:eastAsia="ko-KR"/>
        </w:rPr>
        <w:t>i.e., hybrid immunity) conferred rapidly waning protection against SARS-CoV-2 infection with the omicron variant</w:t>
      </w:r>
      <w:r w:rsidRPr="008126BD">
        <w:rPr>
          <w:rFonts w:eastAsiaTheme="minorEastAsia"/>
          <w:lang w:eastAsia="ko-KR"/>
        </w:rPr>
        <w:t xml:space="preserve"> but high and sustained protection against hospital admission or severe disease due to the omicron variant. The study also determined that previous infection was found to provide higher protection against reinfection and more sustained protection against hospital admission or severe disease than vaccination alone. Such </w:t>
      </w:r>
      <w:r w:rsidR="004567C4">
        <w:rPr>
          <w:rFonts w:eastAsiaTheme="minorEastAsia"/>
          <w:lang w:eastAsia="ko-KR"/>
        </w:rPr>
        <w:t xml:space="preserve">a </w:t>
      </w:r>
      <w:r w:rsidRPr="008126BD">
        <w:rPr>
          <w:rFonts w:eastAsiaTheme="minorEastAsia"/>
          <w:lang w:eastAsia="ko-KR"/>
        </w:rPr>
        <w:t xml:space="preserve">pattern might be explained by natural infection invoking a more diverse immune response to multiple antigenic sites on the virus compared to the immunity developed through vaccines that target only spike antigens. However, individuals with hybrid immunity had the highest magnitude and durability of protection against all outcomes, </w:t>
      </w:r>
      <w:r w:rsidR="004567C4">
        <w:rPr>
          <w:rFonts w:eastAsiaTheme="minorEastAsia"/>
          <w:lang w:eastAsia="ko-KR"/>
        </w:rPr>
        <w:t>emphasizing</w:t>
      </w:r>
      <w:r w:rsidRPr="008126BD">
        <w:rPr>
          <w:rFonts w:eastAsiaTheme="minorEastAsia"/>
          <w:lang w:eastAsia="ko-KR"/>
        </w:rPr>
        <w:t xml:space="preserve"> the importance of providing vaccination to previously infected individuals. Infection-induced protection against reinfection wanes rapidly, and vaccination 564 increases durability.</w:t>
      </w:r>
    </w:p>
    <w:p w14:paraId="4D370E6D" w14:textId="77777777" w:rsidR="00D3651D" w:rsidRDefault="00D3651D" w:rsidP="00D3651D">
      <w:pPr>
        <w:pStyle w:val="BodyText"/>
        <w:kinsoku w:val="0"/>
        <w:overflowPunct w:val="0"/>
        <w:spacing w:line="276" w:lineRule="auto"/>
        <w:ind w:left="0"/>
        <w:jc w:val="both"/>
        <w:rPr>
          <w:rFonts w:eastAsiaTheme="minorEastAsia"/>
          <w:color w:val="000000"/>
          <w:sz w:val="22"/>
          <w:szCs w:val="22"/>
          <w:lang w:eastAsia="ko-KR"/>
        </w:rPr>
      </w:pPr>
    </w:p>
    <w:p w14:paraId="54314EA7" w14:textId="77777777" w:rsidR="00D3651D" w:rsidRDefault="00D3651D" w:rsidP="00D3651D">
      <w:pPr>
        <w:pStyle w:val="BodyText"/>
        <w:kinsoku w:val="0"/>
        <w:overflowPunct w:val="0"/>
        <w:spacing w:line="276" w:lineRule="auto"/>
        <w:ind w:left="0"/>
        <w:jc w:val="both"/>
        <w:rPr>
          <w:rFonts w:eastAsiaTheme="minorEastAsia"/>
          <w:sz w:val="22"/>
          <w:szCs w:val="22"/>
          <w:lang w:eastAsia="ko-KR"/>
        </w:rPr>
      </w:pPr>
      <w:r w:rsidRPr="00D051AD">
        <w:rPr>
          <w:rFonts w:eastAsiaTheme="minorEastAsia"/>
          <w:color w:val="000000"/>
          <w:sz w:val="22"/>
          <w:szCs w:val="22"/>
          <w:lang w:eastAsia="ko-KR"/>
        </w:rPr>
        <w:t xml:space="preserve">In South Korea, with high vaccination, </w:t>
      </w:r>
      <w:proofErr w:type="gramStart"/>
      <w:r w:rsidRPr="00D051AD">
        <w:rPr>
          <w:rFonts w:eastAsiaTheme="minorEastAsia"/>
          <w:color w:val="000000"/>
          <w:sz w:val="22"/>
          <w:szCs w:val="22"/>
          <w:lang w:eastAsia="ko-KR"/>
        </w:rPr>
        <w:t>the majority of</w:t>
      </w:r>
      <w:proofErr w:type="gramEnd"/>
      <w:r w:rsidRPr="00D051AD">
        <w:rPr>
          <w:rFonts w:eastAsiaTheme="minorEastAsia"/>
          <w:color w:val="000000"/>
          <w:sz w:val="22"/>
          <w:szCs w:val="22"/>
          <w:lang w:eastAsia="ko-KR"/>
        </w:rPr>
        <w:t xml:space="preserve"> the population is hybrid and vaccine-induced immunity, and there are only a few people with previous infection alone. In this study, we directly compared </w:t>
      </w:r>
      <w:r w:rsidRPr="00D051AD">
        <w:rPr>
          <w:sz w:val="22"/>
          <w:szCs w:val="22"/>
        </w:rPr>
        <w:t>anti-S levels and the</w:t>
      </w:r>
      <w:r w:rsidRPr="00D051AD">
        <w:rPr>
          <w:rFonts w:eastAsiaTheme="minorEastAsia"/>
          <w:sz w:val="22"/>
          <w:szCs w:val="22"/>
          <w:lang w:eastAsia="ko-KR"/>
        </w:rPr>
        <w:t xml:space="preserve"> relative breakthrough infection events between hybrid and vaccine-induced immunity groups. We used the data obtained from </w:t>
      </w:r>
      <w:r w:rsidRPr="00D051AD">
        <w:rPr>
          <w:sz w:val="22"/>
          <w:szCs w:val="22"/>
        </w:rPr>
        <w:t xml:space="preserve">the </w:t>
      </w:r>
      <w:r w:rsidRPr="00D051AD">
        <w:rPr>
          <w:rFonts w:eastAsiaTheme="minorEastAsia"/>
          <w:sz w:val="22"/>
          <w:szCs w:val="22"/>
          <w:lang w:eastAsia="ko-KR"/>
        </w:rPr>
        <w:t>nationwide community-based cohort, which enables large-scale and various age subgroup populations to follow up with repeated testing of antibodies two times in August and December 2022 with detailed demographic and clinical characterization</w:t>
      </w:r>
      <w:r w:rsidRPr="00D051AD">
        <w:rPr>
          <w:sz w:val="22"/>
          <w:szCs w:val="22"/>
        </w:rPr>
        <w:t xml:space="preserve">. </w:t>
      </w:r>
      <w:r w:rsidRPr="00D051AD">
        <w:rPr>
          <w:rFonts w:eastAsiaTheme="minorEastAsia"/>
          <w:sz w:val="22"/>
          <w:szCs w:val="22"/>
          <w:lang w:eastAsia="ko-KR"/>
        </w:rPr>
        <w:t xml:space="preserve">The objectives of the research are three folds: </w:t>
      </w:r>
      <w:r w:rsidRPr="00D051AD">
        <w:rPr>
          <w:sz w:val="22"/>
          <w:szCs w:val="22"/>
        </w:rPr>
        <w:t>First,</w:t>
      </w:r>
      <w:r w:rsidRPr="00D051AD">
        <w:rPr>
          <w:rFonts w:eastAsiaTheme="minorEastAsia"/>
          <w:sz w:val="22"/>
          <w:szCs w:val="22"/>
          <w:lang w:eastAsia="ko-KR"/>
        </w:rPr>
        <w:t xml:space="preserve"> we assessed how</w:t>
      </w:r>
      <w:r w:rsidRPr="00D051AD">
        <w:rPr>
          <w:sz w:val="22"/>
          <w:szCs w:val="22"/>
        </w:rPr>
        <w:t xml:space="preserve"> does anti-S waning</w:t>
      </w:r>
      <w:r w:rsidRPr="00D051AD">
        <w:rPr>
          <w:rFonts w:eastAsiaTheme="minorEastAsia"/>
          <w:sz w:val="22"/>
          <w:szCs w:val="22"/>
          <w:lang w:eastAsia="ko-KR"/>
        </w:rPr>
        <w:t xml:space="preserve"> </w:t>
      </w:r>
      <w:r w:rsidRPr="00D051AD">
        <w:rPr>
          <w:sz w:val="22"/>
          <w:szCs w:val="22"/>
        </w:rPr>
        <w:t xml:space="preserve">vary after the </w:t>
      </w:r>
      <w:r w:rsidRPr="00D051AD">
        <w:rPr>
          <w:rFonts w:eastAsiaTheme="minorEastAsia"/>
          <w:sz w:val="22"/>
          <w:szCs w:val="22"/>
          <w:lang w:eastAsia="ko-KR"/>
        </w:rPr>
        <w:t>last immunological events</w:t>
      </w:r>
      <w:r w:rsidRPr="00D051AD">
        <w:rPr>
          <w:sz w:val="22"/>
          <w:szCs w:val="22"/>
        </w:rPr>
        <w:t xml:space="preserve"> </w:t>
      </w:r>
      <w:r w:rsidRPr="00D051AD">
        <w:rPr>
          <w:rFonts w:eastAsiaTheme="minorEastAsia"/>
          <w:sz w:val="22"/>
          <w:szCs w:val="22"/>
          <w:lang w:eastAsia="ko-KR"/>
        </w:rPr>
        <w:t xml:space="preserve">across age subgroups between hybrid and vaccine induced immunity groups. </w:t>
      </w:r>
      <w:r w:rsidRPr="00D051AD">
        <w:rPr>
          <w:sz w:val="22"/>
          <w:szCs w:val="22"/>
        </w:rPr>
        <w:t>Second,</w:t>
      </w:r>
      <w:r w:rsidRPr="00D051AD">
        <w:rPr>
          <w:rFonts w:eastAsiaTheme="minorEastAsia"/>
          <w:sz w:val="22"/>
          <w:szCs w:val="22"/>
          <w:lang w:eastAsia="ko-KR"/>
        </w:rPr>
        <w:t xml:space="preserve"> we assessed the </w:t>
      </w:r>
      <w:r w:rsidRPr="00D051AD">
        <w:rPr>
          <w:sz w:val="22"/>
          <w:szCs w:val="22"/>
        </w:rPr>
        <w:t xml:space="preserve">protective </w:t>
      </w:r>
      <w:r w:rsidRPr="00D051AD">
        <w:rPr>
          <w:rFonts w:eastAsiaTheme="minorEastAsia"/>
          <w:sz w:val="22"/>
          <w:szCs w:val="22"/>
          <w:lang w:eastAsia="ko-KR"/>
        </w:rPr>
        <w:t>efficacy</w:t>
      </w:r>
      <w:r w:rsidRPr="00D051AD">
        <w:rPr>
          <w:sz w:val="22"/>
          <w:szCs w:val="22"/>
        </w:rPr>
        <w:t xml:space="preserve"> of the</w:t>
      </w:r>
      <w:r w:rsidRPr="00D051AD">
        <w:rPr>
          <w:rFonts w:eastAsiaTheme="minorEastAsia"/>
          <w:sz w:val="22"/>
          <w:szCs w:val="22"/>
          <w:lang w:eastAsia="ko-KR"/>
        </w:rPr>
        <w:t xml:space="preserve"> two</w:t>
      </w:r>
      <w:r w:rsidRPr="00D051AD">
        <w:rPr>
          <w:sz w:val="22"/>
          <w:szCs w:val="22"/>
        </w:rPr>
        <w:t xml:space="preserve"> groups</w:t>
      </w:r>
      <w:r w:rsidRPr="00D051AD">
        <w:rPr>
          <w:rFonts w:eastAsiaTheme="minorEastAsia"/>
          <w:sz w:val="22"/>
          <w:szCs w:val="22"/>
          <w:lang w:eastAsia="ko-KR"/>
        </w:rPr>
        <w:t xml:space="preserve"> over time</w:t>
      </w:r>
      <w:r w:rsidRPr="00D051AD">
        <w:rPr>
          <w:sz w:val="22"/>
          <w:szCs w:val="22"/>
        </w:rPr>
        <w:t>, focusing on the probability of remaining free from COVID-19 infection</w:t>
      </w:r>
      <w:r w:rsidRPr="00D051AD">
        <w:rPr>
          <w:rFonts w:eastAsiaTheme="minorEastAsia"/>
          <w:sz w:val="22"/>
          <w:szCs w:val="22"/>
          <w:lang w:eastAsia="ko-KR"/>
        </w:rPr>
        <w:t xml:space="preserve">. </w:t>
      </w:r>
      <w:r w:rsidRPr="00D051AD">
        <w:rPr>
          <w:sz w:val="22"/>
          <w:szCs w:val="22"/>
        </w:rPr>
        <w:t xml:space="preserve">Third, </w:t>
      </w:r>
      <w:r w:rsidRPr="00D051AD">
        <w:rPr>
          <w:rFonts w:eastAsiaTheme="minorEastAsia"/>
          <w:sz w:val="22"/>
          <w:szCs w:val="22"/>
          <w:lang w:eastAsia="ko-KR"/>
        </w:rPr>
        <w:t>we assessed</w:t>
      </w:r>
      <w:r w:rsidRPr="00D051AD">
        <w:rPr>
          <w:sz w:val="22"/>
          <w:szCs w:val="22"/>
        </w:rPr>
        <w:t xml:space="preserve"> the total effect of anti-S level on </w:t>
      </w:r>
      <w:r w:rsidRPr="00D051AD">
        <w:rPr>
          <w:rFonts w:eastAsiaTheme="minorEastAsia"/>
          <w:sz w:val="22"/>
          <w:szCs w:val="22"/>
          <w:lang w:eastAsia="ko-KR"/>
        </w:rPr>
        <w:t xml:space="preserve">the risk probability </w:t>
      </w:r>
      <w:r w:rsidRPr="00D051AD">
        <w:rPr>
          <w:rFonts w:eastAsia="NimbusRomNo9L-Regu"/>
          <w:sz w:val="22"/>
          <w:szCs w:val="22"/>
        </w:rPr>
        <w:t>of remaining</w:t>
      </w:r>
      <w:r w:rsidRPr="00D051AD">
        <w:rPr>
          <w:rFonts w:eastAsiaTheme="minorEastAsia"/>
          <w:sz w:val="22"/>
          <w:szCs w:val="22"/>
          <w:lang w:eastAsia="ko-KR"/>
        </w:rPr>
        <w:t xml:space="preserve"> </w:t>
      </w:r>
      <w:r w:rsidRPr="00D051AD">
        <w:rPr>
          <w:rFonts w:eastAsia="NimbusRomNo9L-Regu"/>
          <w:sz w:val="22"/>
          <w:szCs w:val="22"/>
        </w:rPr>
        <w:t>infection-free</w:t>
      </w:r>
      <w:r w:rsidRPr="00D051AD">
        <w:rPr>
          <w:rFonts w:eastAsiaTheme="minorEastAsia"/>
          <w:sz w:val="22"/>
          <w:szCs w:val="22"/>
          <w:lang w:eastAsia="ko-KR"/>
        </w:rPr>
        <w:t xml:space="preserve"> by S ab levels across age groups between hybrid and vaccine groups</w:t>
      </w:r>
      <w:r w:rsidRPr="00D051AD">
        <w:rPr>
          <w:sz w:val="22"/>
          <w:szCs w:val="22"/>
        </w:rPr>
        <w:t>.</w:t>
      </w:r>
      <w:r w:rsidRPr="00D051AD">
        <w:rPr>
          <w:rStyle w:val="FootnoteReference"/>
          <w:rFonts w:eastAsiaTheme="majorEastAsia"/>
          <w:sz w:val="22"/>
          <w:szCs w:val="22"/>
        </w:rPr>
        <w:footnoteReference w:id="1"/>
      </w:r>
    </w:p>
    <w:p w14:paraId="02A33B75" w14:textId="77777777" w:rsidR="00D3651D" w:rsidRDefault="00D3651D" w:rsidP="00D3651D">
      <w:pPr>
        <w:pStyle w:val="Heading1"/>
        <w:tabs>
          <w:tab w:val="left" w:pos="633"/>
          <w:tab w:val="left" w:pos="634"/>
        </w:tabs>
        <w:spacing w:before="0" w:line="276" w:lineRule="auto"/>
        <w:rPr>
          <w:rFonts w:eastAsiaTheme="minorEastAsia"/>
          <w:sz w:val="22"/>
          <w:szCs w:val="22"/>
          <w:lang w:eastAsia="ko-KR"/>
        </w:rPr>
      </w:pPr>
    </w:p>
    <w:p w14:paraId="4B2CA25D" w14:textId="77777777" w:rsidR="00D3651D" w:rsidRPr="004567C4" w:rsidRDefault="00D3651D" w:rsidP="00D3651D">
      <w:pPr>
        <w:pStyle w:val="Heading1"/>
        <w:tabs>
          <w:tab w:val="left" w:pos="633"/>
          <w:tab w:val="left" w:pos="634"/>
        </w:tabs>
        <w:spacing w:before="0" w:after="0" w:line="276" w:lineRule="auto"/>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Methods</w:t>
      </w:r>
    </w:p>
    <w:p w14:paraId="0A5D9FBC" w14:textId="77777777" w:rsidR="00D3651D" w:rsidRPr="004567C4" w:rsidRDefault="00D3651D" w:rsidP="00D3651D">
      <w:pPr>
        <w:pStyle w:val="Heading2"/>
        <w:tabs>
          <w:tab w:val="left" w:pos="762"/>
          <w:tab w:val="left" w:pos="763"/>
        </w:tabs>
        <w:spacing w:before="0" w:after="0" w:line="276" w:lineRule="auto"/>
        <w:rPr>
          <w:rFonts w:ascii="Times New Roman" w:eastAsiaTheme="minorEastAsia" w:hAnsi="Times New Roman" w:cs="Times New Roman"/>
          <w:color w:val="000000" w:themeColor="text1"/>
          <w:sz w:val="22"/>
          <w:szCs w:val="22"/>
          <w:lang w:eastAsia="ko-KR"/>
        </w:rPr>
      </w:pPr>
      <w:bookmarkStart w:id="0" w:name="Sample_Collection_and_Definitions"/>
      <w:bookmarkEnd w:id="0"/>
    </w:p>
    <w:p w14:paraId="44C5A086" w14:textId="77777777" w:rsidR="00D3651D" w:rsidRPr="004567C4" w:rsidRDefault="00D3651D" w:rsidP="00D3651D">
      <w:pPr>
        <w:pStyle w:val="Heading2"/>
        <w:tabs>
          <w:tab w:val="left" w:pos="762"/>
          <w:tab w:val="left" w:pos="763"/>
        </w:tabs>
        <w:spacing w:before="0" w:after="0" w:line="276" w:lineRule="auto"/>
        <w:rPr>
          <w:rFonts w:ascii="Times New Roman" w:eastAsiaTheme="minorEastAsia" w:hAnsi="Times New Roman" w:cs="Times New Roman"/>
          <w:color w:val="000000" w:themeColor="text1"/>
          <w:sz w:val="22"/>
          <w:szCs w:val="22"/>
          <w:lang w:eastAsia="ko-KR"/>
        </w:rPr>
      </w:pPr>
      <w:r w:rsidRPr="004567C4">
        <w:rPr>
          <w:rFonts w:ascii="Times New Roman" w:hAnsi="Times New Roman" w:cs="Times New Roman"/>
          <w:color w:val="000000" w:themeColor="text1"/>
          <w:sz w:val="22"/>
          <w:szCs w:val="22"/>
        </w:rPr>
        <w:t>Sample Collection and</w:t>
      </w:r>
      <w:r w:rsidRPr="004567C4">
        <w:rPr>
          <w:rFonts w:ascii="Times New Roman" w:hAnsi="Times New Roman" w:cs="Times New Roman"/>
          <w:color w:val="000000" w:themeColor="text1"/>
          <w:spacing w:val="6"/>
          <w:sz w:val="22"/>
          <w:szCs w:val="22"/>
        </w:rPr>
        <w:t xml:space="preserve"> </w:t>
      </w:r>
      <w:r w:rsidRPr="004567C4">
        <w:rPr>
          <w:rFonts w:ascii="Times New Roman" w:hAnsi="Times New Roman" w:cs="Times New Roman"/>
          <w:color w:val="000000" w:themeColor="text1"/>
          <w:sz w:val="22"/>
          <w:szCs w:val="22"/>
        </w:rPr>
        <w:t>Definitions</w:t>
      </w:r>
      <w:r w:rsidRPr="004567C4">
        <w:rPr>
          <w:rFonts w:ascii="Times New Roman" w:eastAsiaTheme="minorEastAsia" w:hAnsi="Times New Roman" w:cs="Times New Roman"/>
          <w:color w:val="000000" w:themeColor="text1"/>
          <w:sz w:val="22"/>
          <w:szCs w:val="22"/>
          <w:lang w:eastAsia="ko-KR"/>
        </w:rPr>
        <w:t>. A</w:t>
      </w:r>
      <w:r w:rsidRPr="004567C4">
        <w:rPr>
          <w:rFonts w:ascii="Times New Roman" w:hAnsi="Times New Roman" w:cs="Times New Roman"/>
          <w:color w:val="000000" w:themeColor="text1"/>
          <w:sz w:val="22"/>
          <w:szCs w:val="22"/>
        </w:rPr>
        <w:t xml:space="preserve"> nationwide community-based surveillance study was conducted </w:t>
      </w:r>
      <w:r w:rsidRPr="004567C4">
        <w:rPr>
          <w:rFonts w:ascii="Times New Roman" w:eastAsiaTheme="minorEastAsia" w:hAnsi="Times New Roman" w:cs="Times New Roman"/>
          <w:color w:val="000000" w:themeColor="text1"/>
          <w:sz w:val="22"/>
          <w:szCs w:val="22"/>
          <w:lang w:eastAsia="ko-KR"/>
        </w:rPr>
        <w:t>fr</w:t>
      </w:r>
      <w:r w:rsidRPr="004567C4">
        <w:rPr>
          <w:rFonts w:ascii="Times New Roman" w:hAnsi="Times New Roman" w:cs="Times New Roman"/>
          <w:color w:val="000000" w:themeColor="text1"/>
          <w:sz w:val="22"/>
          <w:szCs w:val="22"/>
        </w:rPr>
        <w:t xml:space="preserve">om August to December 2022, during the 6th and 7th </w:t>
      </w:r>
      <w:r w:rsidRPr="004567C4">
        <w:rPr>
          <w:rFonts w:ascii="Times New Roman" w:eastAsiaTheme="minorEastAsia" w:hAnsi="Times New Roman" w:cs="Times New Roman"/>
          <w:color w:val="000000" w:themeColor="text1"/>
          <w:sz w:val="22"/>
          <w:szCs w:val="22"/>
          <w:lang w:eastAsia="ko-KR"/>
        </w:rPr>
        <w:t xml:space="preserve">epidemic </w:t>
      </w:r>
      <w:r w:rsidRPr="004567C4">
        <w:rPr>
          <w:rFonts w:ascii="Times New Roman" w:hAnsi="Times New Roman" w:cs="Times New Roman"/>
          <w:color w:val="000000" w:themeColor="text1"/>
          <w:sz w:val="22"/>
          <w:szCs w:val="22"/>
        </w:rPr>
        <w:t xml:space="preserve">peaks of COVID-19 in South Korea. This study </w:t>
      </w:r>
      <w:r w:rsidRPr="004567C4">
        <w:rPr>
          <w:rFonts w:ascii="Times New Roman" w:hAnsi="Times New Roman" w:cs="Times New Roman"/>
          <w:color w:val="000000" w:themeColor="text1"/>
          <w:spacing w:val="-3"/>
          <w:sz w:val="22"/>
          <w:szCs w:val="22"/>
        </w:rPr>
        <w:t xml:space="preserve">involved </w:t>
      </w:r>
      <w:r w:rsidRPr="004567C4">
        <w:rPr>
          <w:rFonts w:ascii="Times New Roman" w:hAnsi="Times New Roman" w:cs="Times New Roman"/>
          <w:color w:val="000000" w:themeColor="text1"/>
          <w:sz w:val="22"/>
          <w:szCs w:val="22"/>
        </w:rPr>
        <w:t xml:space="preserve">258 public health centers and 113 private medical facilities across 259 cities and counties. </w:t>
      </w:r>
      <w:r w:rsidRPr="004567C4">
        <w:rPr>
          <w:rFonts w:ascii="Times New Roman" w:hAnsi="Times New Roman" w:cs="Times New Roman"/>
          <w:color w:val="000000" w:themeColor="text1"/>
          <w:spacing w:val="-12"/>
          <w:sz w:val="22"/>
          <w:szCs w:val="22"/>
        </w:rPr>
        <w:t xml:space="preserve">A </w:t>
      </w:r>
      <w:r w:rsidRPr="004567C4">
        <w:rPr>
          <w:rFonts w:ascii="Times New Roman" w:hAnsi="Times New Roman" w:cs="Times New Roman"/>
          <w:color w:val="000000" w:themeColor="text1"/>
          <w:sz w:val="22"/>
          <w:szCs w:val="22"/>
        </w:rPr>
        <w:t>representative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sample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of</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10,000</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individuals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aged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and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older</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randomly</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selected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from</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5,000 households.</w:t>
      </w:r>
      <w:r w:rsidRPr="004567C4">
        <w:rPr>
          <w:rFonts w:ascii="Times New Roman" w:hAnsi="Times New Roman" w:cs="Times New Roman"/>
          <w:color w:val="000000" w:themeColor="text1"/>
          <w:spacing w:val="6"/>
          <w:sz w:val="22"/>
          <w:szCs w:val="22"/>
        </w:rPr>
        <w:t xml:space="preserve"> </w:t>
      </w:r>
      <w:r w:rsidRPr="004567C4">
        <w:rPr>
          <w:rFonts w:ascii="Times New Roman" w:hAnsi="Times New Roman" w:cs="Times New Roman"/>
          <w:color w:val="000000" w:themeColor="text1"/>
          <w:sz w:val="22"/>
          <w:szCs w:val="22"/>
        </w:rPr>
        <w:t>Data</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collection</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conducted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through</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one-on-one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interviews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by</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trained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pacing w:val="-3"/>
          <w:sz w:val="22"/>
          <w:szCs w:val="22"/>
        </w:rPr>
        <w:t xml:space="preserve">surveyors </w:t>
      </w:r>
      <w:r w:rsidRPr="004567C4">
        <w:rPr>
          <w:rFonts w:ascii="Times New Roman" w:hAnsi="Times New Roman" w:cs="Times New Roman"/>
          <w:color w:val="000000" w:themeColor="text1"/>
          <w:sz w:val="22"/>
          <w:szCs w:val="22"/>
        </w:rPr>
        <w:t>using tablets to ensure</w:t>
      </w:r>
      <w:r w:rsidRPr="004567C4">
        <w:rPr>
          <w:rFonts w:ascii="Times New Roman" w:hAnsi="Times New Roman" w:cs="Times New Roman"/>
          <w:color w:val="000000" w:themeColor="text1"/>
          <w:spacing w:val="-5"/>
          <w:sz w:val="22"/>
          <w:szCs w:val="22"/>
        </w:rPr>
        <w:t xml:space="preserve"> </w:t>
      </w:r>
      <w:r w:rsidRPr="004567C4">
        <w:rPr>
          <w:rFonts w:ascii="Times New Roman" w:hAnsi="Times New Roman" w:cs="Times New Roman"/>
          <w:color w:val="000000" w:themeColor="text1"/>
          <w:spacing w:val="-3"/>
          <w:sz w:val="22"/>
          <w:szCs w:val="22"/>
        </w:rPr>
        <w:t>accuracy.</w:t>
      </w:r>
      <w:r w:rsidRPr="004567C4">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(REF). </w:t>
      </w:r>
    </w:p>
    <w:p w14:paraId="6CAC1B7B" w14:textId="77777777" w:rsidR="00D3651D" w:rsidRPr="004567C4" w:rsidRDefault="00D3651D" w:rsidP="00D3651D">
      <w:pPr>
        <w:pStyle w:val="BodyText"/>
        <w:spacing w:line="276" w:lineRule="auto"/>
        <w:ind w:right="795" w:firstLine="566"/>
        <w:jc w:val="both"/>
        <w:rPr>
          <w:rFonts w:eastAsiaTheme="minorEastAsia"/>
          <w:color w:val="000000" w:themeColor="text1"/>
          <w:sz w:val="22"/>
          <w:szCs w:val="22"/>
          <w:lang w:eastAsia="ko-KR"/>
        </w:rPr>
      </w:pPr>
    </w:p>
    <w:p w14:paraId="21A71F9E" w14:textId="77777777" w:rsidR="00D3651D" w:rsidRPr="00D051AD" w:rsidRDefault="00D3651D" w:rsidP="00D3651D">
      <w:pPr>
        <w:pStyle w:val="BodyText"/>
        <w:spacing w:line="276" w:lineRule="auto"/>
        <w:ind w:left="0"/>
        <w:rPr>
          <w:sz w:val="22"/>
          <w:szCs w:val="22"/>
        </w:rPr>
      </w:pPr>
      <w:r w:rsidRPr="00D051AD">
        <w:rPr>
          <w:noProof/>
          <w:sz w:val="22"/>
          <w:szCs w:val="22"/>
        </w:rPr>
        <w:lastRenderedPageBreak/>
        <w:drawing>
          <wp:inline distT="0" distB="0" distL="0" distR="0" wp14:anchorId="3459AAA3" wp14:editId="27B2518F">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51AD" w:rsidRDefault="00D3651D" w:rsidP="00D3651D">
      <w:pPr>
        <w:pStyle w:val="BodyText"/>
        <w:spacing w:line="276" w:lineRule="auto"/>
        <w:ind w:left="0"/>
        <w:rPr>
          <w:sz w:val="22"/>
          <w:szCs w:val="22"/>
        </w:rPr>
      </w:pPr>
    </w:p>
    <w:p w14:paraId="4F157F25" w14:textId="77777777" w:rsidR="00D3651D" w:rsidRDefault="00D3651D" w:rsidP="00D3651D">
      <w:pPr>
        <w:pStyle w:val="BodyText"/>
        <w:spacing w:line="276" w:lineRule="auto"/>
        <w:ind w:left="1872"/>
        <w:rPr>
          <w:rFonts w:eastAsiaTheme="minorEastAsia"/>
          <w:sz w:val="22"/>
          <w:szCs w:val="22"/>
          <w:lang w:eastAsia="ko-KR"/>
        </w:rPr>
      </w:pPr>
      <w:r w:rsidRPr="00D051AD">
        <w:rPr>
          <w:sz w:val="22"/>
          <w:szCs w:val="22"/>
        </w:rPr>
        <w:t>Figure 1: Flow Chart Illustrating the Cohort Study Design</w:t>
      </w:r>
    </w:p>
    <w:p w14:paraId="05B2325E" w14:textId="77777777" w:rsidR="004567C4" w:rsidRDefault="004567C4" w:rsidP="00D3651D">
      <w:pPr>
        <w:pStyle w:val="BodyText"/>
        <w:spacing w:line="276" w:lineRule="auto"/>
        <w:ind w:right="795"/>
        <w:jc w:val="both"/>
        <w:rPr>
          <w:rFonts w:eastAsiaTheme="minorEastAsia"/>
          <w:b/>
          <w:bCs/>
          <w:spacing w:val="-10"/>
          <w:sz w:val="22"/>
          <w:szCs w:val="22"/>
          <w:lang w:eastAsia="ko-KR"/>
        </w:rPr>
      </w:pPr>
      <w:bookmarkStart w:id="1" w:name="Cohort_Study_Design_and_Regression_Model"/>
      <w:bookmarkEnd w:id="1"/>
    </w:p>
    <w:p w14:paraId="06BBA103" w14:textId="34B6CAF7" w:rsidR="00D3651D" w:rsidRPr="00D051AD" w:rsidRDefault="00D3651D" w:rsidP="00D3651D">
      <w:pPr>
        <w:pStyle w:val="BodyText"/>
        <w:spacing w:line="276" w:lineRule="auto"/>
        <w:ind w:right="795"/>
        <w:jc w:val="both"/>
        <w:rPr>
          <w:rFonts w:eastAsiaTheme="minorEastAsia"/>
          <w:sz w:val="22"/>
          <w:szCs w:val="22"/>
          <w:lang w:eastAsia="ko-KR"/>
        </w:rPr>
      </w:pPr>
      <w:r w:rsidRPr="00D051AD">
        <w:rPr>
          <w:rFonts w:eastAsiaTheme="minorEastAsia"/>
          <w:b/>
          <w:bCs/>
          <w:spacing w:val="-10"/>
          <w:sz w:val="22"/>
          <w:szCs w:val="22"/>
          <w:lang w:eastAsia="ko-KR"/>
        </w:rPr>
        <w:t xml:space="preserve">Inclusion/Exclusion and matching criteria. </w:t>
      </w:r>
      <w:r w:rsidRPr="00D051AD">
        <w:rPr>
          <w:rFonts w:eastAsiaTheme="minorEastAsia"/>
          <w:spacing w:val="-10"/>
          <w:sz w:val="22"/>
          <w:szCs w:val="22"/>
          <w:lang w:eastAsia="ko-KR"/>
        </w:rPr>
        <w:t xml:space="preserve">In this analysis, we defined the cohort by the following </w:t>
      </w:r>
      <w:r w:rsidRPr="00D051AD">
        <w:rPr>
          <w:sz w:val="22"/>
          <w:szCs w:val="22"/>
        </w:rPr>
        <w:t xml:space="preserve">four distinct immunity types: hybrid-induced immunity </w:t>
      </w:r>
      <w:r w:rsidRPr="00D051AD">
        <w:rPr>
          <w:spacing w:val="5"/>
          <w:sz w:val="22"/>
          <w:szCs w:val="22"/>
        </w:rPr>
        <w:t>(</w:t>
      </w:r>
      <w:r w:rsidRPr="00D051AD">
        <w:rPr>
          <w:i/>
          <w:spacing w:val="5"/>
          <w:sz w:val="22"/>
          <w:szCs w:val="22"/>
        </w:rPr>
        <w:t>S</w:t>
      </w:r>
      <w:r w:rsidRPr="00D051AD">
        <w:rPr>
          <w:spacing w:val="5"/>
          <w:sz w:val="22"/>
          <w:szCs w:val="22"/>
          <w:vertAlign w:val="superscript"/>
        </w:rPr>
        <w:t>+</w:t>
      </w:r>
      <w:r w:rsidRPr="00D051AD">
        <w:rPr>
          <w:i/>
          <w:spacing w:val="5"/>
          <w:sz w:val="22"/>
          <w:szCs w:val="22"/>
        </w:rPr>
        <w:t>N</w:t>
      </w:r>
      <w:r w:rsidRPr="00D051AD">
        <w:rPr>
          <w:i/>
          <w:spacing w:val="-35"/>
          <w:sz w:val="22"/>
          <w:szCs w:val="22"/>
        </w:rPr>
        <w:t xml:space="preserve"> </w:t>
      </w:r>
      <w:r w:rsidRPr="00D051AD">
        <w:rPr>
          <w:spacing w:val="3"/>
          <w:sz w:val="22"/>
          <w:szCs w:val="22"/>
          <w:vertAlign w:val="superscript"/>
        </w:rPr>
        <w:t>+</w:t>
      </w:r>
      <w:r w:rsidRPr="00D051AD">
        <w:rPr>
          <w:spacing w:val="3"/>
          <w:sz w:val="22"/>
          <w:szCs w:val="22"/>
        </w:rPr>
        <w:t>),</w:t>
      </w:r>
      <w:r w:rsidRPr="00D051AD">
        <w:rPr>
          <w:rFonts w:eastAsiaTheme="minorEastAsia"/>
          <w:spacing w:val="3"/>
          <w:sz w:val="22"/>
          <w:szCs w:val="22"/>
          <w:lang w:eastAsia="ko-KR"/>
        </w:rPr>
        <w:t xml:space="preserve"> </w:t>
      </w:r>
      <w:r w:rsidRPr="00D051AD">
        <w:rPr>
          <w:sz w:val="22"/>
          <w:szCs w:val="22"/>
        </w:rPr>
        <w:t>vaccine-induced immunity (</w:t>
      </w:r>
      <w:r w:rsidRPr="00D051AD">
        <w:rPr>
          <w:i/>
          <w:sz w:val="22"/>
          <w:szCs w:val="22"/>
        </w:rPr>
        <w:t>S</w:t>
      </w:r>
      <w:r w:rsidRPr="00D051AD">
        <w:rPr>
          <w:sz w:val="22"/>
          <w:szCs w:val="22"/>
          <w:vertAlign w:val="superscript"/>
        </w:rPr>
        <w:t>+</w:t>
      </w:r>
      <w:r w:rsidRPr="00D051AD">
        <w:rPr>
          <w:i/>
          <w:sz w:val="22"/>
          <w:szCs w:val="22"/>
        </w:rPr>
        <w:t>N</w:t>
      </w:r>
      <w:r w:rsidRPr="00D051AD">
        <w:rPr>
          <w:i/>
          <w:sz w:val="22"/>
          <w:szCs w:val="22"/>
          <w:vertAlign w:val="superscript"/>
        </w:rPr>
        <w:t>−</w:t>
      </w:r>
      <w:r w:rsidRPr="00D051AD">
        <w:rPr>
          <w:sz w:val="22"/>
          <w:szCs w:val="22"/>
        </w:rPr>
        <w:t>), infection-induced immunity (</w:t>
      </w:r>
      <w:r w:rsidRPr="00D051AD">
        <w:rPr>
          <w:i/>
          <w:sz w:val="22"/>
          <w:szCs w:val="22"/>
        </w:rPr>
        <w:t>S</w:t>
      </w:r>
      <w:r w:rsidRPr="00D051AD">
        <w:rPr>
          <w:i/>
          <w:sz w:val="22"/>
          <w:szCs w:val="22"/>
          <w:vertAlign w:val="superscript"/>
        </w:rPr>
        <w:t>−</w:t>
      </w:r>
      <w:r w:rsidRPr="00D051AD">
        <w:rPr>
          <w:i/>
          <w:sz w:val="22"/>
          <w:szCs w:val="22"/>
        </w:rPr>
        <w:t xml:space="preserve">N </w:t>
      </w:r>
      <w:r w:rsidRPr="00D051AD">
        <w:rPr>
          <w:sz w:val="22"/>
          <w:szCs w:val="22"/>
          <w:vertAlign w:val="superscript"/>
        </w:rPr>
        <w:t>+</w:t>
      </w:r>
      <w:r w:rsidRPr="00D051AD">
        <w:rPr>
          <w:sz w:val="22"/>
          <w:szCs w:val="22"/>
        </w:rPr>
        <w:t>), and naive (</w:t>
      </w:r>
      <w:r w:rsidRPr="00D051AD">
        <w:rPr>
          <w:i/>
          <w:sz w:val="22"/>
          <w:szCs w:val="22"/>
        </w:rPr>
        <w:t>S</w:t>
      </w:r>
      <w:r w:rsidRPr="00D051AD">
        <w:rPr>
          <w:i/>
          <w:sz w:val="22"/>
          <w:szCs w:val="22"/>
          <w:vertAlign w:val="superscript"/>
        </w:rPr>
        <w:t>−</w:t>
      </w:r>
      <w:r w:rsidRPr="00D051AD">
        <w:rPr>
          <w:i/>
          <w:sz w:val="22"/>
          <w:szCs w:val="22"/>
        </w:rPr>
        <w:t>N</w:t>
      </w:r>
      <w:r w:rsidRPr="00D051AD">
        <w:rPr>
          <w:i/>
          <w:sz w:val="22"/>
          <w:szCs w:val="22"/>
          <w:vertAlign w:val="superscript"/>
        </w:rPr>
        <w:t>−</w:t>
      </w:r>
      <w:r w:rsidRPr="00D051AD">
        <w:rPr>
          <w:sz w:val="22"/>
          <w:szCs w:val="22"/>
        </w:rPr>
        <w:t>)</w:t>
      </w:r>
      <w:r w:rsidRPr="00D051AD">
        <w:rPr>
          <w:rFonts w:eastAsiaTheme="minorEastAsia"/>
          <w:sz w:val="22"/>
          <w:szCs w:val="22"/>
          <w:lang w:eastAsia="ko-KR"/>
        </w:rPr>
        <w:t xml:space="preserve"> </w:t>
      </w:r>
      <w:r w:rsidRPr="00D051AD">
        <w:rPr>
          <w:sz w:val="22"/>
          <w:szCs w:val="22"/>
        </w:rPr>
        <w:t>(Levin et al., 2021; Garcia- Beltran et al.,</w:t>
      </w:r>
      <w:r w:rsidRPr="00D051AD">
        <w:rPr>
          <w:spacing w:val="-4"/>
          <w:sz w:val="22"/>
          <w:szCs w:val="22"/>
        </w:rPr>
        <w:t xml:space="preserve"> </w:t>
      </w:r>
      <w:r w:rsidRPr="00D051AD">
        <w:rPr>
          <w:sz w:val="22"/>
          <w:szCs w:val="22"/>
        </w:rPr>
        <w:t>2021).</w:t>
      </w:r>
      <w:r w:rsidRPr="00D051AD">
        <w:rPr>
          <w:rFonts w:eastAsiaTheme="minorEastAsia"/>
          <w:sz w:val="22"/>
          <w:szCs w:val="22"/>
          <w:lang w:eastAsia="ko-KR"/>
        </w:rPr>
        <w:t xml:space="preserve"> </w:t>
      </w:r>
      <w:r w:rsidRPr="00D051AD">
        <w:rPr>
          <w:sz w:val="22"/>
          <w:szCs w:val="22"/>
        </w:rPr>
        <w:t xml:space="preserve">Notably, the hybrid-induced and vaccine-induced immunity groups comprised over </w:t>
      </w:r>
      <w:r w:rsidRPr="00D051AD">
        <w:rPr>
          <w:spacing w:val="-4"/>
          <w:sz w:val="22"/>
          <w:szCs w:val="22"/>
        </w:rPr>
        <w:t xml:space="preserve">98% </w:t>
      </w:r>
      <w:r w:rsidRPr="00D051AD">
        <w:rPr>
          <w:sz w:val="22"/>
          <w:szCs w:val="22"/>
        </w:rPr>
        <w:t>of the cohort population</w:t>
      </w:r>
      <w:r w:rsidRPr="00D051AD">
        <w:rPr>
          <w:rFonts w:eastAsiaTheme="minorEastAsia"/>
          <w:sz w:val="22"/>
          <w:szCs w:val="22"/>
          <w:lang w:eastAsia="ko-KR"/>
        </w:rPr>
        <w:t xml:space="preserve"> (</w:t>
      </w:r>
      <w:r w:rsidR="00453DCC" w:rsidRPr="00D051AD">
        <w:rPr>
          <w:rFonts w:eastAsiaTheme="minorEastAsia"/>
          <w:sz w:val="22"/>
          <w:szCs w:val="22"/>
          <w:lang w:eastAsia="ko-KR"/>
        </w:rPr>
        <w:t xml:space="preserve">Figure </w:t>
      </w:r>
      <w:r w:rsidRPr="00D051AD">
        <w:rPr>
          <w:rFonts w:eastAsiaTheme="minorEastAsia"/>
          <w:sz w:val="22"/>
          <w:szCs w:val="22"/>
          <w:lang w:eastAsia="ko-KR"/>
        </w:rPr>
        <w:t>1)</w:t>
      </w:r>
      <w:r w:rsidRPr="00D051AD">
        <w:rPr>
          <w:sz w:val="22"/>
          <w:szCs w:val="22"/>
        </w:rPr>
        <w:t>. Consequently, subsequent research focused primarily on these two groups.</w:t>
      </w:r>
      <w:r w:rsidRPr="00D051AD">
        <w:rPr>
          <w:rFonts w:eastAsiaTheme="minorEastAsia"/>
          <w:sz w:val="22"/>
          <w:szCs w:val="22"/>
          <w:lang w:eastAsia="ko-KR"/>
        </w:rPr>
        <w:t xml:space="preserve"> The demographic and clinical characteristics of the two groups are described in Table 1. We assessed the two </w:t>
      </w:r>
      <w:r w:rsidRPr="00D051AD">
        <w:rPr>
          <w:sz w:val="22"/>
          <w:szCs w:val="22"/>
        </w:rPr>
        <w:t xml:space="preserve">outcome measurements </w:t>
      </w:r>
      <w:r w:rsidRPr="00D051AD">
        <w:rPr>
          <w:rFonts w:eastAsiaTheme="minorEastAsia"/>
          <w:sz w:val="22"/>
          <w:szCs w:val="22"/>
          <w:lang w:eastAsia="ko-KR"/>
        </w:rPr>
        <w:t xml:space="preserve">including </w:t>
      </w:r>
      <w:r w:rsidRPr="00D051AD">
        <w:rPr>
          <w:sz w:val="22"/>
          <w:szCs w:val="22"/>
        </w:rPr>
        <w:t xml:space="preserve">the S antibody levels </w:t>
      </w:r>
      <w:r w:rsidRPr="00D051AD">
        <w:rPr>
          <w:rFonts w:eastAsiaTheme="minorEastAsia"/>
          <w:sz w:val="22"/>
          <w:szCs w:val="22"/>
          <w:lang w:eastAsia="ko-KR"/>
        </w:rPr>
        <w:t xml:space="preserve">measured </w:t>
      </w:r>
      <w:r w:rsidRPr="00D051AD">
        <w:rPr>
          <w:sz w:val="22"/>
          <w:szCs w:val="22"/>
        </w:rPr>
        <w:t xml:space="preserve">at the </w:t>
      </w:r>
      <w:r w:rsidRPr="00D051AD">
        <w:rPr>
          <w:rFonts w:eastAsiaTheme="minorEastAsia"/>
          <w:sz w:val="22"/>
          <w:szCs w:val="22"/>
          <w:lang w:eastAsia="ko-KR"/>
        </w:rPr>
        <w:t xml:space="preserve">first and </w:t>
      </w:r>
      <w:r w:rsidRPr="00D051AD">
        <w:rPr>
          <w:sz w:val="22"/>
          <w:szCs w:val="22"/>
        </w:rPr>
        <w:t>second surveillance point</w:t>
      </w:r>
      <w:r w:rsidRPr="00D051AD">
        <w:rPr>
          <w:rFonts w:eastAsiaTheme="minorEastAsia"/>
          <w:sz w:val="22"/>
          <w:szCs w:val="22"/>
          <w:lang w:eastAsia="ko-KR"/>
        </w:rPr>
        <w:t xml:space="preserve">s (Figure 2) and the infection events between the first and second surveillance points (Figure 3). </w:t>
      </w:r>
    </w:p>
    <w:p w14:paraId="671C9926" w14:textId="77777777" w:rsidR="00D3651D" w:rsidRPr="00D051AD" w:rsidRDefault="00D3651D" w:rsidP="00D3651D">
      <w:pPr>
        <w:pStyle w:val="BodyText"/>
        <w:spacing w:line="276" w:lineRule="auto"/>
        <w:ind w:right="795"/>
        <w:jc w:val="both"/>
        <w:rPr>
          <w:rFonts w:eastAsiaTheme="minorEastAsia"/>
          <w:sz w:val="22"/>
          <w:szCs w:val="22"/>
          <w:lang w:eastAsia="ko-KR"/>
        </w:rPr>
      </w:pPr>
      <w:r w:rsidRPr="00D051AD">
        <w:rPr>
          <w:noProof/>
          <w:sz w:val="22"/>
          <w:szCs w:val="22"/>
        </w:rPr>
        <w:drawing>
          <wp:anchor distT="0" distB="0" distL="0" distR="0" simplePos="0" relativeHeight="251661312" behindDoc="0" locked="0" layoutInCell="1" allowOverlap="1" wp14:anchorId="2373AB1B" wp14:editId="7EEF97F0">
            <wp:simplePos x="0" y="0"/>
            <wp:positionH relativeFrom="page">
              <wp:posOffset>725805</wp:posOffset>
            </wp:positionH>
            <wp:positionV relativeFrom="paragraph">
              <wp:posOffset>260350</wp:posOffset>
            </wp:positionV>
            <wp:extent cx="5882005" cy="2919095"/>
            <wp:effectExtent l="0" t="0" r="0" b="0"/>
            <wp:wrapTopAndBottom/>
            <wp:docPr id="3" name="image2.jpeg"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table with numbers and a number of numbers&#10;&#10;Description automatically generated with medium confidence"/>
                    <pic:cNvPicPr/>
                  </pic:nvPicPr>
                  <pic:blipFill>
                    <a:blip r:embed="rId9" cstate="print"/>
                    <a:stretch>
                      <a:fillRect/>
                    </a:stretch>
                  </pic:blipFill>
                  <pic:spPr>
                    <a:xfrm>
                      <a:off x="0" y="0"/>
                      <a:ext cx="5882005" cy="2919095"/>
                    </a:xfrm>
                    <a:prstGeom prst="rect">
                      <a:avLst/>
                    </a:prstGeom>
                  </pic:spPr>
                </pic:pic>
              </a:graphicData>
            </a:graphic>
            <wp14:sizeRelH relativeFrom="margin">
              <wp14:pctWidth>0</wp14:pctWidth>
            </wp14:sizeRelH>
            <wp14:sizeRelV relativeFrom="margin">
              <wp14:pctHeight>0</wp14:pctHeight>
            </wp14:sizeRelV>
          </wp:anchor>
        </w:drawing>
      </w:r>
    </w:p>
    <w:p w14:paraId="4F2C3553" w14:textId="77777777" w:rsidR="00D3651D" w:rsidRPr="00D051AD" w:rsidRDefault="00D3651D" w:rsidP="00D3651D">
      <w:pPr>
        <w:pStyle w:val="BodyText"/>
        <w:spacing w:line="276" w:lineRule="auto"/>
        <w:ind w:left="2407"/>
        <w:rPr>
          <w:sz w:val="22"/>
          <w:szCs w:val="22"/>
        </w:rPr>
      </w:pPr>
      <w:commentRangeStart w:id="2"/>
      <w:r w:rsidRPr="00D051AD">
        <w:rPr>
          <w:sz w:val="22"/>
          <w:szCs w:val="22"/>
        </w:rPr>
        <w:t>Table 1: Summary table of cohort study design</w:t>
      </w:r>
      <w:commentRangeEnd w:id="2"/>
      <w:r w:rsidRPr="00D051AD">
        <w:rPr>
          <w:rStyle w:val="CommentReference"/>
          <w:sz w:val="22"/>
          <w:szCs w:val="22"/>
        </w:rPr>
        <w:commentReference w:id="2"/>
      </w:r>
    </w:p>
    <w:p w14:paraId="6E0687EB" w14:textId="77777777" w:rsidR="00D3651D" w:rsidRPr="00D051AD" w:rsidRDefault="00D3651D" w:rsidP="00D3651D">
      <w:pPr>
        <w:pStyle w:val="BodyText"/>
        <w:spacing w:line="276" w:lineRule="auto"/>
        <w:ind w:right="795"/>
        <w:jc w:val="both"/>
        <w:rPr>
          <w:rFonts w:eastAsiaTheme="minorEastAsia"/>
          <w:sz w:val="22"/>
          <w:szCs w:val="22"/>
          <w:lang w:eastAsia="ko-KR"/>
        </w:rPr>
      </w:pPr>
    </w:p>
    <w:p w14:paraId="0B992940" w14:textId="77777777" w:rsidR="00D3651D" w:rsidRPr="00D051AD" w:rsidRDefault="00D3651D" w:rsidP="00D3651D">
      <w:pPr>
        <w:pStyle w:val="BodyText"/>
        <w:spacing w:line="276" w:lineRule="auto"/>
        <w:ind w:left="0"/>
        <w:rPr>
          <w:rFonts w:eastAsiaTheme="minorEastAsia"/>
          <w:sz w:val="22"/>
          <w:szCs w:val="22"/>
          <w:lang w:eastAsia="ko-KR"/>
        </w:rPr>
      </w:pPr>
      <w:r w:rsidRPr="00D051AD">
        <w:rPr>
          <w:spacing w:val="-10"/>
          <w:sz w:val="22"/>
          <w:szCs w:val="22"/>
        </w:rPr>
        <w:t xml:space="preserve">To </w:t>
      </w:r>
      <w:r w:rsidRPr="00D051AD">
        <w:rPr>
          <w:sz w:val="22"/>
          <w:szCs w:val="22"/>
        </w:rPr>
        <w:t xml:space="preserve">accurately assess the impact of S an- </w:t>
      </w:r>
      <w:proofErr w:type="spellStart"/>
      <w:r w:rsidRPr="00D051AD">
        <w:rPr>
          <w:sz w:val="22"/>
          <w:szCs w:val="22"/>
        </w:rPr>
        <w:t>tibody</w:t>
      </w:r>
      <w:proofErr w:type="spellEnd"/>
      <w:r w:rsidRPr="00D051AD">
        <w:rPr>
          <w:sz w:val="22"/>
          <w:szCs w:val="22"/>
        </w:rPr>
        <w:t xml:space="preserve"> levels on COVID-19 protection</w:t>
      </w:r>
      <w:r w:rsidRPr="00D051AD">
        <w:rPr>
          <w:rFonts w:eastAsiaTheme="minorEastAsia"/>
          <w:sz w:val="22"/>
          <w:szCs w:val="22"/>
          <w:lang w:eastAsia="ko-KR"/>
        </w:rPr>
        <w:t xml:space="preserve"> (Fig 3)</w:t>
      </w:r>
      <w:r w:rsidRPr="00D051AD">
        <w:rPr>
          <w:sz w:val="22"/>
          <w:szCs w:val="22"/>
        </w:rPr>
        <w:t>, specific exclusions were applied</w:t>
      </w:r>
      <w:r w:rsidRPr="00D051AD">
        <w:rPr>
          <w:rFonts w:eastAsiaTheme="minorEastAsia"/>
          <w:sz w:val="22"/>
          <w:szCs w:val="22"/>
          <w:lang w:eastAsia="ko-KR"/>
        </w:rPr>
        <w:t xml:space="preserve"> in these cohorts</w:t>
      </w:r>
      <w:r w:rsidRPr="00D051AD">
        <w:rPr>
          <w:sz w:val="22"/>
          <w:szCs w:val="22"/>
        </w:rPr>
        <w:t xml:space="preserve">. </w:t>
      </w:r>
      <w:r w:rsidRPr="00D051AD">
        <w:rPr>
          <w:rFonts w:eastAsiaTheme="minorEastAsia"/>
          <w:sz w:val="22"/>
          <w:szCs w:val="22"/>
          <w:lang w:eastAsia="ko-KR"/>
        </w:rPr>
        <w:t>First, i</w:t>
      </w:r>
      <w:r w:rsidRPr="00D051AD">
        <w:rPr>
          <w:sz w:val="22"/>
          <w:szCs w:val="22"/>
        </w:rPr>
        <w:t xml:space="preserve">ndividuals who </w:t>
      </w:r>
      <w:r w:rsidRPr="00D051AD">
        <w:rPr>
          <w:spacing w:val="-4"/>
          <w:sz w:val="22"/>
          <w:szCs w:val="22"/>
        </w:rPr>
        <w:t xml:space="preserve">did </w:t>
      </w:r>
      <w:r w:rsidRPr="00D051AD">
        <w:rPr>
          <w:sz w:val="22"/>
          <w:szCs w:val="22"/>
        </w:rPr>
        <w:t xml:space="preserve">not participate in the second survey were excluded </w:t>
      </w:r>
      <w:r w:rsidRPr="00D051AD">
        <w:rPr>
          <w:sz w:val="22"/>
          <w:szCs w:val="22"/>
        </w:rPr>
        <w:lastRenderedPageBreak/>
        <w:t xml:space="preserve">due to untracked infection status. </w:t>
      </w:r>
      <w:r w:rsidRPr="00D051AD">
        <w:rPr>
          <w:rFonts w:eastAsiaTheme="minorEastAsia"/>
          <w:spacing w:val="-3"/>
          <w:sz w:val="22"/>
          <w:szCs w:val="22"/>
          <w:lang w:eastAsia="ko-KR"/>
        </w:rPr>
        <w:t>Second</w:t>
      </w:r>
      <w:r w:rsidRPr="00D051AD">
        <w:rPr>
          <w:sz w:val="22"/>
          <w:szCs w:val="22"/>
        </w:rPr>
        <w:t>,</w:t>
      </w:r>
      <w:r w:rsidRPr="00D051AD">
        <w:rPr>
          <w:spacing w:val="-4"/>
          <w:sz w:val="22"/>
          <w:szCs w:val="22"/>
        </w:rPr>
        <w:t xml:space="preserve"> </w:t>
      </w:r>
      <w:r w:rsidRPr="00D051AD">
        <w:rPr>
          <w:sz w:val="22"/>
          <w:szCs w:val="22"/>
        </w:rPr>
        <w:t>those</w:t>
      </w:r>
      <w:r w:rsidRPr="00D051AD">
        <w:rPr>
          <w:spacing w:val="-3"/>
          <w:sz w:val="22"/>
          <w:szCs w:val="22"/>
        </w:rPr>
        <w:t xml:space="preserve"> </w:t>
      </w:r>
      <w:r w:rsidRPr="00D051AD">
        <w:rPr>
          <w:sz w:val="22"/>
          <w:szCs w:val="22"/>
        </w:rPr>
        <w:t>who</w:t>
      </w:r>
      <w:r w:rsidRPr="00D051AD">
        <w:rPr>
          <w:spacing w:val="-4"/>
          <w:sz w:val="22"/>
          <w:szCs w:val="22"/>
        </w:rPr>
        <w:t xml:space="preserve"> </w:t>
      </w:r>
      <w:r w:rsidRPr="00D051AD">
        <w:rPr>
          <w:sz w:val="22"/>
          <w:szCs w:val="22"/>
        </w:rPr>
        <w:t>received</w:t>
      </w:r>
      <w:r w:rsidRPr="00D051AD">
        <w:rPr>
          <w:spacing w:val="-4"/>
          <w:sz w:val="22"/>
          <w:szCs w:val="22"/>
        </w:rPr>
        <w:t xml:space="preserve"> </w:t>
      </w:r>
      <w:r w:rsidRPr="00D051AD">
        <w:rPr>
          <w:sz w:val="22"/>
          <w:szCs w:val="22"/>
        </w:rPr>
        <w:t>a</w:t>
      </w:r>
      <w:r w:rsidRPr="00D051AD">
        <w:rPr>
          <w:spacing w:val="-4"/>
          <w:sz w:val="22"/>
          <w:szCs w:val="22"/>
        </w:rPr>
        <w:t xml:space="preserve"> </w:t>
      </w:r>
      <w:r w:rsidRPr="00D051AD">
        <w:rPr>
          <w:sz w:val="22"/>
          <w:szCs w:val="22"/>
        </w:rPr>
        <w:t>vaccination</w:t>
      </w:r>
      <w:r w:rsidRPr="00D051AD">
        <w:rPr>
          <w:spacing w:val="-4"/>
          <w:sz w:val="22"/>
          <w:szCs w:val="22"/>
        </w:rPr>
        <w:t xml:space="preserve"> </w:t>
      </w:r>
      <w:r w:rsidRPr="00D051AD">
        <w:rPr>
          <w:sz w:val="22"/>
          <w:szCs w:val="22"/>
        </w:rPr>
        <w:t>between</w:t>
      </w:r>
      <w:r w:rsidRPr="00D051AD">
        <w:rPr>
          <w:spacing w:val="-4"/>
          <w:sz w:val="22"/>
          <w:szCs w:val="22"/>
        </w:rPr>
        <w:t xml:space="preserve"> </w:t>
      </w:r>
      <w:r w:rsidRPr="00D051AD">
        <w:rPr>
          <w:sz w:val="22"/>
          <w:szCs w:val="22"/>
        </w:rPr>
        <w:t>the</w:t>
      </w:r>
      <w:r w:rsidRPr="00D051AD">
        <w:rPr>
          <w:spacing w:val="-4"/>
          <w:sz w:val="22"/>
          <w:szCs w:val="22"/>
        </w:rPr>
        <w:t xml:space="preserve"> </w:t>
      </w:r>
      <w:r w:rsidRPr="00D051AD">
        <w:rPr>
          <w:sz w:val="22"/>
          <w:szCs w:val="22"/>
        </w:rPr>
        <w:t>two</w:t>
      </w:r>
      <w:r w:rsidRPr="00D051AD">
        <w:rPr>
          <w:spacing w:val="-4"/>
          <w:sz w:val="22"/>
          <w:szCs w:val="22"/>
        </w:rPr>
        <w:t xml:space="preserve"> </w:t>
      </w:r>
      <w:r w:rsidRPr="00D051AD">
        <w:rPr>
          <w:sz w:val="22"/>
          <w:szCs w:val="22"/>
        </w:rPr>
        <w:t>surveillance</w:t>
      </w:r>
      <w:r w:rsidRPr="00D051AD">
        <w:rPr>
          <w:spacing w:val="-4"/>
          <w:sz w:val="22"/>
          <w:szCs w:val="22"/>
        </w:rPr>
        <w:t xml:space="preserve"> </w:t>
      </w:r>
      <w:r w:rsidRPr="00D051AD">
        <w:rPr>
          <w:sz w:val="22"/>
          <w:szCs w:val="22"/>
        </w:rPr>
        <w:t>periods</w:t>
      </w:r>
      <w:r w:rsidRPr="00D051AD">
        <w:rPr>
          <w:spacing w:val="-4"/>
          <w:sz w:val="22"/>
          <w:szCs w:val="22"/>
        </w:rPr>
        <w:t xml:space="preserve"> </w:t>
      </w:r>
      <w:r w:rsidRPr="00D051AD">
        <w:rPr>
          <w:sz w:val="22"/>
          <w:szCs w:val="22"/>
        </w:rPr>
        <w:t>were</w:t>
      </w:r>
      <w:r w:rsidRPr="00D051AD">
        <w:rPr>
          <w:spacing w:val="-4"/>
          <w:sz w:val="22"/>
          <w:szCs w:val="22"/>
        </w:rPr>
        <w:t xml:space="preserve"> </w:t>
      </w:r>
      <w:r w:rsidRPr="00D051AD">
        <w:rPr>
          <w:sz w:val="22"/>
          <w:szCs w:val="22"/>
        </w:rPr>
        <w:t>excluded from</w:t>
      </w:r>
      <w:r w:rsidRPr="00D051AD">
        <w:rPr>
          <w:spacing w:val="-11"/>
          <w:sz w:val="22"/>
          <w:szCs w:val="22"/>
        </w:rPr>
        <w:t xml:space="preserve"> </w:t>
      </w:r>
      <w:r w:rsidRPr="00D051AD">
        <w:rPr>
          <w:sz w:val="22"/>
          <w:szCs w:val="22"/>
        </w:rPr>
        <w:t>both</w:t>
      </w:r>
      <w:r w:rsidRPr="00D051AD">
        <w:rPr>
          <w:spacing w:val="-10"/>
          <w:sz w:val="22"/>
          <w:szCs w:val="22"/>
        </w:rPr>
        <w:t xml:space="preserve"> </w:t>
      </w:r>
      <w:r w:rsidRPr="00D051AD">
        <w:rPr>
          <w:sz w:val="22"/>
          <w:szCs w:val="22"/>
        </w:rPr>
        <w:t>the</w:t>
      </w:r>
      <w:r w:rsidRPr="00D051AD">
        <w:rPr>
          <w:spacing w:val="-10"/>
          <w:sz w:val="22"/>
          <w:szCs w:val="22"/>
        </w:rPr>
        <w:t xml:space="preserve"> </w:t>
      </w:r>
      <w:r w:rsidRPr="00D051AD">
        <w:rPr>
          <w:sz w:val="22"/>
          <w:szCs w:val="22"/>
        </w:rPr>
        <w:t>case</w:t>
      </w:r>
      <w:r w:rsidRPr="00D051AD">
        <w:rPr>
          <w:spacing w:val="-11"/>
          <w:sz w:val="22"/>
          <w:szCs w:val="22"/>
        </w:rPr>
        <w:t xml:space="preserve"> </w:t>
      </w:r>
      <w:r w:rsidRPr="00D051AD">
        <w:rPr>
          <w:sz w:val="22"/>
          <w:szCs w:val="22"/>
        </w:rPr>
        <w:t>and</w:t>
      </w:r>
      <w:r w:rsidRPr="00D051AD">
        <w:rPr>
          <w:spacing w:val="-10"/>
          <w:sz w:val="22"/>
          <w:szCs w:val="22"/>
        </w:rPr>
        <w:t xml:space="preserve"> </w:t>
      </w:r>
      <w:r w:rsidRPr="00D051AD">
        <w:rPr>
          <w:sz w:val="22"/>
          <w:szCs w:val="22"/>
        </w:rPr>
        <w:t>control</w:t>
      </w:r>
      <w:r w:rsidRPr="00D051AD">
        <w:rPr>
          <w:spacing w:val="-10"/>
          <w:sz w:val="22"/>
          <w:szCs w:val="22"/>
        </w:rPr>
        <w:t xml:space="preserve"> </w:t>
      </w:r>
      <w:r w:rsidRPr="00D051AD">
        <w:rPr>
          <w:sz w:val="22"/>
          <w:szCs w:val="22"/>
        </w:rPr>
        <w:t>groups,</w:t>
      </w:r>
      <w:r w:rsidRPr="00D051AD">
        <w:rPr>
          <w:spacing w:val="-9"/>
          <w:sz w:val="22"/>
          <w:szCs w:val="22"/>
        </w:rPr>
        <w:t xml:space="preserve"> </w:t>
      </w:r>
      <w:r w:rsidRPr="00D051AD">
        <w:rPr>
          <w:sz w:val="22"/>
          <w:szCs w:val="22"/>
        </w:rPr>
        <w:t>as</w:t>
      </w:r>
      <w:r w:rsidRPr="00D051AD">
        <w:rPr>
          <w:spacing w:val="-10"/>
          <w:sz w:val="22"/>
          <w:szCs w:val="22"/>
        </w:rPr>
        <w:t xml:space="preserve"> </w:t>
      </w:r>
      <w:r w:rsidRPr="00D051AD">
        <w:rPr>
          <w:sz w:val="22"/>
          <w:szCs w:val="22"/>
        </w:rPr>
        <w:t>their</w:t>
      </w:r>
      <w:r w:rsidRPr="00D051AD">
        <w:rPr>
          <w:spacing w:val="-10"/>
          <w:sz w:val="22"/>
          <w:szCs w:val="22"/>
        </w:rPr>
        <w:t xml:space="preserve"> </w:t>
      </w:r>
      <w:r w:rsidRPr="00D051AD">
        <w:rPr>
          <w:sz w:val="22"/>
          <w:szCs w:val="22"/>
        </w:rPr>
        <w:t>initial</w:t>
      </w:r>
      <w:r w:rsidRPr="00D051AD">
        <w:rPr>
          <w:spacing w:val="-10"/>
          <w:sz w:val="22"/>
          <w:szCs w:val="22"/>
        </w:rPr>
        <w:t xml:space="preserve"> </w:t>
      </w:r>
      <w:r w:rsidRPr="00D051AD">
        <w:rPr>
          <w:sz w:val="22"/>
          <w:szCs w:val="22"/>
        </w:rPr>
        <w:t>S</w:t>
      </w:r>
      <w:r w:rsidRPr="00D051AD">
        <w:rPr>
          <w:spacing w:val="-10"/>
          <w:sz w:val="22"/>
          <w:szCs w:val="22"/>
        </w:rPr>
        <w:t xml:space="preserve"> </w:t>
      </w:r>
      <w:r w:rsidRPr="00D051AD">
        <w:rPr>
          <w:sz w:val="22"/>
          <w:szCs w:val="22"/>
        </w:rPr>
        <w:t>antibody</w:t>
      </w:r>
      <w:r w:rsidRPr="00D051AD">
        <w:rPr>
          <w:spacing w:val="-10"/>
          <w:sz w:val="22"/>
          <w:szCs w:val="22"/>
        </w:rPr>
        <w:t xml:space="preserve"> </w:t>
      </w:r>
      <w:r w:rsidRPr="00D051AD">
        <w:rPr>
          <w:sz w:val="22"/>
          <w:szCs w:val="22"/>
        </w:rPr>
        <w:t>levels</w:t>
      </w:r>
      <w:r w:rsidRPr="00D051AD">
        <w:rPr>
          <w:spacing w:val="-10"/>
          <w:sz w:val="22"/>
          <w:szCs w:val="22"/>
        </w:rPr>
        <w:t xml:space="preserve"> </w:t>
      </w:r>
      <w:r w:rsidRPr="00D051AD">
        <w:rPr>
          <w:sz w:val="22"/>
          <w:szCs w:val="22"/>
        </w:rPr>
        <w:t>would</w:t>
      </w:r>
      <w:r w:rsidRPr="00D051AD">
        <w:rPr>
          <w:spacing w:val="-11"/>
          <w:sz w:val="22"/>
          <w:szCs w:val="22"/>
        </w:rPr>
        <w:t xml:space="preserve"> </w:t>
      </w:r>
      <w:r w:rsidRPr="00D051AD">
        <w:rPr>
          <w:sz w:val="22"/>
          <w:szCs w:val="22"/>
        </w:rPr>
        <w:t>no</w:t>
      </w:r>
      <w:r w:rsidRPr="00D051AD">
        <w:rPr>
          <w:spacing w:val="-10"/>
          <w:sz w:val="22"/>
          <w:szCs w:val="22"/>
        </w:rPr>
        <w:t xml:space="preserve"> </w:t>
      </w:r>
      <w:r w:rsidRPr="00D051AD">
        <w:rPr>
          <w:sz w:val="22"/>
          <w:szCs w:val="22"/>
        </w:rPr>
        <w:t>longer</w:t>
      </w:r>
      <w:r w:rsidRPr="00D051AD">
        <w:rPr>
          <w:spacing w:val="-10"/>
          <w:sz w:val="22"/>
          <w:szCs w:val="22"/>
        </w:rPr>
        <w:t xml:space="preserve"> </w:t>
      </w:r>
      <w:r w:rsidRPr="00D051AD">
        <w:rPr>
          <w:sz w:val="22"/>
          <w:szCs w:val="22"/>
        </w:rPr>
        <w:t>be</w:t>
      </w:r>
      <w:r w:rsidRPr="00D051AD">
        <w:rPr>
          <w:spacing w:val="-10"/>
          <w:sz w:val="22"/>
          <w:szCs w:val="22"/>
        </w:rPr>
        <w:t xml:space="preserve"> </w:t>
      </w:r>
      <w:r w:rsidRPr="00D051AD">
        <w:rPr>
          <w:spacing w:val="-5"/>
          <w:sz w:val="22"/>
          <w:szCs w:val="22"/>
        </w:rPr>
        <w:t xml:space="preserve">valid </w:t>
      </w:r>
      <w:r w:rsidRPr="00D051AD">
        <w:rPr>
          <w:sz w:val="22"/>
          <w:szCs w:val="22"/>
        </w:rPr>
        <w:t xml:space="preserve">indicators. </w:t>
      </w:r>
      <w:r w:rsidRPr="00D051AD">
        <w:rPr>
          <w:rFonts w:eastAsiaTheme="minorEastAsia"/>
          <w:sz w:val="22"/>
          <w:szCs w:val="22"/>
          <w:lang w:eastAsia="ko-KR"/>
        </w:rPr>
        <w:t xml:space="preserve">Third, we employed the </w:t>
      </w:r>
      <w:r w:rsidRPr="00D051AD">
        <w:rPr>
          <w:sz w:val="22"/>
          <w:szCs w:val="22"/>
        </w:rPr>
        <w:t>nested case-control (NCC) technique (Pearce, 2016; Richardson, 2004)</w:t>
      </w:r>
      <w:r w:rsidRPr="00D051AD">
        <w:rPr>
          <w:rFonts w:eastAsiaTheme="minorEastAsia"/>
          <w:sz w:val="22"/>
          <w:szCs w:val="22"/>
          <w:lang w:eastAsia="ko-KR"/>
        </w:rPr>
        <w:t xml:space="preserve"> to match the observation time between those who have infection event and no infection</w:t>
      </w:r>
      <w:r w:rsidRPr="00D051AD">
        <w:rPr>
          <w:sz w:val="22"/>
          <w:szCs w:val="22"/>
        </w:rPr>
        <w:t>.</w:t>
      </w:r>
      <w:r w:rsidRPr="00D051AD">
        <w:rPr>
          <w:rFonts w:eastAsiaTheme="minorEastAsia"/>
          <w:sz w:val="22"/>
          <w:szCs w:val="22"/>
          <w:lang w:eastAsia="ko-KR"/>
        </w:rPr>
        <w:t xml:space="preserve"> </w:t>
      </w:r>
      <w:r w:rsidRPr="00D051AD">
        <w:rPr>
          <w:sz w:val="22"/>
          <w:szCs w:val="22"/>
        </w:rPr>
        <w:t>This approach involves selecting a matched subset of controls from the same cohort for each case based on relevant characteristics, thereby ensuring comparability and enhancing the validity of the results</w:t>
      </w:r>
      <w:r w:rsidRPr="00D051AD">
        <w:rPr>
          <w:rFonts w:eastAsiaTheme="minorEastAsia"/>
          <w:sz w:val="22"/>
          <w:szCs w:val="22"/>
          <w:lang w:eastAsia="ko-KR"/>
        </w:rPr>
        <w:t xml:space="preserve">. </w:t>
      </w:r>
      <w:r w:rsidRPr="00D051AD">
        <w:rPr>
          <w:sz w:val="22"/>
          <w:szCs w:val="22"/>
        </w:rPr>
        <w:t>Based on the preceding analysis</w:t>
      </w:r>
      <w:r w:rsidRPr="00D051AD">
        <w:rPr>
          <w:rFonts w:eastAsiaTheme="minorEastAsia"/>
          <w:sz w:val="22"/>
          <w:szCs w:val="22"/>
          <w:lang w:eastAsia="ko-KR"/>
        </w:rPr>
        <w:t xml:space="preserve"> (Appendix Figure S2)</w:t>
      </w:r>
      <w:r w:rsidRPr="00D051AD">
        <w:rPr>
          <w:sz w:val="22"/>
          <w:szCs w:val="22"/>
        </w:rPr>
        <w:t xml:space="preserve">, only age and S antibody levels were incorporated as predictors in the </w:t>
      </w:r>
      <w:r w:rsidRPr="00D051AD">
        <w:rPr>
          <w:rFonts w:eastAsiaTheme="minorEastAsia"/>
          <w:sz w:val="22"/>
          <w:szCs w:val="22"/>
          <w:lang w:eastAsia="ko-KR"/>
        </w:rPr>
        <w:t xml:space="preserve">logistic </w:t>
      </w:r>
      <w:r w:rsidRPr="00D051AD">
        <w:rPr>
          <w:sz w:val="22"/>
          <w:szCs w:val="22"/>
        </w:rPr>
        <w:t xml:space="preserve">regression model. All other characteristics were considered confounders </w:t>
      </w:r>
      <w:r w:rsidRPr="00D051AD">
        <w:rPr>
          <w:spacing w:val="-5"/>
          <w:sz w:val="22"/>
          <w:szCs w:val="22"/>
        </w:rPr>
        <w:t xml:space="preserve">and </w:t>
      </w:r>
      <w:r w:rsidRPr="00D051AD">
        <w:rPr>
          <w:sz w:val="22"/>
          <w:szCs w:val="22"/>
        </w:rPr>
        <w:t xml:space="preserve">were consequently selected as matching factors in the nested case-control (NCC) method, </w:t>
      </w:r>
      <w:proofErr w:type="spellStart"/>
      <w:r w:rsidRPr="00D051AD">
        <w:rPr>
          <w:spacing w:val="-5"/>
          <w:sz w:val="22"/>
          <w:szCs w:val="22"/>
        </w:rPr>
        <w:t>en</w:t>
      </w:r>
      <w:proofErr w:type="spellEnd"/>
      <w:r w:rsidRPr="00D051AD">
        <w:rPr>
          <w:spacing w:val="-5"/>
          <w:sz w:val="22"/>
          <w:szCs w:val="22"/>
        </w:rPr>
        <w:t xml:space="preserve">- </w:t>
      </w:r>
      <w:proofErr w:type="spellStart"/>
      <w:r w:rsidRPr="00D051AD">
        <w:rPr>
          <w:sz w:val="22"/>
          <w:szCs w:val="22"/>
        </w:rPr>
        <w:t>suring</w:t>
      </w:r>
      <w:proofErr w:type="spellEnd"/>
      <w:r w:rsidRPr="00D051AD">
        <w:rPr>
          <w:sz w:val="22"/>
          <w:szCs w:val="22"/>
        </w:rPr>
        <w:t xml:space="preserve"> adequate control of potential confounders. </w:t>
      </w:r>
    </w:p>
    <w:p w14:paraId="0DD03EDD" w14:textId="77777777" w:rsidR="00D3651D" w:rsidRPr="00D051AD" w:rsidRDefault="00D3651D" w:rsidP="00D3651D">
      <w:pPr>
        <w:pStyle w:val="BodyText"/>
        <w:spacing w:line="276" w:lineRule="auto"/>
        <w:ind w:left="0"/>
        <w:rPr>
          <w:rFonts w:eastAsiaTheme="minorEastAsia"/>
          <w:b/>
          <w:bCs/>
          <w:sz w:val="22"/>
          <w:szCs w:val="22"/>
          <w:lang w:eastAsia="ko-KR"/>
        </w:rPr>
      </w:pPr>
    </w:p>
    <w:p w14:paraId="09086A1F" w14:textId="77777777" w:rsidR="00D3651D" w:rsidRPr="00D051AD" w:rsidRDefault="00D3651D" w:rsidP="00D3651D">
      <w:pPr>
        <w:pStyle w:val="BodyText"/>
        <w:spacing w:line="276" w:lineRule="auto"/>
        <w:ind w:left="0"/>
        <w:rPr>
          <w:rFonts w:eastAsiaTheme="minorEastAsia"/>
          <w:sz w:val="22"/>
          <w:szCs w:val="22"/>
          <w:lang w:eastAsia="ko-KR"/>
        </w:rPr>
      </w:pPr>
      <w:r w:rsidRPr="00D051AD">
        <w:rPr>
          <w:rFonts w:eastAsiaTheme="minorEastAsia"/>
          <w:b/>
          <w:bCs/>
          <w:sz w:val="22"/>
          <w:szCs w:val="22"/>
          <w:lang w:eastAsia="ko-KR"/>
        </w:rPr>
        <w:t>Statistical analyses</w:t>
      </w:r>
      <w:r w:rsidRPr="00D051AD">
        <w:rPr>
          <w:rFonts w:eastAsiaTheme="minorEastAsia"/>
          <w:sz w:val="22"/>
          <w:szCs w:val="22"/>
          <w:lang w:eastAsia="ko-KR"/>
        </w:rPr>
        <w:t xml:space="preserve">. First, </w:t>
      </w:r>
      <w:r w:rsidRPr="00D051AD">
        <w:rPr>
          <w:sz w:val="22"/>
          <w:szCs w:val="22"/>
        </w:rPr>
        <w:t xml:space="preserve">we constructed the </w:t>
      </w:r>
      <w:r w:rsidRPr="00D051AD">
        <w:rPr>
          <w:rFonts w:eastAsiaTheme="minorEastAsia"/>
          <w:sz w:val="22"/>
          <w:szCs w:val="22"/>
          <w:lang w:eastAsia="ko-KR"/>
        </w:rPr>
        <w:t xml:space="preserve">descriptive analyses to generate </w:t>
      </w:r>
      <w:r w:rsidRPr="00D051AD">
        <w:rPr>
          <w:sz w:val="22"/>
          <w:szCs w:val="22"/>
        </w:rPr>
        <w:t>trajectory plot</w:t>
      </w:r>
      <w:r w:rsidRPr="00D051AD">
        <w:rPr>
          <w:rFonts w:eastAsiaTheme="minorEastAsia"/>
          <w:sz w:val="22"/>
          <w:szCs w:val="22"/>
          <w:lang w:eastAsia="ko-KR"/>
        </w:rPr>
        <w:t>s</w:t>
      </w:r>
      <w:r w:rsidRPr="00D051AD">
        <w:rPr>
          <w:sz w:val="22"/>
          <w:szCs w:val="22"/>
        </w:rPr>
        <w:t xml:space="preserve"> to track the average </w:t>
      </w:r>
      <w:r w:rsidRPr="00D051AD">
        <w:rPr>
          <w:spacing w:val="-3"/>
          <w:sz w:val="22"/>
          <w:szCs w:val="22"/>
        </w:rPr>
        <w:t xml:space="preserve">change </w:t>
      </w:r>
      <w:r w:rsidRPr="00D051AD">
        <w:rPr>
          <w:sz w:val="22"/>
          <w:szCs w:val="22"/>
        </w:rPr>
        <w:t>of</w:t>
      </w:r>
      <w:r w:rsidRPr="00D051AD">
        <w:rPr>
          <w:spacing w:val="-15"/>
          <w:sz w:val="22"/>
          <w:szCs w:val="22"/>
        </w:rPr>
        <w:t xml:space="preserve"> </w:t>
      </w:r>
      <w:r w:rsidRPr="00D051AD">
        <w:rPr>
          <w:sz w:val="22"/>
          <w:szCs w:val="22"/>
        </w:rPr>
        <w:t>S</w:t>
      </w:r>
      <w:r w:rsidRPr="00D051AD">
        <w:rPr>
          <w:spacing w:val="-13"/>
          <w:sz w:val="22"/>
          <w:szCs w:val="22"/>
        </w:rPr>
        <w:t xml:space="preserve"> </w:t>
      </w:r>
      <w:r w:rsidRPr="00D051AD">
        <w:rPr>
          <w:sz w:val="22"/>
          <w:szCs w:val="22"/>
        </w:rPr>
        <w:t>antibody</w:t>
      </w:r>
      <w:r w:rsidRPr="00D051AD">
        <w:rPr>
          <w:spacing w:val="-15"/>
          <w:sz w:val="22"/>
          <w:szCs w:val="22"/>
        </w:rPr>
        <w:t xml:space="preserve"> </w:t>
      </w:r>
      <w:r w:rsidRPr="00D051AD">
        <w:rPr>
          <w:sz w:val="22"/>
          <w:szCs w:val="22"/>
        </w:rPr>
        <w:t>levels</w:t>
      </w:r>
      <w:r w:rsidRPr="00D051AD">
        <w:rPr>
          <w:spacing w:val="-14"/>
          <w:sz w:val="22"/>
          <w:szCs w:val="22"/>
        </w:rPr>
        <w:t xml:space="preserve"> </w:t>
      </w:r>
      <w:r w:rsidRPr="00D051AD">
        <w:rPr>
          <w:sz w:val="22"/>
          <w:szCs w:val="22"/>
        </w:rPr>
        <w:t>after</w:t>
      </w:r>
      <w:r w:rsidRPr="00D051AD">
        <w:rPr>
          <w:spacing w:val="-14"/>
          <w:sz w:val="22"/>
          <w:szCs w:val="22"/>
        </w:rPr>
        <w:t xml:space="preserve"> </w:t>
      </w:r>
      <w:r w:rsidRPr="00D051AD">
        <w:rPr>
          <w:sz w:val="22"/>
          <w:szCs w:val="22"/>
        </w:rPr>
        <w:t>the</w:t>
      </w:r>
      <w:r w:rsidRPr="00D051AD">
        <w:rPr>
          <w:spacing w:val="-14"/>
          <w:sz w:val="22"/>
          <w:szCs w:val="22"/>
        </w:rPr>
        <w:t xml:space="preserve"> </w:t>
      </w:r>
      <w:r w:rsidRPr="00D051AD">
        <w:rPr>
          <w:sz w:val="22"/>
          <w:szCs w:val="22"/>
        </w:rPr>
        <w:t>immunological</w:t>
      </w:r>
      <w:r w:rsidRPr="00D051AD">
        <w:rPr>
          <w:spacing w:val="-14"/>
          <w:sz w:val="22"/>
          <w:szCs w:val="22"/>
        </w:rPr>
        <w:t xml:space="preserve"> </w:t>
      </w:r>
      <w:r w:rsidRPr="00D051AD">
        <w:rPr>
          <w:sz w:val="22"/>
          <w:szCs w:val="22"/>
        </w:rPr>
        <w:t>events</w:t>
      </w:r>
      <w:r w:rsidRPr="00D051AD">
        <w:rPr>
          <w:rFonts w:eastAsiaTheme="minorEastAsia"/>
          <w:sz w:val="22"/>
          <w:szCs w:val="22"/>
          <w:lang w:eastAsia="ko-KR"/>
        </w:rPr>
        <w:t xml:space="preserve"> by </w:t>
      </w:r>
      <w:r w:rsidRPr="00D051AD">
        <w:rPr>
          <w:sz w:val="22"/>
          <w:szCs w:val="22"/>
        </w:rPr>
        <w:t xml:space="preserve">different immunity groups </w:t>
      </w:r>
      <w:r w:rsidRPr="00D051AD">
        <w:rPr>
          <w:rFonts w:eastAsiaTheme="minorEastAsia"/>
          <w:sz w:val="22"/>
          <w:szCs w:val="22"/>
          <w:lang w:eastAsia="ko-KR"/>
        </w:rPr>
        <w:t>and</w:t>
      </w:r>
      <w:r w:rsidRPr="00D051AD">
        <w:rPr>
          <w:sz w:val="22"/>
          <w:szCs w:val="22"/>
        </w:rPr>
        <w:t xml:space="preserve"> age subgroups</w:t>
      </w:r>
      <w:r w:rsidRPr="00D051AD">
        <w:rPr>
          <w:rFonts w:eastAsiaTheme="minorEastAsia"/>
          <w:sz w:val="22"/>
          <w:szCs w:val="22"/>
          <w:lang w:eastAsia="ko-KR"/>
        </w:rPr>
        <w:t xml:space="preserve">. Second, we conducted </w:t>
      </w:r>
      <w:commentRangeStart w:id="3"/>
      <w:commentRangeStart w:id="4"/>
      <w:r w:rsidRPr="00D051AD">
        <w:rPr>
          <w:sz w:val="22"/>
          <w:szCs w:val="22"/>
        </w:rPr>
        <w:t xml:space="preserve">Kaplan-Meier </w:t>
      </w:r>
      <w:commentRangeEnd w:id="3"/>
      <w:r w:rsidRPr="00D051AD">
        <w:rPr>
          <w:rStyle w:val="CommentReference"/>
          <w:sz w:val="22"/>
          <w:szCs w:val="22"/>
        </w:rPr>
        <w:commentReference w:id="3"/>
      </w:r>
      <w:commentRangeEnd w:id="4"/>
      <w:r w:rsidRPr="00D051AD">
        <w:rPr>
          <w:rStyle w:val="CommentReference"/>
          <w:sz w:val="22"/>
          <w:szCs w:val="22"/>
        </w:rPr>
        <w:commentReference w:id="4"/>
      </w:r>
      <w:r w:rsidRPr="00D051AD">
        <w:rPr>
          <w:sz w:val="22"/>
          <w:szCs w:val="22"/>
        </w:rPr>
        <w:t xml:space="preserve">survival analysis </w:t>
      </w:r>
      <w:r w:rsidRPr="00D051AD">
        <w:rPr>
          <w:rFonts w:eastAsiaTheme="minorEastAsia"/>
          <w:spacing w:val="-10"/>
          <w:sz w:val="22"/>
          <w:szCs w:val="22"/>
          <w:lang w:eastAsia="ko-KR"/>
        </w:rPr>
        <w:t xml:space="preserve">to </w:t>
      </w:r>
      <w:r w:rsidRPr="00D051AD">
        <w:rPr>
          <w:sz w:val="22"/>
          <w:szCs w:val="22"/>
        </w:rPr>
        <w:t xml:space="preserve">compare the protective </w:t>
      </w:r>
      <w:r w:rsidRPr="00D051AD">
        <w:rPr>
          <w:rFonts w:eastAsiaTheme="minorEastAsia"/>
          <w:sz w:val="22"/>
          <w:szCs w:val="22"/>
          <w:lang w:eastAsia="ko-KR"/>
        </w:rPr>
        <w:t>efficacy</w:t>
      </w:r>
      <w:r w:rsidRPr="00D051AD">
        <w:rPr>
          <w:sz w:val="22"/>
          <w:szCs w:val="22"/>
        </w:rPr>
        <w:t xml:space="preserve"> of these two main groups, focusing on the probability of remaining free from COVID-19 infection following</w:t>
      </w:r>
      <w:r w:rsidRPr="00D051AD">
        <w:rPr>
          <w:spacing w:val="-17"/>
          <w:sz w:val="22"/>
          <w:szCs w:val="22"/>
        </w:rPr>
        <w:t xml:space="preserve"> </w:t>
      </w:r>
      <w:r w:rsidRPr="00D051AD">
        <w:rPr>
          <w:sz w:val="22"/>
          <w:szCs w:val="22"/>
        </w:rPr>
        <w:t>the</w:t>
      </w:r>
      <w:r w:rsidRPr="00D051AD">
        <w:rPr>
          <w:spacing w:val="-18"/>
          <w:sz w:val="22"/>
          <w:szCs w:val="22"/>
        </w:rPr>
        <w:t xml:space="preserve"> </w:t>
      </w:r>
      <w:r w:rsidRPr="00D051AD">
        <w:rPr>
          <w:sz w:val="22"/>
          <w:szCs w:val="22"/>
        </w:rPr>
        <w:t>first</w:t>
      </w:r>
      <w:r w:rsidRPr="00D051AD">
        <w:rPr>
          <w:spacing w:val="-16"/>
          <w:sz w:val="22"/>
          <w:szCs w:val="22"/>
        </w:rPr>
        <w:t xml:space="preserve"> </w:t>
      </w:r>
      <w:r w:rsidRPr="00D051AD">
        <w:rPr>
          <w:sz w:val="22"/>
          <w:szCs w:val="22"/>
        </w:rPr>
        <w:t>surveillance.</w:t>
      </w:r>
      <w:r w:rsidRPr="00D051AD">
        <w:rPr>
          <w:spacing w:val="3"/>
          <w:sz w:val="22"/>
          <w:szCs w:val="22"/>
        </w:rPr>
        <w:t xml:space="preserve"> </w:t>
      </w:r>
      <w:r w:rsidRPr="00D051AD">
        <w:rPr>
          <w:sz w:val="22"/>
          <w:szCs w:val="22"/>
        </w:rPr>
        <w:t>Within each immunity group, the outcome measurement was defined as infection status during the first and second surveillance periods</w:t>
      </w:r>
      <w:r w:rsidRPr="00D051AD">
        <w:rPr>
          <w:rFonts w:eastAsiaTheme="minorEastAsia"/>
          <w:sz w:val="22"/>
          <w:szCs w:val="22"/>
          <w:lang w:eastAsia="ko-KR"/>
        </w:rPr>
        <w:t>. Through NCC, w</w:t>
      </w:r>
      <w:r w:rsidRPr="00D051AD">
        <w:rPr>
          <w:sz w:val="22"/>
          <w:szCs w:val="22"/>
        </w:rPr>
        <w:t>e</w:t>
      </w:r>
      <w:r w:rsidRPr="00D051AD">
        <w:rPr>
          <w:spacing w:val="-11"/>
          <w:sz w:val="22"/>
          <w:szCs w:val="22"/>
        </w:rPr>
        <w:t xml:space="preserve"> </w:t>
      </w:r>
      <w:r w:rsidRPr="00D051AD">
        <w:rPr>
          <w:rFonts w:eastAsiaTheme="minorEastAsia"/>
          <w:spacing w:val="-11"/>
          <w:sz w:val="22"/>
          <w:szCs w:val="22"/>
          <w:lang w:eastAsia="ko-KR"/>
        </w:rPr>
        <w:t xml:space="preserve">adjusted the </w:t>
      </w:r>
      <w:r w:rsidRPr="00D051AD">
        <w:rPr>
          <w:sz w:val="22"/>
          <w:szCs w:val="22"/>
        </w:rPr>
        <w:t>imbalanced</w:t>
      </w:r>
      <w:r w:rsidRPr="00D051AD">
        <w:rPr>
          <w:spacing w:val="-11"/>
          <w:sz w:val="22"/>
          <w:szCs w:val="22"/>
        </w:rPr>
        <w:t xml:space="preserve"> </w:t>
      </w:r>
      <w:r w:rsidRPr="00D051AD">
        <w:rPr>
          <w:sz w:val="22"/>
          <w:szCs w:val="22"/>
        </w:rPr>
        <w:t>case-control</w:t>
      </w:r>
      <w:r w:rsidRPr="00D051AD">
        <w:rPr>
          <w:spacing w:val="-12"/>
          <w:sz w:val="22"/>
          <w:szCs w:val="22"/>
        </w:rPr>
        <w:t xml:space="preserve"> </w:t>
      </w:r>
      <w:r w:rsidRPr="00D051AD">
        <w:rPr>
          <w:sz w:val="22"/>
          <w:szCs w:val="22"/>
        </w:rPr>
        <w:t>data,</w:t>
      </w:r>
      <w:r w:rsidRPr="00D051AD">
        <w:rPr>
          <w:spacing w:val="-9"/>
          <w:sz w:val="22"/>
          <w:szCs w:val="22"/>
        </w:rPr>
        <w:t xml:space="preserve"> </w:t>
      </w:r>
      <w:r w:rsidRPr="00D051AD">
        <w:rPr>
          <w:sz w:val="22"/>
          <w:szCs w:val="22"/>
        </w:rPr>
        <w:t>as</w:t>
      </w:r>
      <w:r w:rsidRPr="00D051AD">
        <w:rPr>
          <w:spacing w:val="-11"/>
          <w:sz w:val="22"/>
          <w:szCs w:val="22"/>
        </w:rPr>
        <w:t xml:space="preserve"> </w:t>
      </w:r>
      <w:r w:rsidRPr="00D051AD">
        <w:rPr>
          <w:sz w:val="22"/>
          <w:szCs w:val="22"/>
        </w:rPr>
        <w:t>well</w:t>
      </w:r>
      <w:r w:rsidRPr="00D051AD">
        <w:rPr>
          <w:spacing w:val="-12"/>
          <w:sz w:val="22"/>
          <w:szCs w:val="22"/>
        </w:rPr>
        <w:t xml:space="preserve"> </w:t>
      </w:r>
      <w:r w:rsidRPr="00D051AD">
        <w:rPr>
          <w:sz w:val="22"/>
          <w:szCs w:val="22"/>
        </w:rPr>
        <w:t xml:space="preserve">as the impacts of confounders, </w:t>
      </w:r>
      <w:r w:rsidRPr="00D051AD">
        <w:rPr>
          <w:rFonts w:eastAsiaTheme="minorEastAsia"/>
          <w:sz w:val="22"/>
          <w:szCs w:val="22"/>
          <w:lang w:eastAsia="ko-KR"/>
        </w:rPr>
        <w:t xml:space="preserve">by setting a matching ratio to 1:3 from 1: 6 from the original cohort between case and control samples </w:t>
      </w:r>
      <w:r w:rsidRPr="00D051AD">
        <w:rPr>
          <w:rFonts w:eastAsiaTheme="minorEastAsia"/>
          <w:spacing w:val="-10"/>
          <w:sz w:val="22"/>
          <w:szCs w:val="22"/>
          <w:lang w:eastAsia="ko-KR"/>
        </w:rPr>
        <w:t>t</w:t>
      </w:r>
      <w:r w:rsidRPr="00D051AD">
        <w:rPr>
          <w:spacing w:val="-10"/>
          <w:sz w:val="22"/>
          <w:szCs w:val="22"/>
        </w:rPr>
        <w:t xml:space="preserve">o </w:t>
      </w:r>
      <w:r w:rsidRPr="00D051AD">
        <w:rPr>
          <w:spacing w:val="-4"/>
          <w:sz w:val="22"/>
          <w:szCs w:val="22"/>
        </w:rPr>
        <w:t xml:space="preserve">achieve </w:t>
      </w:r>
      <w:r w:rsidRPr="00D051AD">
        <w:rPr>
          <w:sz w:val="22"/>
          <w:szCs w:val="22"/>
        </w:rPr>
        <w:t>a</w:t>
      </w:r>
      <w:r w:rsidRPr="00D051AD">
        <w:rPr>
          <w:spacing w:val="-6"/>
          <w:sz w:val="22"/>
          <w:szCs w:val="22"/>
        </w:rPr>
        <w:t xml:space="preserve"> </w:t>
      </w:r>
      <w:r w:rsidRPr="00D051AD">
        <w:rPr>
          <w:sz w:val="22"/>
          <w:szCs w:val="22"/>
        </w:rPr>
        <w:t>balance</w:t>
      </w:r>
      <w:r w:rsidRPr="00D051AD">
        <w:rPr>
          <w:spacing w:val="-5"/>
          <w:sz w:val="22"/>
          <w:szCs w:val="22"/>
        </w:rPr>
        <w:t xml:space="preserve"> </w:t>
      </w:r>
      <w:r w:rsidRPr="00D051AD">
        <w:rPr>
          <w:sz w:val="22"/>
          <w:szCs w:val="22"/>
        </w:rPr>
        <w:t>between</w:t>
      </w:r>
      <w:r w:rsidRPr="00D051AD">
        <w:rPr>
          <w:spacing w:val="-6"/>
          <w:sz w:val="22"/>
          <w:szCs w:val="22"/>
        </w:rPr>
        <w:t xml:space="preserve"> </w:t>
      </w:r>
      <w:r w:rsidRPr="00D051AD">
        <w:rPr>
          <w:sz w:val="22"/>
          <w:szCs w:val="22"/>
        </w:rPr>
        <w:t>statistical</w:t>
      </w:r>
      <w:r w:rsidRPr="00D051AD">
        <w:rPr>
          <w:spacing w:val="-5"/>
          <w:sz w:val="22"/>
          <w:szCs w:val="22"/>
        </w:rPr>
        <w:t xml:space="preserve"> </w:t>
      </w:r>
      <w:r w:rsidRPr="00D051AD">
        <w:rPr>
          <w:sz w:val="22"/>
          <w:szCs w:val="22"/>
        </w:rPr>
        <w:t>power</w:t>
      </w:r>
      <w:r w:rsidRPr="00D051AD">
        <w:rPr>
          <w:spacing w:val="-6"/>
          <w:sz w:val="22"/>
          <w:szCs w:val="22"/>
        </w:rPr>
        <w:t xml:space="preserve"> </w:t>
      </w:r>
      <w:r w:rsidRPr="00D051AD">
        <w:rPr>
          <w:sz w:val="22"/>
          <w:szCs w:val="22"/>
        </w:rPr>
        <w:t>and</w:t>
      </w:r>
      <w:r w:rsidRPr="00D051AD">
        <w:rPr>
          <w:spacing w:val="-5"/>
          <w:sz w:val="22"/>
          <w:szCs w:val="22"/>
        </w:rPr>
        <w:t xml:space="preserve"> </w:t>
      </w:r>
      <w:r w:rsidRPr="00D051AD">
        <w:rPr>
          <w:sz w:val="22"/>
          <w:szCs w:val="22"/>
        </w:rPr>
        <w:t>practical</w:t>
      </w:r>
      <w:r w:rsidRPr="00D051AD">
        <w:rPr>
          <w:spacing w:val="-5"/>
          <w:sz w:val="22"/>
          <w:szCs w:val="22"/>
        </w:rPr>
        <w:t xml:space="preserve"> </w:t>
      </w:r>
      <w:r w:rsidRPr="00D051AD">
        <w:rPr>
          <w:sz w:val="22"/>
          <w:szCs w:val="22"/>
        </w:rPr>
        <w:t>feasibility,</w:t>
      </w:r>
      <w:r w:rsidRPr="00D051AD">
        <w:rPr>
          <w:spacing w:val="-5"/>
          <w:sz w:val="22"/>
          <w:szCs w:val="22"/>
        </w:rPr>
        <w:t xml:space="preserve"> </w:t>
      </w:r>
      <w:r w:rsidRPr="00D051AD">
        <w:rPr>
          <w:sz w:val="22"/>
          <w:szCs w:val="22"/>
        </w:rPr>
        <w:t>as</w:t>
      </w:r>
      <w:r w:rsidRPr="00D051AD">
        <w:rPr>
          <w:spacing w:val="-6"/>
          <w:sz w:val="22"/>
          <w:szCs w:val="22"/>
        </w:rPr>
        <w:t xml:space="preserve"> </w:t>
      </w:r>
      <w:r w:rsidRPr="00D051AD">
        <w:rPr>
          <w:sz w:val="22"/>
          <w:szCs w:val="22"/>
        </w:rPr>
        <w:t>suggested</w:t>
      </w:r>
      <w:r w:rsidRPr="00D051AD">
        <w:rPr>
          <w:spacing w:val="-6"/>
          <w:sz w:val="22"/>
          <w:szCs w:val="22"/>
        </w:rPr>
        <w:t xml:space="preserve"> </w:t>
      </w:r>
      <w:r w:rsidRPr="00D051AD">
        <w:rPr>
          <w:sz w:val="22"/>
          <w:szCs w:val="22"/>
        </w:rPr>
        <w:t>by</w:t>
      </w:r>
      <w:r w:rsidRPr="00D051AD">
        <w:rPr>
          <w:spacing w:val="-4"/>
          <w:sz w:val="22"/>
          <w:szCs w:val="22"/>
        </w:rPr>
        <w:t xml:space="preserve"> </w:t>
      </w:r>
      <w:r w:rsidRPr="00D051AD">
        <w:rPr>
          <w:sz w:val="22"/>
          <w:szCs w:val="22"/>
        </w:rPr>
        <w:t>Pearce</w:t>
      </w:r>
      <w:r w:rsidRPr="00D051AD">
        <w:rPr>
          <w:spacing w:val="-6"/>
          <w:sz w:val="22"/>
          <w:szCs w:val="22"/>
        </w:rPr>
        <w:t xml:space="preserve"> </w:t>
      </w:r>
      <w:r w:rsidRPr="00D051AD">
        <w:rPr>
          <w:sz w:val="22"/>
          <w:szCs w:val="22"/>
        </w:rPr>
        <w:t>(2016).</w:t>
      </w:r>
      <w:r w:rsidRPr="00D051AD">
        <w:rPr>
          <w:rFonts w:eastAsiaTheme="minorEastAsia"/>
          <w:sz w:val="22"/>
          <w:szCs w:val="22"/>
          <w:lang w:eastAsia="ko-KR"/>
        </w:rPr>
        <w:t xml:space="preserve"> W</w:t>
      </w:r>
      <w:r w:rsidRPr="00D051AD">
        <w:rPr>
          <w:sz w:val="22"/>
          <w:szCs w:val="22"/>
        </w:rPr>
        <w:t>e also conducted a Cox proportional hazards regression to examine the effect of multiple variables on survival time, adjusting for confounding factors and providing a more comprehensive understanding of the risk factors involved.</w:t>
      </w:r>
      <w:r w:rsidRPr="00D051AD">
        <w:rPr>
          <w:rFonts w:eastAsiaTheme="minorEastAsia"/>
          <w:sz w:val="22"/>
          <w:szCs w:val="22"/>
          <w:lang w:eastAsia="ko-KR"/>
        </w:rPr>
        <w:t xml:space="preserve"> Third, we conducted logistic regression models to assess protective efficacy (free from infection event) by S ab level across immunity and age subgroups. </w:t>
      </w:r>
      <w:r w:rsidRPr="00D051AD">
        <w:rPr>
          <w:sz w:val="22"/>
          <w:szCs w:val="22"/>
        </w:rPr>
        <w:t xml:space="preserve">Statistical significance was determined using nonparametric tests: the Mann-Whitney </w:t>
      </w:r>
      <w:r w:rsidRPr="00D051AD">
        <w:rPr>
          <w:spacing w:val="-11"/>
          <w:sz w:val="22"/>
          <w:szCs w:val="22"/>
        </w:rPr>
        <w:t xml:space="preserve">U </w:t>
      </w:r>
      <w:r w:rsidRPr="00D051AD">
        <w:rPr>
          <w:sz w:val="22"/>
          <w:szCs w:val="22"/>
        </w:rPr>
        <w:t xml:space="preserve">test and Kruskal-Wallis test with </w:t>
      </w:r>
      <w:r w:rsidRPr="00D051AD">
        <w:rPr>
          <w:spacing w:val="-3"/>
          <w:sz w:val="22"/>
          <w:szCs w:val="22"/>
        </w:rPr>
        <w:t xml:space="preserve">Dunn’s </w:t>
      </w:r>
      <w:r w:rsidRPr="00D051AD">
        <w:rPr>
          <w:sz w:val="22"/>
          <w:szCs w:val="22"/>
        </w:rPr>
        <w:t xml:space="preserve">multiple comparison for independent samples, </w:t>
      </w:r>
      <w:r w:rsidRPr="00D051AD">
        <w:rPr>
          <w:spacing w:val="-4"/>
          <w:sz w:val="22"/>
          <w:szCs w:val="22"/>
        </w:rPr>
        <w:t>and</w:t>
      </w:r>
      <w:r w:rsidRPr="00D051AD">
        <w:rPr>
          <w:spacing w:val="52"/>
          <w:sz w:val="22"/>
          <w:szCs w:val="22"/>
        </w:rPr>
        <w:t xml:space="preserve"> </w:t>
      </w:r>
      <w:r w:rsidRPr="00D051AD">
        <w:rPr>
          <w:sz w:val="22"/>
          <w:szCs w:val="22"/>
        </w:rPr>
        <w:t xml:space="preserve">the Wilcoxon signed-rank test for dependent samples. </w:t>
      </w:r>
      <w:r w:rsidRPr="00D051AD">
        <w:rPr>
          <w:rFonts w:eastAsiaTheme="minorEastAsia"/>
          <w:sz w:val="22"/>
          <w:szCs w:val="22"/>
          <w:lang w:eastAsia="ko-KR"/>
        </w:rPr>
        <w:t xml:space="preserve">We conducted the statistical analyses </w:t>
      </w:r>
      <w:r w:rsidRPr="00D051AD">
        <w:rPr>
          <w:sz w:val="22"/>
          <w:szCs w:val="22"/>
        </w:rPr>
        <w:t>by employing the R package Epi</w:t>
      </w:r>
      <w:r w:rsidRPr="00D051AD">
        <w:rPr>
          <w:spacing w:val="-120"/>
          <w:sz w:val="22"/>
          <w:szCs w:val="22"/>
        </w:rPr>
        <w:t xml:space="preserve"> </w:t>
      </w:r>
      <w:r w:rsidRPr="00D051AD">
        <w:rPr>
          <w:sz w:val="22"/>
          <w:szCs w:val="22"/>
        </w:rPr>
        <w:t>(Carstensen et al., 2021).</w:t>
      </w:r>
    </w:p>
    <w:p w14:paraId="22DBE5D4" w14:textId="77777777" w:rsidR="00D3651D" w:rsidRPr="00D051AD" w:rsidRDefault="00D3651D" w:rsidP="00D3651D">
      <w:pPr>
        <w:pStyle w:val="BodyText"/>
        <w:spacing w:line="276" w:lineRule="auto"/>
        <w:ind w:left="0"/>
        <w:rPr>
          <w:rFonts w:eastAsiaTheme="minorEastAsia"/>
          <w:sz w:val="22"/>
          <w:szCs w:val="22"/>
          <w:lang w:eastAsia="ko-KR"/>
        </w:rPr>
      </w:pPr>
    </w:p>
    <w:p w14:paraId="690CC331" w14:textId="77777777" w:rsidR="00D3651D" w:rsidRPr="00D051AD" w:rsidRDefault="00D3651D" w:rsidP="00D3651D">
      <w:pPr>
        <w:pStyle w:val="BodyText"/>
        <w:spacing w:line="276" w:lineRule="auto"/>
        <w:ind w:left="0" w:right="795"/>
        <w:jc w:val="both"/>
        <w:rPr>
          <w:rFonts w:eastAsiaTheme="minorEastAsia"/>
          <w:b/>
          <w:bCs/>
          <w:sz w:val="22"/>
          <w:szCs w:val="22"/>
          <w:lang w:eastAsia="ko-KR"/>
        </w:rPr>
      </w:pPr>
      <w:bookmarkStart w:id="5" w:name="Results"/>
      <w:bookmarkEnd w:id="5"/>
      <w:r w:rsidRPr="00D051AD">
        <w:rPr>
          <w:b/>
          <w:bCs/>
          <w:sz w:val="22"/>
          <w:szCs w:val="22"/>
        </w:rPr>
        <w:t>Results</w:t>
      </w:r>
      <w:bookmarkStart w:id="6" w:name="Survival_Analysis_of_Immunity_Types_Acro"/>
      <w:bookmarkEnd w:id="6"/>
      <w:r w:rsidRPr="00D051AD">
        <w:rPr>
          <w:rFonts w:eastAsiaTheme="minorEastAsia"/>
          <w:b/>
          <w:bCs/>
          <w:sz w:val="22"/>
          <w:szCs w:val="22"/>
          <w:lang w:eastAsia="ko-KR"/>
        </w:rPr>
        <w:t xml:space="preserve"> </w:t>
      </w:r>
    </w:p>
    <w:p w14:paraId="29A90C17" w14:textId="77777777" w:rsidR="00D3651D" w:rsidRPr="00D051AD" w:rsidRDefault="00D3651D" w:rsidP="00D3651D">
      <w:pPr>
        <w:pStyle w:val="BodyText"/>
        <w:spacing w:line="276" w:lineRule="auto"/>
        <w:ind w:left="0" w:right="795"/>
        <w:jc w:val="both"/>
        <w:rPr>
          <w:rFonts w:eastAsiaTheme="minorEastAsia"/>
          <w:sz w:val="22"/>
          <w:szCs w:val="22"/>
          <w:lang w:eastAsia="ko-KR"/>
        </w:rPr>
      </w:pPr>
    </w:p>
    <w:p w14:paraId="5541874D" w14:textId="77777777" w:rsidR="00D3651D" w:rsidRPr="00D051AD" w:rsidRDefault="00D3651D" w:rsidP="00D3651D">
      <w:pPr>
        <w:pStyle w:val="BodyText"/>
        <w:spacing w:line="276" w:lineRule="auto"/>
        <w:ind w:left="0" w:right="795"/>
        <w:jc w:val="both"/>
        <w:rPr>
          <w:rFonts w:eastAsiaTheme="minorEastAsia"/>
          <w:sz w:val="22"/>
          <w:szCs w:val="22"/>
          <w:lang w:eastAsia="ko-KR"/>
        </w:rPr>
      </w:pPr>
      <w:r w:rsidRPr="00D051AD">
        <w:rPr>
          <w:rFonts w:eastAsiaTheme="minorEastAsia"/>
          <w:sz w:val="22"/>
          <w:szCs w:val="22"/>
          <w:lang w:eastAsia="ko-KR"/>
        </w:rPr>
        <w:t>S ab trajectory plots show that</w:t>
      </w:r>
      <w:r w:rsidRPr="00D051AD">
        <w:rPr>
          <w:spacing w:val="-12"/>
          <w:sz w:val="22"/>
          <w:szCs w:val="22"/>
        </w:rPr>
        <w:t xml:space="preserve"> </w:t>
      </w:r>
      <w:r w:rsidRPr="00D051AD">
        <w:rPr>
          <w:rFonts w:eastAsiaTheme="minorEastAsia"/>
          <w:spacing w:val="-12"/>
          <w:sz w:val="22"/>
          <w:szCs w:val="22"/>
          <w:lang w:eastAsia="ko-KR"/>
        </w:rPr>
        <w:t xml:space="preserve">the overall S ab level is higher among </w:t>
      </w:r>
      <w:r w:rsidRPr="00D051AD">
        <w:rPr>
          <w:sz w:val="22"/>
          <w:szCs w:val="22"/>
        </w:rPr>
        <w:t>hybrid-induced</w:t>
      </w:r>
      <w:r w:rsidRPr="00D051AD">
        <w:rPr>
          <w:spacing w:val="-15"/>
          <w:sz w:val="22"/>
          <w:szCs w:val="22"/>
        </w:rPr>
        <w:t xml:space="preserve"> </w:t>
      </w:r>
      <w:r w:rsidRPr="00D051AD">
        <w:rPr>
          <w:sz w:val="22"/>
          <w:szCs w:val="22"/>
        </w:rPr>
        <w:t>immunity</w:t>
      </w:r>
      <w:r w:rsidRPr="00D051AD">
        <w:rPr>
          <w:rFonts w:eastAsiaTheme="minorEastAsia"/>
          <w:sz w:val="22"/>
          <w:szCs w:val="22"/>
          <w:lang w:eastAsia="ko-KR"/>
        </w:rPr>
        <w:t xml:space="preserve"> group than vaccine group and it</w:t>
      </w:r>
      <w:r w:rsidRPr="00D051AD">
        <w:rPr>
          <w:spacing w:val="-13"/>
          <w:sz w:val="22"/>
          <w:szCs w:val="22"/>
        </w:rPr>
        <w:t xml:space="preserve"> </w:t>
      </w:r>
      <w:r w:rsidRPr="00D051AD">
        <w:rPr>
          <w:sz w:val="22"/>
          <w:szCs w:val="22"/>
        </w:rPr>
        <w:t>can</w:t>
      </w:r>
      <w:r w:rsidRPr="00D051AD">
        <w:rPr>
          <w:spacing w:val="-14"/>
          <w:sz w:val="22"/>
          <w:szCs w:val="22"/>
        </w:rPr>
        <w:t xml:space="preserve"> </w:t>
      </w:r>
      <w:r w:rsidRPr="00D051AD">
        <w:rPr>
          <w:sz w:val="22"/>
          <w:szCs w:val="22"/>
        </w:rPr>
        <w:t>sustain a high level of S antibody (over 10,000) for one year</w:t>
      </w:r>
      <w:r w:rsidRPr="00D051AD">
        <w:rPr>
          <w:rFonts w:eastAsiaTheme="minorEastAsia"/>
          <w:sz w:val="22"/>
          <w:szCs w:val="22"/>
          <w:lang w:eastAsia="ko-KR"/>
        </w:rPr>
        <w:t xml:space="preserve"> in the hybrid group</w:t>
      </w:r>
      <w:r w:rsidRPr="00D051AD">
        <w:rPr>
          <w:sz w:val="22"/>
          <w:szCs w:val="22"/>
        </w:rPr>
        <w:t xml:space="preserve">, while the S antibody level in the vaccine-induced only group falls below 5,000 </w:t>
      </w:r>
      <w:r w:rsidRPr="00D051AD">
        <w:rPr>
          <w:rFonts w:eastAsiaTheme="minorEastAsia"/>
          <w:sz w:val="22"/>
          <w:szCs w:val="22"/>
          <w:lang w:eastAsia="ko-KR"/>
        </w:rPr>
        <w:t xml:space="preserve">in </w:t>
      </w:r>
      <w:r w:rsidRPr="00D051AD">
        <w:rPr>
          <w:sz w:val="22"/>
          <w:szCs w:val="22"/>
        </w:rPr>
        <w:t>six months post-vaccination</w:t>
      </w:r>
      <w:r w:rsidRPr="00D051AD">
        <w:rPr>
          <w:rFonts w:eastAsiaTheme="minorEastAsia"/>
          <w:sz w:val="22"/>
          <w:szCs w:val="22"/>
          <w:lang w:eastAsia="ko-KR"/>
        </w:rPr>
        <w:t xml:space="preserve">. Within hybrid group, S ab is slightly lower for age &lt;20 and age &gt;60 compared to age 20-60, while there was no clear difference across age group for vaccine group. </w:t>
      </w:r>
    </w:p>
    <w:p w14:paraId="4DF0709C" w14:textId="77777777" w:rsidR="00D3651D" w:rsidRPr="00D051AD" w:rsidRDefault="00D3651D" w:rsidP="00D3651D">
      <w:pPr>
        <w:pStyle w:val="Heading1"/>
        <w:tabs>
          <w:tab w:val="left" w:pos="633"/>
          <w:tab w:val="left" w:pos="634"/>
        </w:tabs>
        <w:spacing w:before="0" w:after="0" w:line="276" w:lineRule="auto"/>
        <w:rPr>
          <w:rFonts w:ascii="Times New Roman" w:eastAsiaTheme="minorEastAsia" w:hAnsi="Times New Roman" w:cs="Times New Roman"/>
          <w:sz w:val="22"/>
          <w:szCs w:val="22"/>
          <w:lang w:eastAsia="ko-KR"/>
        </w:rPr>
      </w:pPr>
    </w:p>
    <w:p w14:paraId="1C1CF022" w14:textId="77777777" w:rsidR="00D3651D" w:rsidRPr="00D051AD" w:rsidRDefault="00D3651D" w:rsidP="00D3651D">
      <w:pPr>
        <w:pStyle w:val="BodyText"/>
        <w:spacing w:line="276" w:lineRule="auto"/>
        <w:ind w:right="795" w:firstLine="566"/>
        <w:jc w:val="center"/>
        <w:rPr>
          <w:rFonts w:eastAsiaTheme="minorEastAsia"/>
          <w:sz w:val="22"/>
          <w:szCs w:val="22"/>
          <w:lang w:eastAsia="ko-KR"/>
        </w:rPr>
      </w:pPr>
      <w:r w:rsidRPr="00D051AD">
        <w:rPr>
          <w:noProof/>
          <w:sz w:val="22"/>
          <w:szCs w:val="22"/>
        </w:rPr>
        <w:drawing>
          <wp:anchor distT="0" distB="0" distL="0" distR="0" simplePos="0" relativeHeight="251662336" behindDoc="0" locked="0" layoutInCell="1" allowOverlap="1" wp14:anchorId="3D4F5FEA" wp14:editId="48A4CCD8">
            <wp:simplePos x="0" y="0"/>
            <wp:positionH relativeFrom="page">
              <wp:posOffset>951230</wp:posOffset>
            </wp:positionH>
            <wp:positionV relativeFrom="paragraph">
              <wp:posOffset>215365</wp:posOffset>
            </wp:positionV>
            <wp:extent cx="5612130" cy="2219325"/>
            <wp:effectExtent l="0" t="0" r="0" b="0"/>
            <wp:wrapTopAndBottom/>
            <wp:docPr id="5" name="image3.jpeg"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graph of different colored lines&#10;&#10;Description automatically generated with medium confidence"/>
                    <pic:cNvPicPr/>
                  </pic:nvPicPr>
                  <pic:blipFill>
                    <a:blip r:embed="rId14" cstate="print"/>
                    <a:stretch>
                      <a:fillRect/>
                    </a:stretch>
                  </pic:blipFill>
                  <pic:spPr>
                    <a:xfrm>
                      <a:off x="0" y="0"/>
                      <a:ext cx="5612130" cy="2219325"/>
                    </a:xfrm>
                    <a:prstGeom prst="rect">
                      <a:avLst/>
                    </a:prstGeom>
                  </pic:spPr>
                </pic:pic>
              </a:graphicData>
            </a:graphic>
          </wp:anchor>
        </w:drawing>
      </w:r>
      <w:r w:rsidRPr="00D051AD">
        <w:rPr>
          <w:sz w:val="22"/>
          <w:szCs w:val="22"/>
        </w:rPr>
        <w:t>Figure 2: Trajectory plot for different age group</w:t>
      </w:r>
      <w:r w:rsidRPr="00D051AD">
        <w:rPr>
          <w:rFonts w:eastAsiaTheme="minorEastAsia"/>
          <w:sz w:val="22"/>
          <w:szCs w:val="22"/>
          <w:lang w:eastAsia="ko-KR"/>
        </w:rPr>
        <w:t>s</w:t>
      </w:r>
    </w:p>
    <w:p w14:paraId="1D350B91" w14:textId="77777777" w:rsidR="00D3651D" w:rsidRPr="00D051AD" w:rsidRDefault="00D3651D" w:rsidP="00D3651D">
      <w:pPr>
        <w:pStyle w:val="BodyText"/>
        <w:spacing w:line="276" w:lineRule="auto"/>
        <w:ind w:right="795" w:firstLine="566"/>
        <w:jc w:val="center"/>
        <w:rPr>
          <w:rFonts w:eastAsiaTheme="minorEastAsia"/>
          <w:sz w:val="22"/>
          <w:szCs w:val="22"/>
          <w:lang w:eastAsia="ko-KR"/>
        </w:rPr>
      </w:pPr>
    </w:p>
    <w:p w14:paraId="43CB2FD3" w14:textId="77777777" w:rsidR="004567C4" w:rsidRDefault="004567C4" w:rsidP="00D3651D">
      <w:pPr>
        <w:widowControl/>
        <w:tabs>
          <w:tab w:val="num" w:pos="720"/>
        </w:tabs>
        <w:adjustRightInd w:val="0"/>
        <w:spacing w:line="276" w:lineRule="auto"/>
        <w:contextualSpacing/>
        <w:jc w:val="both"/>
        <w:rPr>
          <w:rFonts w:eastAsiaTheme="minorEastAsia"/>
          <w:lang w:eastAsia="ko-KR"/>
        </w:rPr>
      </w:pPr>
    </w:p>
    <w:p w14:paraId="17096A88" w14:textId="2042F55A" w:rsidR="00D3651D" w:rsidRPr="00D051AD" w:rsidRDefault="00D3651D" w:rsidP="00D3651D">
      <w:pPr>
        <w:widowControl/>
        <w:tabs>
          <w:tab w:val="num" w:pos="720"/>
        </w:tabs>
        <w:adjustRightInd w:val="0"/>
        <w:spacing w:line="276" w:lineRule="auto"/>
        <w:contextualSpacing/>
        <w:jc w:val="both"/>
        <w:rPr>
          <w:rFonts w:eastAsiaTheme="minorEastAsia"/>
        </w:rPr>
      </w:pPr>
      <w:r w:rsidRPr="00D051AD">
        <w:t>The</w:t>
      </w:r>
      <w:r w:rsidRPr="00D051AD">
        <w:rPr>
          <w:spacing w:val="-6"/>
        </w:rPr>
        <w:t xml:space="preserve"> </w:t>
      </w:r>
      <w:r w:rsidRPr="00D051AD">
        <w:t>Kaplan-Meier</w:t>
      </w:r>
      <w:r w:rsidRPr="00D051AD">
        <w:rPr>
          <w:spacing w:val="-6"/>
        </w:rPr>
        <w:t xml:space="preserve"> </w:t>
      </w:r>
      <w:r w:rsidRPr="00D051AD">
        <w:t>survival</w:t>
      </w:r>
      <w:r w:rsidRPr="00D051AD">
        <w:rPr>
          <w:spacing w:val="-6"/>
        </w:rPr>
        <w:t xml:space="preserve"> </w:t>
      </w:r>
      <w:r w:rsidRPr="00D051AD">
        <w:t>analysis</w:t>
      </w:r>
      <w:r w:rsidRPr="00D051AD">
        <w:rPr>
          <w:spacing w:val="-5"/>
        </w:rPr>
        <w:t xml:space="preserve"> </w:t>
      </w:r>
      <w:r w:rsidRPr="00D051AD">
        <w:t>(Figure</w:t>
      </w:r>
      <w:r w:rsidRPr="00D051AD">
        <w:rPr>
          <w:spacing w:val="-6"/>
        </w:rPr>
        <w:t xml:space="preserve"> </w:t>
      </w:r>
      <w:r w:rsidRPr="00D051AD">
        <w:t>3)</w:t>
      </w:r>
      <w:r w:rsidRPr="00D051AD">
        <w:rPr>
          <w:spacing w:val="-6"/>
        </w:rPr>
        <w:t xml:space="preserve"> </w:t>
      </w:r>
      <w:r w:rsidRPr="00D051AD">
        <w:t>illustrates</w:t>
      </w:r>
      <w:r w:rsidRPr="00D051AD">
        <w:rPr>
          <w:spacing w:val="-5"/>
        </w:rPr>
        <w:t xml:space="preserve"> </w:t>
      </w:r>
      <w:r w:rsidRPr="00D051AD">
        <w:t>the</w:t>
      </w:r>
      <w:r w:rsidRPr="00D051AD">
        <w:rPr>
          <w:spacing w:val="-5"/>
        </w:rPr>
        <w:t xml:space="preserve"> </w:t>
      </w:r>
      <w:r w:rsidRPr="00D051AD">
        <w:t>survival</w:t>
      </w:r>
      <w:r w:rsidRPr="00D051AD">
        <w:rPr>
          <w:spacing w:val="-5"/>
        </w:rPr>
        <w:t xml:space="preserve"> </w:t>
      </w:r>
      <w:r w:rsidRPr="00D051AD">
        <w:t>probabilities,</w:t>
      </w:r>
      <w:r w:rsidRPr="00D051AD">
        <w:rPr>
          <w:spacing w:val="-5"/>
        </w:rPr>
        <w:t xml:space="preserve"> </w:t>
      </w:r>
      <w:r w:rsidRPr="00D051AD">
        <w:t xml:space="preserve">inter- </w:t>
      </w:r>
      <w:proofErr w:type="spellStart"/>
      <w:r w:rsidRPr="00D051AD">
        <w:t>preted</w:t>
      </w:r>
      <w:proofErr w:type="spellEnd"/>
      <w:r w:rsidRPr="00D051AD">
        <w:rPr>
          <w:spacing w:val="-7"/>
        </w:rPr>
        <w:t xml:space="preserve"> </w:t>
      </w:r>
      <w:r w:rsidRPr="00D051AD">
        <w:t>as</w:t>
      </w:r>
      <w:r w:rsidRPr="00D051AD">
        <w:rPr>
          <w:spacing w:val="-7"/>
        </w:rPr>
        <w:t xml:space="preserve"> </w:t>
      </w:r>
      <w:r w:rsidRPr="00D051AD">
        <w:t>being</w:t>
      </w:r>
      <w:r w:rsidRPr="00D051AD">
        <w:rPr>
          <w:spacing w:val="-7"/>
        </w:rPr>
        <w:t xml:space="preserve"> </w:t>
      </w:r>
      <w:r w:rsidRPr="00D051AD">
        <w:t>free</w:t>
      </w:r>
      <w:r w:rsidRPr="00D051AD">
        <w:rPr>
          <w:spacing w:val="-7"/>
        </w:rPr>
        <w:t xml:space="preserve"> </w:t>
      </w:r>
      <w:r w:rsidRPr="00D051AD">
        <w:t>from</w:t>
      </w:r>
      <w:r w:rsidRPr="00D051AD">
        <w:rPr>
          <w:spacing w:val="-6"/>
        </w:rPr>
        <w:t xml:space="preserve"> </w:t>
      </w:r>
      <w:r w:rsidRPr="00D051AD">
        <w:t>COVID-19</w:t>
      </w:r>
      <w:r w:rsidRPr="00D051AD">
        <w:rPr>
          <w:spacing w:val="-7"/>
        </w:rPr>
        <w:t xml:space="preserve"> </w:t>
      </w:r>
      <w:r w:rsidRPr="00D051AD">
        <w:t>infection,</w:t>
      </w:r>
      <w:r w:rsidRPr="00D051AD">
        <w:rPr>
          <w:spacing w:val="-7"/>
        </w:rPr>
        <w:t xml:space="preserve"> </w:t>
      </w:r>
      <w:r w:rsidRPr="00D051AD">
        <w:t>over</w:t>
      </w:r>
      <w:r w:rsidRPr="00D051AD">
        <w:rPr>
          <w:spacing w:val="-7"/>
        </w:rPr>
        <w:t xml:space="preserve"> </w:t>
      </w:r>
      <w:r w:rsidRPr="00D051AD">
        <w:t>time</w:t>
      </w:r>
      <w:r w:rsidRPr="00D051AD">
        <w:rPr>
          <w:spacing w:val="-6"/>
        </w:rPr>
        <w:t xml:space="preserve"> </w:t>
      </w:r>
      <w:r w:rsidRPr="00D051AD">
        <w:t>for</w:t>
      </w:r>
      <w:r w:rsidRPr="00D051AD">
        <w:rPr>
          <w:spacing w:val="-7"/>
        </w:rPr>
        <w:t xml:space="preserve"> </w:t>
      </w:r>
      <w:r w:rsidRPr="00D051AD">
        <w:t>populations</w:t>
      </w:r>
      <w:r w:rsidRPr="00D051AD">
        <w:rPr>
          <w:spacing w:val="-7"/>
        </w:rPr>
        <w:t xml:space="preserve"> </w:t>
      </w:r>
      <w:r w:rsidRPr="00D051AD">
        <w:t>with</w:t>
      </w:r>
      <w:r w:rsidRPr="00D051AD">
        <w:rPr>
          <w:spacing w:val="-7"/>
        </w:rPr>
        <w:t xml:space="preserve"> </w:t>
      </w:r>
      <w:r w:rsidRPr="00D051AD">
        <w:t xml:space="preserve">vaccine-induced and hybrid-induced immunity in our </w:t>
      </w:r>
      <w:r w:rsidRPr="00D051AD">
        <w:rPr>
          <w:spacing w:val="-3"/>
        </w:rPr>
        <w:t xml:space="preserve">study. </w:t>
      </w:r>
      <w:r w:rsidRPr="00D051AD">
        <w:t xml:space="preserve">The analysis reveals significant differences in </w:t>
      </w:r>
      <w:r w:rsidRPr="00D051AD">
        <w:rPr>
          <w:spacing w:val="-5"/>
        </w:rPr>
        <w:t xml:space="preserve">sur- </w:t>
      </w:r>
      <w:proofErr w:type="spellStart"/>
      <w:r w:rsidRPr="00D051AD">
        <w:rPr>
          <w:spacing w:val="-3"/>
        </w:rPr>
        <w:t>vival</w:t>
      </w:r>
      <w:proofErr w:type="spellEnd"/>
      <w:r w:rsidRPr="00D051AD">
        <w:rPr>
          <w:spacing w:val="-3"/>
        </w:rPr>
        <w:t xml:space="preserve"> </w:t>
      </w:r>
      <w:r w:rsidRPr="00D051AD">
        <w:t xml:space="preserve">probabilities between these two immunity types across various age groups. Individuals with hybrid-induced immunity consistently exhibit higher survival probabilities </w:t>
      </w:r>
      <w:r w:rsidRPr="00D051AD">
        <w:rPr>
          <w:rFonts w:eastAsiaTheme="minorEastAsia"/>
          <w:lang w:eastAsia="ko-KR"/>
        </w:rPr>
        <w:t xml:space="preserve">(remain 98% over a year) </w:t>
      </w:r>
      <w:r w:rsidRPr="00D051AD">
        <w:t xml:space="preserve">compared </w:t>
      </w:r>
      <w:r w:rsidRPr="00D051AD">
        <w:rPr>
          <w:spacing w:val="-7"/>
        </w:rPr>
        <w:t xml:space="preserve">to </w:t>
      </w:r>
      <w:r w:rsidRPr="00D051AD">
        <w:t>those with vaccine-induced immunity</w:t>
      </w:r>
      <w:r w:rsidRPr="00D051AD">
        <w:rPr>
          <w:rFonts w:eastAsiaTheme="minorEastAsia"/>
          <w:lang w:eastAsia="ko-KR"/>
        </w:rPr>
        <w:t xml:space="preserve"> (decreases to 50-60% over a year)</w:t>
      </w:r>
      <w:r w:rsidRPr="00D051AD">
        <w:t xml:space="preserve">. </w:t>
      </w:r>
      <w:r w:rsidRPr="00D051AD">
        <w:rPr>
          <w:rFonts w:eastAsiaTheme="minorEastAsia"/>
          <w:lang w:eastAsia="ko-KR"/>
        </w:rPr>
        <w:t>A</w:t>
      </w:r>
      <w:r w:rsidRPr="00D051AD">
        <w:rPr>
          <w:rFonts w:eastAsiaTheme="minorEastAsia"/>
        </w:rPr>
        <w:t xml:space="preserve">ntibody decay was clearly observed after 6th month from the last immunological events for the vaccine group (more quickly for the&gt;60 age group but greater magnitude for the &lt;20 group) compared to hybrid groups. </w:t>
      </w:r>
    </w:p>
    <w:p w14:paraId="5F48A75D" w14:textId="77777777" w:rsidR="00D3651D" w:rsidRPr="00D051AD" w:rsidRDefault="00D3651D" w:rsidP="00D3651D">
      <w:pPr>
        <w:pStyle w:val="BodyText"/>
        <w:spacing w:line="276" w:lineRule="auto"/>
        <w:ind w:left="0" w:right="795"/>
        <w:jc w:val="both"/>
        <w:rPr>
          <w:rFonts w:eastAsiaTheme="minorEastAsia"/>
          <w:sz w:val="22"/>
          <w:szCs w:val="22"/>
          <w:lang w:eastAsia="ko-KR"/>
        </w:rPr>
      </w:pPr>
    </w:p>
    <w:p w14:paraId="01499153" w14:textId="77777777" w:rsidR="00D3651D" w:rsidRPr="00D051AD" w:rsidRDefault="00D3651D" w:rsidP="00D3651D">
      <w:pPr>
        <w:pStyle w:val="BodyText"/>
        <w:spacing w:line="276" w:lineRule="auto"/>
        <w:ind w:left="301"/>
        <w:rPr>
          <w:sz w:val="22"/>
          <w:szCs w:val="22"/>
        </w:rPr>
      </w:pPr>
      <w:r w:rsidRPr="00D051AD">
        <w:rPr>
          <w:noProof/>
          <w:sz w:val="22"/>
          <w:szCs w:val="22"/>
        </w:rPr>
        <w:drawing>
          <wp:inline distT="0" distB="0" distL="0" distR="0" wp14:anchorId="366CA801" wp14:editId="755361A4">
            <wp:extent cx="5047200" cy="3871070"/>
            <wp:effectExtent l="0" t="0" r="0" b="0"/>
            <wp:docPr id="7" name="image4.jpeg" descr="A graph showing the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graph showing the number of vaccinations&#10;&#10;Description automatically generated"/>
                    <pic:cNvPicPr/>
                  </pic:nvPicPr>
                  <pic:blipFill>
                    <a:blip r:embed="rId15" cstate="print"/>
                    <a:stretch>
                      <a:fillRect/>
                    </a:stretch>
                  </pic:blipFill>
                  <pic:spPr>
                    <a:xfrm>
                      <a:off x="0" y="0"/>
                      <a:ext cx="5053571" cy="3875957"/>
                    </a:xfrm>
                    <a:prstGeom prst="rect">
                      <a:avLst/>
                    </a:prstGeom>
                  </pic:spPr>
                </pic:pic>
              </a:graphicData>
            </a:graphic>
          </wp:inline>
        </w:drawing>
      </w:r>
    </w:p>
    <w:p w14:paraId="7E58DE43" w14:textId="77777777" w:rsidR="00D3651D" w:rsidRPr="00D051AD" w:rsidRDefault="00D3651D" w:rsidP="00D3651D">
      <w:pPr>
        <w:pStyle w:val="BodyText"/>
        <w:spacing w:line="276" w:lineRule="auto"/>
        <w:ind w:left="0"/>
        <w:rPr>
          <w:sz w:val="22"/>
          <w:szCs w:val="22"/>
        </w:rPr>
      </w:pPr>
    </w:p>
    <w:p w14:paraId="3253AAA0" w14:textId="77777777" w:rsidR="00D3651D" w:rsidRPr="00D051AD" w:rsidRDefault="00D3651D" w:rsidP="00D3651D">
      <w:pPr>
        <w:pStyle w:val="BodyText"/>
        <w:spacing w:line="276" w:lineRule="auto"/>
        <w:ind w:left="1191"/>
        <w:rPr>
          <w:sz w:val="22"/>
          <w:szCs w:val="22"/>
        </w:rPr>
      </w:pPr>
      <w:commentRangeStart w:id="7"/>
      <w:commentRangeStart w:id="8"/>
      <w:r w:rsidRPr="00D051AD">
        <w:rPr>
          <w:sz w:val="22"/>
          <w:szCs w:val="22"/>
        </w:rPr>
        <w:lastRenderedPageBreak/>
        <w:t>Figure 3: Survival Plot for Hybrid-induced and Vaccine-induced Groups</w:t>
      </w:r>
      <w:commentRangeEnd w:id="7"/>
      <w:r w:rsidRPr="00D051AD">
        <w:rPr>
          <w:rStyle w:val="CommentReference"/>
          <w:sz w:val="22"/>
          <w:szCs w:val="22"/>
        </w:rPr>
        <w:commentReference w:id="7"/>
      </w:r>
      <w:commentRangeEnd w:id="8"/>
      <w:r w:rsidRPr="00D051AD">
        <w:rPr>
          <w:rStyle w:val="CommentReference"/>
          <w:sz w:val="22"/>
          <w:szCs w:val="22"/>
        </w:rPr>
        <w:commentReference w:id="8"/>
      </w:r>
    </w:p>
    <w:p w14:paraId="4EC58BEC" w14:textId="77777777" w:rsidR="00D3651D" w:rsidRPr="00D051AD" w:rsidRDefault="00D3651D" w:rsidP="00D3651D">
      <w:pPr>
        <w:pStyle w:val="BodyText"/>
        <w:spacing w:line="276" w:lineRule="auto"/>
        <w:ind w:left="0"/>
        <w:rPr>
          <w:sz w:val="22"/>
          <w:szCs w:val="22"/>
        </w:rPr>
      </w:pPr>
    </w:p>
    <w:p w14:paraId="0B95C7BC" w14:textId="77777777" w:rsidR="00D3651D" w:rsidRPr="00D051AD" w:rsidRDefault="00D3651D" w:rsidP="00D3651D">
      <w:pPr>
        <w:pStyle w:val="BodyText"/>
        <w:spacing w:line="276" w:lineRule="auto"/>
        <w:ind w:left="0"/>
        <w:rPr>
          <w:rFonts w:eastAsiaTheme="minorEastAsia"/>
          <w:sz w:val="22"/>
          <w:szCs w:val="22"/>
          <w:lang w:eastAsia="ko-KR"/>
        </w:rPr>
      </w:pPr>
      <w:r w:rsidRPr="00D051AD">
        <w:rPr>
          <w:sz w:val="22"/>
          <w:szCs w:val="22"/>
        </w:rPr>
        <w:t>The hazard ratio (exp(</w:t>
      </w:r>
      <w:proofErr w:type="spellStart"/>
      <w:r w:rsidRPr="00D051AD">
        <w:rPr>
          <w:sz w:val="22"/>
          <w:szCs w:val="22"/>
        </w:rPr>
        <w:t>coef</w:t>
      </w:r>
      <w:proofErr w:type="spellEnd"/>
      <w:r w:rsidRPr="00D051AD">
        <w:rPr>
          <w:sz w:val="22"/>
          <w:szCs w:val="22"/>
        </w:rPr>
        <w:t>))</w:t>
      </w:r>
      <w:r w:rsidRPr="00D051AD">
        <w:rPr>
          <w:rFonts w:eastAsiaTheme="minorEastAsia"/>
          <w:sz w:val="22"/>
          <w:szCs w:val="22"/>
          <w:lang w:eastAsia="ko-KR"/>
        </w:rPr>
        <w:t xml:space="preserve"> for hybrid group is significantly low as 0.09</w:t>
      </w:r>
      <w:r w:rsidRPr="00D051AD">
        <w:rPr>
          <w:sz w:val="22"/>
          <w:szCs w:val="22"/>
        </w:rPr>
        <w:t xml:space="preserve">, </w:t>
      </w:r>
      <w:r w:rsidRPr="00D051AD">
        <w:rPr>
          <w:rFonts w:eastAsiaTheme="minorEastAsia"/>
          <w:sz w:val="22"/>
          <w:szCs w:val="22"/>
          <w:lang w:eastAsia="ko-KR"/>
        </w:rPr>
        <w:t>indicating</w:t>
      </w:r>
      <w:r w:rsidRPr="00D051AD">
        <w:rPr>
          <w:sz w:val="22"/>
          <w:szCs w:val="22"/>
        </w:rPr>
        <w:t xml:space="preserve"> hybrid-induced immunity reduces the risk to approximately 9% of that for vaccine-induced immunity. For</w:t>
      </w:r>
      <w:r w:rsidRPr="00D051AD">
        <w:rPr>
          <w:spacing w:val="-10"/>
          <w:sz w:val="22"/>
          <w:szCs w:val="22"/>
        </w:rPr>
        <w:t xml:space="preserve"> </w:t>
      </w:r>
      <w:r w:rsidRPr="00D051AD">
        <w:rPr>
          <w:sz w:val="22"/>
          <w:szCs w:val="22"/>
        </w:rPr>
        <w:t>the,</w:t>
      </w:r>
      <w:r w:rsidRPr="00D051AD">
        <w:rPr>
          <w:spacing w:val="-9"/>
          <w:sz w:val="22"/>
          <w:szCs w:val="22"/>
        </w:rPr>
        <w:t xml:space="preserve"> </w:t>
      </w:r>
      <w:r w:rsidRPr="00D051AD">
        <w:rPr>
          <w:sz w:val="22"/>
          <w:szCs w:val="22"/>
        </w:rPr>
        <w:t>a</w:t>
      </w:r>
      <w:r w:rsidRPr="00D051AD">
        <w:rPr>
          <w:spacing w:val="-9"/>
          <w:sz w:val="22"/>
          <w:szCs w:val="22"/>
        </w:rPr>
        <w:t xml:space="preserve"> </w:t>
      </w:r>
      <w:r w:rsidRPr="00D051AD">
        <w:rPr>
          <w:sz w:val="22"/>
          <w:szCs w:val="22"/>
        </w:rPr>
        <w:t>hazard</w:t>
      </w:r>
      <w:r w:rsidRPr="00D051AD">
        <w:rPr>
          <w:spacing w:val="-10"/>
          <w:sz w:val="22"/>
          <w:szCs w:val="22"/>
        </w:rPr>
        <w:t xml:space="preserve"> </w:t>
      </w:r>
      <w:r w:rsidRPr="00D051AD">
        <w:rPr>
          <w:sz w:val="22"/>
          <w:szCs w:val="22"/>
        </w:rPr>
        <w:t>ratio</w:t>
      </w:r>
      <w:r w:rsidRPr="00D051AD">
        <w:rPr>
          <w:spacing w:val="-9"/>
          <w:sz w:val="22"/>
          <w:szCs w:val="22"/>
        </w:rPr>
        <w:t xml:space="preserve"> </w:t>
      </w:r>
      <w:r w:rsidRPr="00D051AD">
        <w:rPr>
          <w:rFonts w:eastAsiaTheme="minorEastAsia"/>
          <w:sz w:val="22"/>
          <w:szCs w:val="22"/>
          <w:lang w:eastAsia="ko-KR"/>
        </w:rPr>
        <w:t xml:space="preserve">of age groups&gt;20 show 42-69% lower risk of infection than age &lt;20 group with increasing risk trends with older age groups. </w:t>
      </w:r>
    </w:p>
    <w:p w14:paraId="0C1C3976" w14:textId="77777777" w:rsidR="00D3651D" w:rsidRPr="00D051AD" w:rsidRDefault="00D3651D" w:rsidP="00D3651D">
      <w:pPr>
        <w:pStyle w:val="BodyText"/>
        <w:spacing w:line="276" w:lineRule="auto"/>
        <w:ind w:right="795"/>
        <w:jc w:val="both"/>
        <w:rPr>
          <w:rFonts w:eastAsiaTheme="minorEastAsia"/>
          <w:sz w:val="22"/>
          <w:szCs w:val="22"/>
          <w:lang w:eastAsia="ko-KR"/>
        </w:rPr>
      </w:pPr>
      <w:bookmarkStart w:id="9" w:name="Infection_Risk_Factors_Analysis"/>
      <w:bookmarkEnd w:id="9"/>
    </w:p>
    <w:p w14:paraId="31D52641" w14:textId="77777777" w:rsidR="00D3651D" w:rsidRPr="00D051AD" w:rsidRDefault="00D3651D" w:rsidP="00D3651D">
      <w:pPr>
        <w:pStyle w:val="BodyText"/>
        <w:spacing w:line="276" w:lineRule="auto"/>
        <w:ind w:left="0"/>
        <w:rPr>
          <w:rFonts w:eastAsiaTheme="minorEastAsia"/>
          <w:sz w:val="22"/>
          <w:szCs w:val="22"/>
          <w:lang w:eastAsia="ko-KR"/>
        </w:rPr>
      </w:pPr>
      <w:r w:rsidRPr="00D051AD">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6"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51AD" w:rsidRDefault="00D3651D" w:rsidP="00D3651D">
      <w:pPr>
        <w:pStyle w:val="BodyText"/>
        <w:spacing w:line="276" w:lineRule="auto"/>
        <w:ind w:left="2040"/>
        <w:rPr>
          <w:rFonts w:eastAsiaTheme="minorEastAsia"/>
          <w:sz w:val="22"/>
          <w:szCs w:val="22"/>
          <w:lang w:eastAsia="ko-KR"/>
        </w:rPr>
      </w:pPr>
      <w:r w:rsidRPr="00D051AD">
        <w:rPr>
          <w:sz w:val="22"/>
          <w:szCs w:val="22"/>
        </w:rPr>
        <w:t>Table 2: Cox Proportional Hazards Regression Results</w:t>
      </w:r>
    </w:p>
    <w:p w14:paraId="23C42936" w14:textId="77777777" w:rsidR="00D3651D" w:rsidRPr="00D051AD" w:rsidRDefault="00D3651D" w:rsidP="00D3651D">
      <w:pPr>
        <w:pStyle w:val="BodyText"/>
        <w:spacing w:line="276" w:lineRule="auto"/>
        <w:ind w:left="0"/>
        <w:rPr>
          <w:rFonts w:eastAsiaTheme="minorEastAsia"/>
          <w:sz w:val="22"/>
          <w:szCs w:val="22"/>
          <w:lang w:eastAsia="ko-KR"/>
        </w:rPr>
      </w:pPr>
    </w:p>
    <w:p w14:paraId="376DC8AC" w14:textId="77777777" w:rsidR="00D3651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The probability of remaining infection-free by S ab levels across immunity/age groups shows similar risk trends by immunity/age groups with the survival analyses. </w:t>
      </w:r>
      <w:r w:rsidRPr="00D051AD">
        <w:rPr>
          <w:sz w:val="22"/>
          <w:szCs w:val="22"/>
        </w:rPr>
        <w:t>In</w:t>
      </w:r>
      <w:r w:rsidRPr="00D051AD">
        <w:rPr>
          <w:spacing w:val="-14"/>
          <w:sz w:val="22"/>
          <w:szCs w:val="22"/>
        </w:rPr>
        <w:t xml:space="preserve"> </w:t>
      </w:r>
      <w:r w:rsidRPr="00D051AD">
        <w:rPr>
          <w:sz w:val="22"/>
          <w:szCs w:val="22"/>
        </w:rPr>
        <w:t>the</w:t>
      </w:r>
      <w:r w:rsidRPr="00D051AD">
        <w:rPr>
          <w:spacing w:val="-13"/>
          <w:sz w:val="22"/>
          <w:szCs w:val="22"/>
        </w:rPr>
        <w:t xml:space="preserve"> </w:t>
      </w:r>
      <w:r w:rsidRPr="00D051AD">
        <w:rPr>
          <w:sz w:val="22"/>
          <w:szCs w:val="22"/>
        </w:rPr>
        <w:t>vaccine-induced</w:t>
      </w:r>
      <w:r w:rsidRPr="00D051AD">
        <w:rPr>
          <w:spacing w:val="-14"/>
          <w:sz w:val="22"/>
          <w:szCs w:val="22"/>
        </w:rPr>
        <w:t xml:space="preserve"> </w:t>
      </w:r>
      <w:r w:rsidRPr="00D051AD">
        <w:rPr>
          <w:sz w:val="22"/>
          <w:szCs w:val="22"/>
        </w:rPr>
        <w:t>group,</w:t>
      </w:r>
      <w:r w:rsidRPr="00D051AD">
        <w:rPr>
          <w:spacing w:val="-12"/>
          <w:sz w:val="22"/>
          <w:szCs w:val="22"/>
        </w:rPr>
        <w:t xml:space="preserve"> </w:t>
      </w:r>
      <w:r w:rsidRPr="00D051AD">
        <w:rPr>
          <w:sz w:val="22"/>
          <w:szCs w:val="22"/>
        </w:rPr>
        <w:t>the</w:t>
      </w:r>
      <w:r w:rsidRPr="00D051AD">
        <w:rPr>
          <w:spacing w:val="-15"/>
          <w:sz w:val="22"/>
          <w:szCs w:val="22"/>
        </w:rPr>
        <w:t xml:space="preserve"> </w:t>
      </w:r>
      <w:r w:rsidRPr="00D051AD">
        <w:rPr>
          <w:sz w:val="22"/>
          <w:szCs w:val="22"/>
        </w:rPr>
        <w:t>probability</w:t>
      </w:r>
      <w:r w:rsidRPr="00D051AD">
        <w:rPr>
          <w:spacing w:val="-13"/>
          <w:sz w:val="22"/>
          <w:szCs w:val="22"/>
        </w:rPr>
        <w:t xml:space="preserve"> </w:t>
      </w:r>
      <w:r w:rsidRPr="00D051AD">
        <w:rPr>
          <w:sz w:val="22"/>
          <w:szCs w:val="22"/>
        </w:rPr>
        <w:t>of</w:t>
      </w:r>
      <w:r w:rsidRPr="00D051AD">
        <w:rPr>
          <w:spacing w:val="-15"/>
          <w:sz w:val="22"/>
          <w:szCs w:val="22"/>
        </w:rPr>
        <w:t xml:space="preserve"> </w:t>
      </w:r>
      <w:r w:rsidRPr="00D051AD">
        <w:rPr>
          <w:sz w:val="22"/>
          <w:szCs w:val="22"/>
        </w:rPr>
        <w:t>remaining</w:t>
      </w:r>
      <w:r w:rsidRPr="00D051AD">
        <w:rPr>
          <w:spacing w:val="-14"/>
          <w:sz w:val="22"/>
          <w:szCs w:val="22"/>
        </w:rPr>
        <w:t xml:space="preserve"> </w:t>
      </w:r>
      <w:r w:rsidRPr="00D051AD">
        <w:rPr>
          <w:sz w:val="22"/>
          <w:szCs w:val="22"/>
        </w:rPr>
        <w:t>infection-free decreases with higher S antibody levels</w:t>
      </w:r>
      <w:r w:rsidRPr="00D051AD">
        <w:rPr>
          <w:rFonts w:eastAsiaTheme="minorEastAsia"/>
          <w:sz w:val="22"/>
          <w:szCs w:val="22"/>
          <w:lang w:eastAsia="ko-KR"/>
        </w:rPr>
        <w:t xml:space="preserve"> across age groups, demonstrating the highest risk for age &lt;20 (60% of remaining infection-free with S ab level 5000 to 80% with 250,000) following &gt;60, 40-60, and 20-40 groups (75% of remaining infection-free with S ab level 5000 to 90% with 250,000 for age 20-40 as the lowest risk group). In other words, to have an 80% probability of remaining infection-free, age 20-40 requires an S ab level of at least 10,000, 40-60 groups as 150,000, and &gt;60 as 20,000 and &lt;20 as 250,000. </w:t>
      </w:r>
    </w:p>
    <w:p w14:paraId="5E8C3263" w14:textId="77777777" w:rsidR="004567C4" w:rsidRPr="00D051AD" w:rsidRDefault="004567C4" w:rsidP="00D3651D">
      <w:pPr>
        <w:pStyle w:val="BodyText"/>
        <w:spacing w:line="276" w:lineRule="auto"/>
        <w:ind w:right="795" w:firstLine="566"/>
        <w:jc w:val="both"/>
        <w:rPr>
          <w:rFonts w:eastAsiaTheme="minorEastAsia"/>
          <w:sz w:val="22"/>
          <w:szCs w:val="22"/>
          <w:lang w:eastAsia="ko-KR"/>
        </w:rPr>
      </w:pPr>
    </w:p>
    <w:p w14:paraId="09B82FFA" w14:textId="77777777" w:rsidR="00D3651D" w:rsidRPr="00D051AD" w:rsidRDefault="00D3651D" w:rsidP="00D3651D">
      <w:pPr>
        <w:pStyle w:val="BodyText"/>
        <w:spacing w:line="276" w:lineRule="auto"/>
        <w:ind w:left="168"/>
        <w:rPr>
          <w:sz w:val="22"/>
          <w:szCs w:val="22"/>
        </w:rPr>
      </w:pPr>
      <w:r w:rsidRPr="00D051AD">
        <w:rPr>
          <w:noProof/>
          <w:sz w:val="22"/>
          <w:szCs w:val="22"/>
        </w:rPr>
        <w:drawing>
          <wp:inline distT="0" distB="0" distL="0" distR="0" wp14:anchorId="2DC936FA" wp14:editId="3C78327D">
            <wp:extent cx="5918400" cy="2340841"/>
            <wp:effectExtent l="0" t="0" r="0" b="0"/>
            <wp:docPr id="15" name="image8.jpeg"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graph of different colored lines&#10;&#10;Description automatically generated"/>
                    <pic:cNvPicPr/>
                  </pic:nvPicPr>
                  <pic:blipFill>
                    <a:blip r:embed="rId17" cstate="print"/>
                    <a:stretch>
                      <a:fillRect/>
                    </a:stretch>
                  </pic:blipFill>
                  <pic:spPr>
                    <a:xfrm>
                      <a:off x="0" y="0"/>
                      <a:ext cx="5932337" cy="2346354"/>
                    </a:xfrm>
                    <a:prstGeom prst="rect">
                      <a:avLst/>
                    </a:prstGeom>
                  </pic:spPr>
                </pic:pic>
              </a:graphicData>
            </a:graphic>
          </wp:inline>
        </w:drawing>
      </w:r>
    </w:p>
    <w:p w14:paraId="7A1533DA" w14:textId="77777777" w:rsidR="00D3651D" w:rsidRPr="00D051AD" w:rsidRDefault="00D3651D" w:rsidP="00D3651D">
      <w:pPr>
        <w:pStyle w:val="BodyText"/>
        <w:spacing w:line="276" w:lineRule="auto"/>
        <w:ind w:left="0"/>
        <w:rPr>
          <w:sz w:val="22"/>
          <w:szCs w:val="22"/>
        </w:rPr>
      </w:pPr>
    </w:p>
    <w:p w14:paraId="1A732E94" w14:textId="77777777" w:rsidR="00D3651D" w:rsidRPr="00D051AD" w:rsidRDefault="00D3651D" w:rsidP="00D3651D">
      <w:pPr>
        <w:pStyle w:val="BodyText"/>
        <w:spacing w:line="276" w:lineRule="auto"/>
        <w:ind w:right="552"/>
        <w:rPr>
          <w:rFonts w:eastAsiaTheme="minorEastAsia"/>
          <w:sz w:val="22"/>
          <w:szCs w:val="22"/>
          <w:lang w:eastAsia="ko-KR"/>
        </w:rPr>
      </w:pPr>
      <w:commentRangeStart w:id="10"/>
      <w:r w:rsidRPr="00D051AD">
        <w:rPr>
          <w:sz w:val="22"/>
          <w:szCs w:val="22"/>
        </w:rPr>
        <w:t xml:space="preserve">Figure </w:t>
      </w:r>
      <w:r w:rsidRPr="00D051AD">
        <w:rPr>
          <w:rFonts w:eastAsiaTheme="minorEastAsia"/>
          <w:sz w:val="22"/>
          <w:szCs w:val="22"/>
          <w:lang w:eastAsia="ko-KR"/>
        </w:rPr>
        <w:t>4</w:t>
      </w:r>
      <w:r w:rsidRPr="00D051AD">
        <w:rPr>
          <w:sz w:val="22"/>
          <w:szCs w:val="22"/>
        </w:rPr>
        <w:t xml:space="preserve">: </w:t>
      </w:r>
      <w:commentRangeEnd w:id="10"/>
      <w:r w:rsidRPr="00D051AD">
        <w:rPr>
          <w:rStyle w:val="CommentReference"/>
          <w:sz w:val="22"/>
          <w:szCs w:val="22"/>
        </w:rPr>
        <w:commentReference w:id="10"/>
      </w:r>
      <w:r w:rsidRPr="00D051AD">
        <w:rPr>
          <w:sz w:val="22"/>
          <w:szCs w:val="22"/>
        </w:rPr>
        <w:t>Regression line comparison for vaccine-induced (left) and hybrid-induced (right) groups</w:t>
      </w:r>
    </w:p>
    <w:p w14:paraId="4FCEAB52"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468F5489" w14:textId="77777777" w:rsidR="00D3651D" w:rsidRPr="004567C4" w:rsidRDefault="00D3651D" w:rsidP="00D3651D">
      <w:pPr>
        <w:pStyle w:val="Heading1"/>
        <w:tabs>
          <w:tab w:val="left" w:pos="633"/>
          <w:tab w:val="left" w:pos="634"/>
        </w:tabs>
        <w:spacing w:before="0" w:after="0" w:line="276" w:lineRule="auto"/>
        <w:ind w:left="633" w:hanging="517"/>
        <w:rPr>
          <w:rFonts w:ascii="Times New Roman" w:hAnsi="Times New Roman" w:cs="Times New Roman"/>
          <w:b/>
          <w:bCs/>
          <w:color w:val="000000" w:themeColor="text1"/>
          <w:sz w:val="22"/>
          <w:szCs w:val="22"/>
        </w:rPr>
      </w:pPr>
      <w:bookmarkStart w:id="11" w:name="Discussion"/>
      <w:bookmarkEnd w:id="11"/>
      <w:r w:rsidRPr="004567C4">
        <w:rPr>
          <w:rFonts w:ascii="Times New Roman" w:hAnsi="Times New Roman" w:cs="Times New Roman"/>
          <w:b/>
          <w:bCs/>
          <w:color w:val="000000" w:themeColor="text1"/>
          <w:sz w:val="22"/>
          <w:szCs w:val="22"/>
        </w:rPr>
        <w:t>Discussion</w:t>
      </w:r>
    </w:p>
    <w:p w14:paraId="03AAED41" w14:textId="77777777" w:rsidR="00D3651D" w:rsidRPr="00D051AD" w:rsidRDefault="00D3651D" w:rsidP="00D3651D">
      <w:pPr>
        <w:pStyle w:val="Heading1"/>
        <w:tabs>
          <w:tab w:val="left" w:pos="633"/>
          <w:tab w:val="left" w:pos="634"/>
        </w:tabs>
        <w:spacing w:before="0" w:after="0" w:line="276" w:lineRule="auto"/>
        <w:rPr>
          <w:rFonts w:ascii="Times New Roman" w:hAnsi="Times New Roman" w:cs="Times New Roman"/>
          <w:sz w:val="22"/>
          <w:szCs w:val="22"/>
        </w:rPr>
      </w:pPr>
    </w:p>
    <w:p w14:paraId="4F5C9627" w14:textId="77777777" w:rsidR="00D3651D" w:rsidRPr="00D051AD" w:rsidRDefault="00D3651D" w:rsidP="00D3651D">
      <w:pPr>
        <w:pStyle w:val="BodyText"/>
        <w:spacing w:line="276" w:lineRule="auto"/>
        <w:ind w:firstLine="566"/>
        <w:jc w:val="both"/>
        <w:rPr>
          <w:rFonts w:eastAsiaTheme="minorEastAsia"/>
          <w:sz w:val="22"/>
          <w:szCs w:val="22"/>
          <w:lang w:eastAsia="ko-KR"/>
        </w:rPr>
      </w:pPr>
      <w:r w:rsidRPr="00D051AD">
        <w:rPr>
          <w:rFonts w:eastAsiaTheme="minorEastAsia"/>
          <w:color w:val="000000"/>
          <w:sz w:val="22"/>
          <w:szCs w:val="22"/>
          <w:lang w:eastAsia="ko-KR"/>
        </w:rPr>
        <w:t xml:space="preserve">Our study examined the protective effectiveness of COVID-19 infection across age group between hybrid and vaccine-induced in general population </w:t>
      </w:r>
      <w:r w:rsidRPr="00D051AD">
        <w:rPr>
          <w:rFonts w:eastAsiaTheme="minorEastAsia"/>
          <w:sz w:val="22"/>
          <w:szCs w:val="22"/>
          <w:lang w:eastAsia="ko-KR"/>
        </w:rPr>
        <w:t>based on community-based nationwide surveillance</w:t>
      </w:r>
      <w:r w:rsidRPr="00D051AD">
        <w:rPr>
          <w:rFonts w:eastAsiaTheme="minorEastAsia"/>
          <w:color w:val="000000"/>
          <w:sz w:val="22"/>
          <w:szCs w:val="22"/>
          <w:lang w:eastAsia="ko-KR"/>
        </w:rPr>
        <w:t xml:space="preserve">. </w:t>
      </w:r>
      <w:r w:rsidRPr="00D051AD">
        <w:rPr>
          <w:sz w:val="22"/>
          <w:szCs w:val="22"/>
        </w:rPr>
        <w:t xml:space="preserve">In this </w:t>
      </w:r>
      <w:r w:rsidRPr="00D051AD">
        <w:rPr>
          <w:spacing w:val="-3"/>
          <w:sz w:val="22"/>
          <w:szCs w:val="22"/>
        </w:rPr>
        <w:t xml:space="preserve">study, </w:t>
      </w:r>
      <w:r w:rsidRPr="00D051AD">
        <w:rPr>
          <w:sz w:val="22"/>
          <w:szCs w:val="22"/>
        </w:rPr>
        <w:t xml:space="preserve">we utilized nationwide community-based surveillance data </w:t>
      </w:r>
      <w:r w:rsidRPr="00D051AD">
        <w:rPr>
          <w:rFonts w:eastAsiaTheme="minorEastAsia"/>
          <w:sz w:val="22"/>
          <w:szCs w:val="22"/>
          <w:lang w:eastAsia="ko-KR"/>
        </w:rPr>
        <w:t xml:space="preserve">(large sample sizes and wide age spectrums) </w:t>
      </w:r>
      <w:r w:rsidRPr="00D051AD">
        <w:rPr>
          <w:sz w:val="22"/>
          <w:szCs w:val="22"/>
        </w:rPr>
        <w:lastRenderedPageBreak/>
        <w:t xml:space="preserve">from South </w:t>
      </w:r>
      <w:r w:rsidRPr="00D051AD">
        <w:rPr>
          <w:spacing w:val="-3"/>
          <w:sz w:val="22"/>
          <w:szCs w:val="22"/>
        </w:rPr>
        <w:t xml:space="preserve">Ko- </w:t>
      </w:r>
      <w:r w:rsidRPr="00D051AD">
        <w:rPr>
          <w:sz w:val="22"/>
          <w:szCs w:val="22"/>
        </w:rPr>
        <w:t>rea,</w:t>
      </w:r>
      <w:r w:rsidRPr="00D051AD">
        <w:rPr>
          <w:spacing w:val="-18"/>
          <w:sz w:val="22"/>
          <w:szCs w:val="22"/>
        </w:rPr>
        <w:t xml:space="preserve"> </w:t>
      </w:r>
      <w:r w:rsidRPr="00D051AD">
        <w:rPr>
          <w:sz w:val="22"/>
          <w:szCs w:val="22"/>
        </w:rPr>
        <w:t>involving</w:t>
      </w:r>
      <w:r w:rsidRPr="00D051AD">
        <w:rPr>
          <w:spacing w:val="-20"/>
          <w:sz w:val="22"/>
          <w:szCs w:val="22"/>
        </w:rPr>
        <w:t xml:space="preserve"> </w:t>
      </w:r>
      <w:r w:rsidRPr="00D051AD">
        <w:rPr>
          <w:sz w:val="22"/>
          <w:szCs w:val="22"/>
        </w:rPr>
        <w:t>10,000</w:t>
      </w:r>
      <w:r w:rsidRPr="00D051AD">
        <w:rPr>
          <w:spacing w:val="-20"/>
          <w:sz w:val="22"/>
          <w:szCs w:val="22"/>
        </w:rPr>
        <w:t xml:space="preserve"> </w:t>
      </w:r>
      <w:r w:rsidRPr="00D051AD">
        <w:rPr>
          <w:sz w:val="22"/>
          <w:szCs w:val="22"/>
        </w:rPr>
        <w:t>participants,</w:t>
      </w:r>
      <w:r w:rsidRPr="00D051AD">
        <w:rPr>
          <w:spacing w:val="-17"/>
          <w:sz w:val="22"/>
          <w:szCs w:val="22"/>
        </w:rPr>
        <w:t xml:space="preserve"> </w:t>
      </w:r>
      <w:r w:rsidRPr="00D051AD">
        <w:rPr>
          <w:rFonts w:eastAsiaTheme="minorEastAsia"/>
          <w:sz w:val="22"/>
          <w:szCs w:val="22"/>
          <w:lang w:eastAsia="ko-KR"/>
        </w:rPr>
        <w:t xml:space="preserve">with detailed demographic information and serological assessment twice after an epidemic wave of omicron variants. 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2DF93135" w14:textId="77777777" w:rsidR="00D3651D" w:rsidRPr="00D051AD" w:rsidRDefault="00D3651D" w:rsidP="00D3651D">
      <w:pPr>
        <w:pStyle w:val="BodyText"/>
        <w:spacing w:line="276" w:lineRule="auto"/>
        <w:ind w:firstLine="566"/>
        <w:jc w:val="both"/>
        <w:rPr>
          <w:rFonts w:eastAsiaTheme="minorEastAsia"/>
          <w:sz w:val="22"/>
          <w:szCs w:val="22"/>
          <w:lang w:eastAsia="ko-KR"/>
        </w:rPr>
      </w:pPr>
    </w:p>
    <w:p w14:paraId="4BE18C54" w14:textId="77777777"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Our study highlights significant differences in the efficacy of hybrid-induced and vaccine induced immunity in preventing COVID-19 infections across various age groups, which correlated with higher initial S antibody levels; After the Omicron wave, our data shows the highest breakthrough infection risk is younger (&lt;20 age) vaccine group, following &gt;60, 40-60 and 20-40. The high risk for younger (&lt;20 age) may be due to the increased exposure/contacts after omicron waves with the lift of the social distancing policy. This suggests that under new variants with the relaxation of measures across many countries, groups previously less exposed, for example, due to shielding guidance, may become more at risk. </w:t>
      </w:r>
      <w:r w:rsidRPr="00D051AD">
        <w:rPr>
          <w:sz w:val="22"/>
          <w:szCs w:val="22"/>
        </w:rPr>
        <w:t>In addition to assessing the risk of infection, we also investigated the risk of</w:t>
      </w:r>
      <w:r w:rsidRPr="00D051AD">
        <w:rPr>
          <w:rFonts w:eastAsiaTheme="minorEastAsia"/>
          <w:sz w:val="22"/>
          <w:szCs w:val="22"/>
          <w:lang w:eastAsia="ko-KR"/>
        </w:rPr>
        <w:t xml:space="preserve"> hospitalization</w:t>
      </w:r>
      <w:r w:rsidRPr="00D051AD">
        <w:rPr>
          <w:sz w:val="22"/>
          <w:szCs w:val="22"/>
        </w:rPr>
        <w:t xml:space="preserve"> among those infected. </w:t>
      </w:r>
      <w:r w:rsidRPr="00D051AD">
        <w:rPr>
          <w:rFonts w:eastAsiaTheme="minorEastAsia"/>
          <w:sz w:val="22"/>
          <w:szCs w:val="22"/>
          <w:lang w:eastAsia="ko-KR"/>
        </w:rPr>
        <w:t xml:space="preserve">While the hospitalization events were quite small (which </w:t>
      </w:r>
      <w:r w:rsidRPr="00D051AD">
        <w:rPr>
          <w:sz w:val="22"/>
          <w:szCs w:val="22"/>
        </w:rPr>
        <w:t>limited sample size precludes more detailed statistical</w:t>
      </w:r>
      <w:r w:rsidRPr="00D051AD">
        <w:rPr>
          <w:spacing w:val="-2"/>
          <w:sz w:val="22"/>
          <w:szCs w:val="22"/>
        </w:rPr>
        <w:t xml:space="preserve"> </w:t>
      </w:r>
      <w:r w:rsidRPr="00D051AD">
        <w:rPr>
          <w:sz w:val="22"/>
          <w:szCs w:val="22"/>
        </w:rPr>
        <w:t>analysis</w:t>
      </w:r>
      <w:r w:rsidRPr="00D051AD">
        <w:rPr>
          <w:rFonts w:eastAsiaTheme="minorEastAsia"/>
          <w:sz w:val="22"/>
          <w:szCs w:val="22"/>
          <w:lang w:eastAsia="ko-KR"/>
        </w:rPr>
        <w:t xml:space="preserve">), the result indicates that the </w:t>
      </w:r>
      <w:r w:rsidRPr="00D051AD">
        <w:rPr>
          <w:rFonts w:eastAsiaTheme="minorEastAsia"/>
          <w:spacing w:val="7"/>
          <w:sz w:val="22"/>
          <w:szCs w:val="22"/>
          <w:lang w:eastAsia="ko-KR"/>
        </w:rPr>
        <w:t>Infection hospitalization risks are higher for vaccines especially for age &gt; 60 after omicron waves</w:t>
      </w:r>
      <w:r w:rsidRPr="00D051AD">
        <w:rPr>
          <w:sz w:val="22"/>
          <w:szCs w:val="22"/>
        </w:rPr>
        <w:t>.</w:t>
      </w:r>
      <w:r w:rsidRPr="00D051AD">
        <w:rPr>
          <w:rFonts w:eastAsiaTheme="minorEastAsia"/>
          <w:sz w:val="22"/>
          <w:szCs w:val="22"/>
          <w:lang w:eastAsia="ko-KR"/>
        </w:rPr>
        <w:t xml:space="preserve"> (Appendix Table S1)</w:t>
      </w:r>
      <w:r w:rsidRPr="00D051AD">
        <w:rPr>
          <w:spacing w:val="7"/>
          <w:sz w:val="22"/>
          <w:szCs w:val="22"/>
        </w:rPr>
        <w:t xml:space="preserve"> </w:t>
      </w:r>
      <w:r w:rsidRPr="00D051AD">
        <w:rPr>
          <w:rFonts w:eastAsiaTheme="minorEastAsia"/>
          <w:sz w:val="22"/>
          <w:szCs w:val="22"/>
          <w:lang w:eastAsia="ko-KR"/>
        </w:rPr>
        <w:t xml:space="preserve">The high risk for older (&gt;60 age) may be due to the decreased immune system efficiency with age (as known as </w:t>
      </w:r>
      <w:proofErr w:type="spellStart"/>
      <w:r w:rsidRPr="00D051AD">
        <w:rPr>
          <w:rFonts w:eastAsiaTheme="minorEastAsia"/>
          <w:sz w:val="22"/>
          <w:szCs w:val="22"/>
          <w:lang w:eastAsia="ko-KR"/>
        </w:rPr>
        <w:t>immunosenescence</w:t>
      </w:r>
      <w:proofErr w:type="spellEnd"/>
      <w:r w:rsidRPr="00D051AD">
        <w:rPr>
          <w:rFonts w:eastAsiaTheme="minorEastAsia"/>
          <w:sz w:val="22"/>
          <w:szCs w:val="22"/>
          <w:lang w:eastAsia="ko-KR"/>
        </w:rPr>
        <w:t xml:space="preserve">). Previous studies showed individuals 60 years or </w:t>
      </w:r>
      <w:r w:rsidRPr="00D051AD">
        <w:rPr>
          <w:rFonts w:eastAsiaTheme="minorEastAsia"/>
          <w:sz w:val="22"/>
          <w:szCs w:val="22"/>
          <w:u w:val="single"/>
          <w:lang w:eastAsia="ko-KR"/>
        </w:rPr>
        <w:t xml:space="preserve">older had lower antibody levels </w:t>
      </w:r>
      <w:r w:rsidRPr="00D051AD">
        <w:rPr>
          <w:rFonts w:eastAsiaTheme="minorEastAsia"/>
          <w:sz w:val="22"/>
          <w:szCs w:val="22"/>
          <w:lang w:eastAsia="ko-KR"/>
        </w:rPr>
        <w:t xml:space="preserve">after vaccination compared to younger participants and increased age has been associated with reduced vaccine responses in </w:t>
      </w:r>
      <w:proofErr w:type="gramStart"/>
      <w:r w:rsidRPr="00D051AD">
        <w:rPr>
          <w:rFonts w:eastAsiaTheme="minorEastAsia"/>
          <w:sz w:val="22"/>
          <w:szCs w:val="22"/>
          <w:lang w:eastAsia="ko-KR"/>
        </w:rPr>
        <w:t>a number of</w:t>
      </w:r>
      <w:proofErr w:type="gramEnd"/>
      <w:r w:rsidRPr="00D051AD">
        <w:rPr>
          <w:rFonts w:eastAsiaTheme="minorEastAsia"/>
          <w:sz w:val="22"/>
          <w:szCs w:val="22"/>
          <w:lang w:eastAsia="ko-KR"/>
        </w:rPr>
        <w:t xml:space="preserve"> studies irrespective of vaccine type. </w:t>
      </w:r>
      <w:r w:rsidRPr="00D051AD">
        <w:rPr>
          <w:sz w:val="22"/>
          <w:szCs w:val="22"/>
        </w:rPr>
        <w:t xml:space="preserve">(BMJ, 2020). </w:t>
      </w:r>
      <w:r w:rsidRPr="00D051AD">
        <w:rPr>
          <w:rFonts w:eastAsiaTheme="minorEastAsia"/>
          <w:sz w:val="22"/>
          <w:szCs w:val="22"/>
          <w:lang w:eastAsia="ko-KR"/>
        </w:rPr>
        <w:t xml:space="preserve">A similar effect has been seen with antibody responses after infection. </w:t>
      </w:r>
      <w:r w:rsidRPr="00964206">
        <w:rPr>
          <w:rFonts w:eastAsiaTheme="minorEastAsia"/>
          <w:sz w:val="22"/>
          <w:szCs w:val="22"/>
          <w:lang w:eastAsia="ko-KR"/>
        </w:rPr>
        <w:t xml:space="preserve">On the other hand, another study showed </w:t>
      </w:r>
      <w:r w:rsidRPr="00D051AD">
        <w:rPr>
          <w:rFonts w:eastAsiaTheme="minorEastAsia"/>
          <w:sz w:val="22"/>
          <w:szCs w:val="22"/>
          <w:u w:val="single"/>
          <w:lang w:eastAsia="ko-KR"/>
        </w:rPr>
        <w:t>no consistent associations of lower antibody levels with age</w:t>
      </w:r>
      <w:r w:rsidRPr="00D051AD">
        <w:rPr>
          <w:rFonts w:eastAsiaTheme="minorEastAsia"/>
          <w:sz w:val="22"/>
          <w:szCs w:val="22"/>
          <w:lang w:eastAsia="ko-KR"/>
        </w:rPr>
        <w:t xml:space="preserve">, but </w:t>
      </w:r>
      <w:r w:rsidRPr="00D051AD">
        <w:rPr>
          <w:rFonts w:eastAsiaTheme="minorEastAsia"/>
          <w:sz w:val="22"/>
          <w:szCs w:val="22"/>
          <w:u w:val="single"/>
          <w:lang w:eastAsia="ko-KR"/>
        </w:rPr>
        <w:t xml:space="preserve">a very strong age gradient </w:t>
      </w:r>
      <w:r w:rsidRPr="00D051AD">
        <w:rPr>
          <w:rFonts w:eastAsiaTheme="minorEastAsia"/>
          <w:sz w:val="22"/>
          <w:szCs w:val="22"/>
          <w:lang w:eastAsia="ko-KR"/>
        </w:rPr>
        <w:t xml:space="preserve">(lower incidence with older age) of post-vaccination infection based on cross-sectional samples from Apr 2021-Jan 2022 before omicron wave. Overall, these results are consistent with the risk of infection being a complex combination of SARS-CoV-2 case prevalence, individual immune response to vaccination, and individual level of exposure. </w:t>
      </w:r>
      <w:r w:rsidRPr="00D051AD">
        <w:rPr>
          <w:w w:val="99"/>
          <w:sz w:val="22"/>
          <w:szCs w:val="22"/>
        </w:rPr>
        <w:t>(</w:t>
      </w:r>
      <w:proofErr w:type="spellStart"/>
      <w:r w:rsidRPr="00D051AD">
        <w:rPr>
          <w:spacing w:val="-1"/>
          <w:w w:val="99"/>
          <w:sz w:val="22"/>
          <w:szCs w:val="22"/>
        </w:rPr>
        <w:t>V</w:t>
      </w:r>
      <w:r w:rsidRPr="00D051AD">
        <w:rPr>
          <w:spacing w:val="-93"/>
          <w:w w:val="99"/>
          <w:sz w:val="22"/>
          <w:szCs w:val="22"/>
        </w:rPr>
        <w:t>a</w:t>
      </w:r>
      <w:r w:rsidRPr="00D051AD">
        <w:rPr>
          <w:spacing w:val="13"/>
          <w:w w:val="99"/>
          <w:sz w:val="22"/>
          <w:szCs w:val="22"/>
        </w:rPr>
        <w:t>¨</w:t>
      </w:r>
      <w:r w:rsidRPr="00D051AD">
        <w:rPr>
          <w:w w:val="99"/>
          <w:sz w:val="22"/>
          <w:szCs w:val="22"/>
        </w:rPr>
        <w:t>is</w:t>
      </w:r>
      <w:r w:rsidRPr="00D051AD">
        <w:rPr>
          <w:spacing w:val="-93"/>
          <w:w w:val="99"/>
          <w:sz w:val="22"/>
          <w:szCs w:val="22"/>
        </w:rPr>
        <w:t>a</w:t>
      </w:r>
      <w:r w:rsidRPr="00D051AD">
        <w:rPr>
          <w:spacing w:val="13"/>
          <w:w w:val="99"/>
          <w:sz w:val="22"/>
          <w:szCs w:val="22"/>
        </w:rPr>
        <w:t>¨</w:t>
      </w:r>
      <w:r w:rsidRPr="00D051AD">
        <w:rPr>
          <w:w w:val="99"/>
          <w:sz w:val="22"/>
          <w:szCs w:val="22"/>
        </w:rPr>
        <w:t>nen</w:t>
      </w:r>
      <w:proofErr w:type="spellEnd"/>
      <w:r w:rsidRPr="00D051AD">
        <w:rPr>
          <w:spacing w:val="-2"/>
          <w:sz w:val="22"/>
          <w:szCs w:val="22"/>
        </w:rPr>
        <w:t xml:space="preserve"> </w:t>
      </w:r>
      <w:r w:rsidRPr="00D051AD">
        <w:rPr>
          <w:w w:val="99"/>
          <w:sz w:val="22"/>
          <w:szCs w:val="22"/>
        </w:rPr>
        <w:t>&amp;</w:t>
      </w:r>
      <w:r w:rsidRPr="00D051AD">
        <w:rPr>
          <w:spacing w:val="-2"/>
          <w:sz w:val="22"/>
          <w:szCs w:val="22"/>
        </w:rPr>
        <w:t xml:space="preserve"> </w:t>
      </w:r>
      <w:proofErr w:type="spellStart"/>
      <w:r w:rsidRPr="00D051AD">
        <w:rPr>
          <w:spacing w:val="-20"/>
          <w:w w:val="99"/>
          <w:sz w:val="22"/>
          <w:szCs w:val="22"/>
        </w:rPr>
        <w:t>T</w:t>
      </w:r>
      <w:r w:rsidRPr="00D051AD">
        <w:rPr>
          <w:w w:val="99"/>
          <w:sz w:val="22"/>
          <w:szCs w:val="22"/>
        </w:rPr>
        <w:t>o</w:t>
      </w:r>
      <w:r w:rsidRPr="00D051AD">
        <w:rPr>
          <w:spacing w:val="-6"/>
          <w:w w:val="99"/>
          <w:sz w:val="22"/>
          <w:szCs w:val="22"/>
        </w:rPr>
        <w:t>i</w:t>
      </w:r>
      <w:r w:rsidRPr="00D051AD">
        <w:rPr>
          <w:spacing w:val="-5"/>
          <w:w w:val="99"/>
          <w:sz w:val="22"/>
          <w:szCs w:val="22"/>
        </w:rPr>
        <w:t>v</w:t>
      </w:r>
      <w:r w:rsidRPr="00D051AD">
        <w:rPr>
          <w:w w:val="99"/>
          <w:sz w:val="22"/>
          <w:szCs w:val="22"/>
        </w:rPr>
        <w:t>onen</w:t>
      </w:r>
      <w:proofErr w:type="spellEnd"/>
      <w:r w:rsidRPr="00D051AD">
        <w:rPr>
          <w:w w:val="99"/>
          <w:sz w:val="22"/>
          <w:szCs w:val="22"/>
        </w:rPr>
        <w:t>,</w:t>
      </w:r>
      <w:r w:rsidRPr="00D051AD">
        <w:rPr>
          <w:spacing w:val="-1"/>
          <w:sz w:val="22"/>
          <w:szCs w:val="22"/>
        </w:rPr>
        <w:t xml:space="preserve"> </w:t>
      </w:r>
      <w:r w:rsidRPr="00D051AD">
        <w:rPr>
          <w:w w:val="99"/>
          <w:sz w:val="22"/>
          <w:szCs w:val="22"/>
        </w:rPr>
        <w:t>2021)</w:t>
      </w:r>
    </w:p>
    <w:p w14:paraId="26D156B2" w14:textId="77777777" w:rsidR="00D3651D" w:rsidRPr="00D051AD" w:rsidRDefault="00D3651D" w:rsidP="00D3651D">
      <w:pPr>
        <w:pStyle w:val="BodyText"/>
        <w:spacing w:line="276" w:lineRule="auto"/>
        <w:jc w:val="both"/>
        <w:rPr>
          <w:rFonts w:eastAsiaTheme="minorEastAsia"/>
          <w:sz w:val="22"/>
          <w:szCs w:val="22"/>
          <w:lang w:eastAsia="ko-KR"/>
        </w:rPr>
      </w:pPr>
    </w:p>
    <w:p w14:paraId="47F7BEE2" w14:textId="77777777"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At the individual level, our results show that the need for and optimal timing of the booster dose might be different in an individual with hybrid immunity compared to an individual with vaccine immunity. This suggests that subsequent doses of vaccination may be delayed by 6 months for individuals with hybrid immunity while still maintaining high levels of protection against severe disease. On a population level, the optimal number of vaccine doses and the inter-dose interval might differ in settings with various degrees of vaccine-induced versus infection-induced immunity. This suggests that the need for further booster doses should take into consideration both vaccine doses and infections </w:t>
      </w:r>
      <w:proofErr w:type="gramStart"/>
      <w:r w:rsidRPr="00D051AD">
        <w:rPr>
          <w:rFonts w:eastAsiaTheme="minorEastAsia"/>
          <w:sz w:val="22"/>
          <w:szCs w:val="22"/>
          <w:lang w:eastAsia="ko-KR"/>
        </w:rPr>
        <w:t>and also</w:t>
      </w:r>
      <w:proofErr w:type="gramEnd"/>
      <w:r w:rsidRPr="00D051AD">
        <w:rPr>
          <w:rFonts w:eastAsiaTheme="minorEastAsia"/>
          <w:sz w:val="22"/>
          <w:szCs w:val="22"/>
          <w:lang w:eastAsia="ko-KR"/>
        </w:rPr>
        <w:t xml:space="preserve"> the clinical characteristics during infections. Further research is warranted to understand the interplay between natural and vaccine-induced immunity, the role of exposure to specific variants and the interval between exposures (vaccination doses and infection). Future follow-up of our population will allow us to assess the risk and severity of breakthrough infections in people with different vaccine responses covering also dynamic aspects of multiple isotype and antigen responses.</w:t>
      </w:r>
      <w:r w:rsidRPr="00D051AD">
        <w:rPr>
          <w:color w:val="221E1F"/>
          <w:sz w:val="22"/>
          <w:szCs w:val="22"/>
        </w:rPr>
        <w:t xml:space="preserve"> Policy makers can use these findings to project population protection from local vaccination and seroprevalence rates, helping to inform the use and timing of COVID-19 vaccination as an important public health tool.</w:t>
      </w:r>
    </w:p>
    <w:p w14:paraId="0662C43D" w14:textId="77777777" w:rsidR="00D3651D" w:rsidRPr="00D051AD" w:rsidRDefault="00D3651D" w:rsidP="00D3651D">
      <w:pPr>
        <w:pStyle w:val="BodyText"/>
        <w:spacing w:line="276" w:lineRule="auto"/>
        <w:rPr>
          <w:rFonts w:eastAsiaTheme="minorEastAsia"/>
          <w:sz w:val="22"/>
          <w:szCs w:val="22"/>
          <w:lang w:eastAsia="ko-KR"/>
        </w:rPr>
      </w:pPr>
    </w:p>
    <w:p w14:paraId="160F0D5D" w14:textId="77777777"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Our study has some limitations. Our analysis did not incorporate the sequence permutations of and timing between vaccination and previous infection for hybrid immunity. Our results (relative protection level of S ab waning of hybrid vs. vaccine group) may thus differ by the subgroup distribution, and calendar time (</w:t>
      </w:r>
      <w:proofErr w:type="gramStart"/>
      <w:r w:rsidRPr="00D051AD">
        <w:rPr>
          <w:rFonts w:eastAsiaTheme="minorEastAsia"/>
          <w:sz w:val="22"/>
          <w:szCs w:val="22"/>
          <w:lang w:eastAsia="ko-KR"/>
        </w:rPr>
        <w:t>variants</w:t>
      </w:r>
      <w:proofErr w:type="gramEnd"/>
      <w:r w:rsidRPr="00D051AD">
        <w:rPr>
          <w:rFonts w:eastAsiaTheme="minorEastAsia"/>
          <w:sz w:val="22"/>
          <w:szCs w:val="22"/>
          <w:lang w:eastAsia="ko-KR"/>
        </w:rPr>
        <w:t xml:space="preserve"> </w:t>
      </w:r>
      <w:r w:rsidRPr="00D051AD">
        <w:rPr>
          <w:rFonts w:eastAsiaTheme="minorEastAsia"/>
          <w:sz w:val="22"/>
          <w:szCs w:val="22"/>
          <w:lang w:eastAsia="ko-KR"/>
        </w:rPr>
        <w:lastRenderedPageBreak/>
        <w:t xml:space="preserve">types and epidemic stage). We measured binding but not neutralizing antibodies, which is arguably a better surrogate of immune protection. The available antibody assays were developed before the </w:t>
      </w:r>
      <w:proofErr w:type="spellStart"/>
      <w:r w:rsidRPr="00D051AD">
        <w:rPr>
          <w:rFonts w:eastAsiaTheme="minorEastAsia"/>
          <w:sz w:val="22"/>
          <w:szCs w:val="22"/>
          <w:lang w:eastAsia="ko-KR"/>
        </w:rPr>
        <w:t>VoCs</w:t>
      </w:r>
      <w:proofErr w:type="spellEnd"/>
      <w:r w:rsidRPr="00D051AD">
        <w:rPr>
          <w:rFonts w:eastAsiaTheme="minorEastAsia"/>
          <w:sz w:val="22"/>
          <w:szCs w:val="22"/>
          <w:lang w:eastAsia="ko-KR"/>
        </w:rPr>
        <w:t xml:space="preserve"> emerged and whether the use of antibody assays based on the original Wuhan-Hu-1 strain accurately captures infections with other variants should be evaluated in ongoing </w:t>
      </w:r>
      <w:proofErr w:type="spellStart"/>
      <w:r w:rsidRPr="00D051AD">
        <w:rPr>
          <w:rFonts w:eastAsiaTheme="minorEastAsia"/>
          <w:sz w:val="22"/>
          <w:szCs w:val="22"/>
          <w:lang w:eastAsia="ko-KR"/>
        </w:rPr>
        <w:t>seroepidemiological</w:t>
      </w:r>
      <w:proofErr w:type="spellEnd"/>
      <w:r w:rsidRPr="00D051AD">
        <w:rPr>
          <w:rFonts w:eastAsiaTheme="minorEastAsia"/>
          <w:sz w:val="22"/>
          <w:szCs w:val="22"/>
          <w:lang w:eastAsia="ko-KR"/>
        </w:rPr>
        <w:t xml:space="preserve"> studies. Potential sources of misclassification bias may include N ab decay, sensitivity/specificity of ab testing, and the timing of the ab testing (relative to infection and vaccination). Unmeasured bias in exposure may be from the observational study in which persons elected to have previous infections and received a vaccine at different times, and there was no control for the probable differences in healthcare–seeking or risk-averse behavior of individual persons. </w:t>
      </w:r>
    </w:p>
    <w:p w14:paraId="5A805AE9" w14:textId="77777777" w:rsidR="00D3651D" w:rsidRPr="00D051AD" w:rsidRDefault="00D3651D" w:rsidP="00D3651D">
      <w:pPr>
        <w:pStyle w:val="BodyText"/>
        <w:spacing w:line="276" w:lineRule="auto"/>
        <w:jc w:val="both"/>
        <w:rPr>
          <w:rFonts w:eastAsiaTheme="minorEastAsia"/>
          <w:sz w:val="22"/>
          <w:szCs w:val="22"/>
          <w:lang w:eastAsia="ko-KR"/>
        </w:rPr>
      </w:pPr>
    </w:p>
    <w:p w14:paraId="092C8A58" w14:textId="77777777" w:rsidR="00D3651D" w:rsidRPr="00D051AD" w:rsidRDefault="00D3651D" w:rsidP="00D3651D">
      <w:pPr>
        <w:pStyle w:val="BodyText"/>
        <w:spacing w:line="276" w:lineRule="auto"/>
        <w:jc w:val="both"/>
        <w:rPr>
          <w:rFonts w:eastAsiaTheme="minorEastAsia"/>
          <w:b/>
          <w:bCs/>
          <w:sz w:val="22"/>
          <w:szCs w:val="22"/>
        </w:rPr>
      </w:pPr>
      <w:r w:rsidRPr="00D051AD">
        <w:rPr>
          <w:rFonts w:eastAsiaTheme="minorEastAsia"/>
          <w:b/>
          <w:bCs/>
          <w:sz w:val="22"/>
          <w:szCs w:val="22"/>
        </w:rPr>
        <w:t>Conclusions</w:t>
      </w:r>
    </w:p>
    <w:p w14:paraId="0CC40273" w14:textId="77777777" w:rsidR="00D3651D" w:rsidRPr="00D051AD" w:rsidRDefault="00D3651D" w:rsidP="00D3651D">
      <w:pPr>
        <w:pStyle w:val="BodyText"/>
        <w:spacing w:line="276" w:lineRule="auto"/>
        <w:jc w:val="both"/>
        <w:rPr>
          <w:rFonts w:eastAsiaTheme="minorEastAsia"/>
          <w:b/>
          <w:bCs/>
          <w:sz w:val="22"/>
          <w:szCs w:val="22"/>
        </w:rPr>
      </w:pPr>
    </w:p>
    <w:p w14:paraId="569EBD42" w14:textId="77777777" w:rsidR="00D3651D" w:rsidRDefault="00D3651D" w:rsidP="00D3651D">
      <w:pPr>
        <w:pStyle w:val="BodyText"/>
        <w:spacing w:line="276" w:lineRule="auto"/>
        <w:rPr>
          <w:rFonts w:eastAsiaTheme="minorEastAsia"/>
          <w:sz w:val="22"/>
          <w:szCs w:val="22"/>
          <w:lang w:eastAsia="ko-KR"/>
        </w:rPr>
      </w:pPr>
      <w:r w:rsidRPr="00D051AD">
        <w:rPr>
          <w:rFonts w:eastAsiaTheme="minorEastAsia"/>
          <w:sz w:val="22"/>
          <w:szCs w:val="22"/>
        </w:rPr>
        <w:t xml:space="preserve">In summary, in this large cohort study, we compared the antibody responses and their infection risks induced by different COVID-19 immunity statuses (hybrid and vaccine) across age groups. We showed that S ab waning and risk infection trends are highly correlated; hybrid group resulted in higher and longer-lasting antibody responses compared to vaccination alone, in the long term as well. </w:t>
      </w:r>
      <w:r w:rsidRPr="00D051AD">
        <w:rPr>
          <w:rFonts w:eastAsiaTheme="minorEastAsia"/>
          <w:sz w:val="22"/>
          <w:szCs w:val="22"/>
          <w:lang w:eastAsia="ko-KR"/>
        </w:rPr>
        <w:t xml:space="preserve"> </w:t>
      </w:r>
      <w:r w:rsidRPr="00D051AD">
        <w:rPr>
          <w:rFonts w:eastAsiaTheme="minorEastAsia"/>
          <w:sz w:val="22"/>
          <w:szCs w:val="22"/>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 In the hybrid group, however, 4th booster vaccines have a significantly higher infection risk than the primary vaccine group, highlighting the continuous vaccine compliance in this group.) Moreover, in addition to the S ab level and infection risk trend over time by age group, we quantified the probability of free from infection risk by age group so it can guide the specific vaccine prioritization and interval for age groups. Taken together, our results indicate that vaccination campaigns should be tailored according to individual immune status, previous history of SARS-CoV-2 infection, and characteristics of the population risk factors (age, gender) to achieve optimal responses and protection across individuals.</w:t>
      </w:r>
      <w:r w:rsidRPr="00D051AD">
        <w:rPr>
          <w:rFonts w:eastAsiaTheme="minorEastAsia"/>
          <w:sz w:val="22"/>
          <w:szCs w:val="22"/>
          <w:lang w:eastAsia="ko-KR"/>
        </w:rPr>
        <w:t xml:space="preserve"> </w:t>
      </w:r>
    </w:p>
    <w:p w14:paraId="1E3102FB" w14:textId="77777777" w:rsidR="004567C4" w:rsidRPr="00D051AD" w:rsidRDefault="004567C4" w:rsidP="00D3651D">
      <w:pPr>
        <w:pStyle w:val="BodyText"/>
        <w:spacing w:line="276" w:lineRule="auto"/>
        <w:rPr>
          <w:rFonts w:eastAsiaTheme="minorEastAsia"/>
          <w:sz w:val="22"/>
          <w:szCs w:val="22"/>
          <w:lang w:eastAsia="ko-KR"/>
        </w:rPr>
      </w:pPr>
    </w:p>
    <w:p w14:paraId="22CF71C2" w14:textId="77777777" w:rsidR="00D3651D" w:rsidRPr="004567C4" w:rsidRDefault="00D3651D" w:rsidP="00D3651D">
      <w:pPr>
        <w:pStyle w:val="Heading1"/>
        <w:spacing w:before="0" w:after="0" w:line="276" w:lineRule="auto"/>
        <w:ind w:left="117"/>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References</w:t>
      </w:r>
    </w:p>
    <w:p w14:paraId="0B4BDEB8"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rPr>
          <w:spacing w:val="-3"/>
        </w:rPr>
        <w:t xml:space="preserve">Khoury, </w:t>
      </w:r>
      <w:r w:rsidRPr="00D051AD">
        <w:t>D. S., et al. (2021). Neutralizing antibody levels are highly predictive of</w:t>
      </w:r>
      <w:r w:rsidRPr="00D051AD">
        <w:rPr>
          <w:spacing w:val="-36"/>
        </w:rPr>
        <w:t xml:space="preserve"> </w:t>
      </w:r>
      <w:r w:rsidRPr="00D051AD">
        <w:rPr>
          <w:spacing w:val="-3"/>
        </w:rPr>
        <w:t xml:space="preserve">immune </w:t>
      </w:r>
      <w:r w:rsidRPr="00D051AD">
        <w:t>protection</w:t>
      </w:r>
      <w:r w:rsidRPr="00D051AD">
        <w:rPr>
          <w:spacing w:val="-18"/>
        </w:rPr>
        <w:t xml:space="preserve"> </w:t>
      </w:r>
      <w:r w:rsidRPr="00D051AD">
        <w:t>from</w:t>
      </w:r>
      <w:r w:rsidRPr="00D051AD">
        <w:rPr>
          <w:spacing w:val="-18"/>
        </w:rPr>
        <w:t xml:space="preserve"> </w:t>
      </w:r>
      <w:r w:rsidRPr="00D051AD">
        <w:t>symptomatic</w:t>
      </w:r>
      <w:r w:rsidRPr="00D051AD">
        <w:rPr>
          <w:spacing w:val="-17"/>
        </w:rPr>
        <w:t xml:space="preserve"> </w:t>
      </w:r>
      <w:r w:rsidRPr="00D051AD">
        <w:rPr>
          <w:spacing w:val="-3"/>
        </w:rPr>
        <w:t>SARS-CoV-2</w:t>
      </w:r>
      <w:r w:rsidRPr="00D051AD">
        <w:rPr>
          <w:spacing w:val="-18"/>
        </w:rPr>
        <w:t xml:space="preserve"> </w:t>
      </w:r>
      <w:r w:rsidRPr="00D051AD">
        <w:t>infection.</w:t>
      </w:r>
      <w:r w:rsidRPr="00D051AD">
        <w:rPr>
          <w:spacing w:val="-17"/>
        </w:rPr>
        <w:t xml:space="preserve"> </w:t>
      </w:r>
      <w:r w:rsidRPr="00D051AD">
        <w:rPr>
          <w:i/>
        </w:rPr>
        <w:t>Nature</w:t>
      </w:r>
      <w:r w:rsidRPr="00D051AD">
        <w:rPr>
          <w:i/>
          <w:spacing w:val="-18"/>
        </w:rPr>
        <w:t xml:space="preserve"> </w:t>
      </w:r>
      <w:r w:rsidRPr="00D051AD">
        <w:rPr>
          <w:i/>
        </w:rPr>
        <w:t>Medicine</w:t>
      </w:r>
      <w:r w:rsidRPr="00D051AD">
        <w:t>,</w:t>
      </w:r>
      <w:r w:rsidRPr="00D051AD">
        <w:rPr>
          <w:spacing w:val="-15"/>
        </w:rPr>
        <w:t xml:space="preserve"> </w:t>
      </w:r>
      <w:r w:rsidRPr="00D051AD">
        <w:t>27(7),</w:t>
      </w:r>
      <w:r w:rsidRPr="00D051AD">
        <w:rPr>
          <w:spacing w:val="-16"/>
        </w:rPr>
        <w:t xml:space="preserve"> </w:t>
      </w:r>
      <w:r w:rsidRPr="00D051AD">
        <w:t>1205-1211.</w:t>
      </w:r>
    </w:p>
    <w:p w14:paraId="78ABF801"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Feng, S., et al. (2021). Correlates of protection against symptomatic and </w:t>
      </w:r>
      <w:r w:rsidRPr="00D051AD">
        <w:rPr>
          <w:spacing w:val="-2"/>
        </w:rPr>
        <w:t xml:space="preserve">asymptomatic </w:t>
      </w:r>
      <w:r w:rsidRPr="00D051AD">
        <w:rPr>
          <w:spacing w:val="-3"/>
        </w:rPr>
        <w:t xml:space="preserve">SARS-CoV-2 </w:t>
      </w:r>
      <w:r w:rsidRPr="00D051AD">
        <w:t xml:space="preserve">infection. </w:t>
      </w:r>
      <w:r w:rsidRPr="00D051AD">
        <w:rPr>
          <w:i/>
        </w:rPr>
        <w:t>Nature Medicine</w:t>
      </w:r>
      <w:r w:rsidRPr="00D051AD">
        <w:t>, 27(11),</w:t>
      </w:r>
      <w:r w:rsidRPr="00D051AD">
        <w:rPr>
          <w:spacing w:val="-5"/>
        </w:rPr>
        <w:t xml:space="preserve"> </w:t>
      </w:r>
      <w:r w:rsidRPr="00D051AD">
        <w:t>2032-2040.</w:t>
      </w:r>
    </w:p>
    <w:p w14:paraId="78564348"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Suthar, M. S., et al. (2021). COVID-19 vaccination-induced immunity: Mechanisms </w:t>
      </w:r>
      <w:r w:rsidRPr="00D051AD">
        <w:rPr>
          <w:spacing w:val="-4"/>
        </w:rPr>
        <w:t xml:space="preserve">and </w:t>
      </w:r>
      <w:r w:rsidRPr="00D051AD">
        <w:t xml:space="preserve">challenges. </w:t>
      </w:r>
      <w:r w:rsidRPr="00D051AD">
        <w:rPr>
          <w:i/>
        </w:rPr>
        <w:t>Cell</w:t>
      </w:r>
      <w:r w:rsidRPr="00D051AD">
        <w:t>, 184(4),</w:t>
      </w:r>
      <w:r w:rsidRPr="00D051AD">
        <w:rPr>
          <w:spacing w:val="-4"/>
        </w:rPr>
        <w:t xml:space="preserve"> </w:t>
      </w:r>
      <w:r w:rsidRPr="00D051AD">
        <w:t>1043-1050.</w:t>
      </w:r>
    </w:p>
    <w:p w14:paraId="20602A5A"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Levin, E. G., et al. (</w:t>
      </w:r>
      <w:r w:rsidRPr="00453DCC">
        <w:t>2021</w:t>
      </w:r>
      <w:r w:rsidRPr="00D051AD">
        <w:t xml:space="preserve">). </w:t>
      </w:r>
      <w:r w:rsidRPr="00D051AD">
        <w:rPr>
          <w:spacing w:val="-4"/>
        </w:rPr>
        <w:t xml:space="preserve">Waning </w:t>
      </w:r>
      <w:r w:rsidRPr="00D051AD">
        <w:t xml:space="preserve">immune humoral response to BNT162b2 </w:t>
      </w:r>
      <w:r w:rsidRPr="00D051AD">
        <w:rPr>
          <w:spacing w:val="-4"/>
        </w:rPr>
        <w:t>COVID-19</w:t>
      </w:r>
      <w:r w:rsidRPr="00D051AD">
        <w:rPr>
          <w:spacing w:val="52"/>
        </w:rPr>
        <w:t xml:space="preserve"> </w:t>
      </w:r>
      <w:r w:rsidRPr="00D051AD">
        <w:t xml:space="preserve">vaccine over 6 months. </w:t>
      </w:r>
      <w:r w:rsidRPr="00D051AD">
        <w:rPr>
          <w:i/>
        </w:rPr>
        <w:t>New England Journal of Medicine</w:t>
      </w:r>
      <w:r w:rsidRPr="00D051AD">
        <w:t>, 385(24),</w:t>
      </w:r>
      <w:r w:rsidRPr="00D051AD">
        <w:rPr>
          <w:spacing w:val="-23"/>
        </w:rPr>
        <w:t xml:space="preserve"> </w:t>
      </w:r>
      <w:r w:rsidRPr="00D051AD">
        <w:t>e84.</w:t>
      </w:r>
    </w:p>
    <w:p w14:paraId="244588A7"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Garcia-Beltran, </w:t>
      </w:r>
      <w:r w:rsidRPr="00D051AD">
        <w:rPr>
          <w:spacing w:val="-11"/>
        </w:rPr>
        <w:t xml:space="preserve">W. </w:t>
      </w:r>
      <w:r w:rsidRPr="00D051AD">
        <w:rPr>
          <w:spacing w:val="-7"/>
        </w:rPr>
        <w:t xml:space="preserve">F., </w:t>
      </w:r>
      <w:r w:rsidRPr="00D051AD">
        <w:t xml:space="preserve">et al. (2021). mRNA-based COVID-19 vaccine boosters </w:t>
      </w:r>
      <w:r w:rsidRPr="00D051AD">
        <w:rPr>
          <w:spacing w:val="-3"/>
        </w:rPr>
        <w:t xml:space="preserve">induce </w:t>
      </w:r>
      <w:r w:rsidRPr="00D051AD">
        <w:t xml:space="preserve">neutralizing immunity against </w:t>
      </w:r>
      <w:r w:rsidRPr="00D051AD">
        <w:rPr>
          <w:spacing w:val="-3"/>
        </w:rPr>
        <w:t xml:space="preserve">SARS-CoV-2 </w:t>
      </w:r>
      <w:r w:rsidRPr="00D051AD">
        <w:t xml:space="preserve">Omicron variant. </w:t>
      </w:r>
      <w:r w:rsidRPr="00D051AD">
        <w:rPr>
          <w:i/>
        </w:rPr>
        <w:t>Cell</w:t>
      </w:r>
      <w:r w:rsidRPr="00D051AD">
        <w:t>, 185(3),</w:t>
      </w:r>
      <w:r w:rsidRPr="00D051AD">
        <w:rPr>
          <w:spacing w:val="-28"/>
        </w:rPr>
        <w:t xml:space="preserve"> </w:t>
      </w:r>
      <w:r w:rsidRPr="00D051AD">
        <w:t>457-466.e4.</w:t>
      </w:r>
    </w:p>
    <w:p w14:paraId="1A982CDC"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Liu, C., et al. (2021). Reduced neutralization of </w:t>
      </w:r>
      <w:r w:rsidRPr="00D051AD">
        <w:rPr>
          <w:spacing w:val="-3"/>
        </w:rPr>
        <w:t xml:space="preserve">SARS-CoV-2 </w:t>
      </w:r>
      <w:r w:rsidRPr="00D051AD">
        <w:t xml:space="preserve">B.1.617 by vaccine </w:t>
      </w:r>
      <w:r w:rsidRPr="00D051AD">
        <w:rPr>
          <w:spacing w:val="-4"/>
        </w:rPr>
        <w:t>and</w:t>
      </w:r>
      <w:r w:rsidRPr="00D051AD">
        <w:rPr>
          <w:spacing w:val="52"/>
        </w:rPr>
        <w:t xml:space="preserve"> </w:t>
      </w:r>
      <w:r w:rsidRPr="00D051AD">
        <w:t xml:space="preserve">convalescent serum. </w:t>
      </w:r>
      <w:r w:rsidRPr="00D051AD">
        <w:rPr>
          <w:i/>
        </w:rPr>
        <w:t>Cell</w:t>
      </w:r>
      <w:r w:rsidRPr="00D051AD">
        <w:t>, 184(16),</w:t>
      </w:r>
      <w:r w:rsidRPr="00D051AD">
        <w:rPr>
          <w:spacing w:val="-7"/>
        </w:rPr>
        <w:t xml:space="preserve"> </w:t>
      </w:r>
      <w:r w:rsidRPr="00D051AD">
        <w:t>4220-4236.e13.</w:t>
      </w:r>
    </w:p>
    <w:p w14:paraId="5AFDC49E"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Earle, K. A., et al. (2021). Evidence for antibody as a protective correlate for </w:t>
      </w:r>
      <w:r w:rsidRPr="00D051AD">
        <w:rPr>
          <w:spacing w:val="-4"/>
        </w:rPr>
        <w:t xml:space="preserve">COVID-19 </w:t>
      </w:r>
      <w:r w:rsidRPr="00D051AD">
        <w:t xml:space="preserve">vaccines. </w:t>
      </w:r>
      <w:r w:rsidRPr="00D051AD">
        <w:rPr>
          <w:i/>
          <w:spacing w:val="-4"/>
        </w:rPr>
        <w:t>Vaccine</w:t>
      </w:r>
      <w:r w:rsidRPr="00D051AD">
        <w:rPr>
          <w:spacing w:val="-4"/>
        </w:rPr>
        <w:t xml:space="preserve">, </w:t>
      </w:r>
      <w:r w:rsidRPr="00D051AD">
        <w:t>39(32), 4423-4428.</w:t>
      </w:r>
    </w:p>
    <w:p w14:paraId="546CD34A"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Dan, J. M., et al. (2021). Immunological memory to </w:t>
      </w:r>
      <w:r w:rsidRPr="00D051AD">
        <w:rPr>
          <w:spacing w:val="-3"/>
        </w:rPr>
        <w:t xml:space="preserve">SARS-CoV-2 </w:t>
      </w:r>
      <w:r w:rsidRPr="00D051AD">
        <w:t xml:space="preserve">assessed for up to 8 months after infection. </w:t>
      </w:r>
      <w:r w:rsidRPr="00D051AD">
        <w:rPr>
          <w:i/>
        </w:rPr>
        <w:t>Science</w:t>
      </w:r>
      <w:r w:rsidRPr="00D051AD">
        <w:t>, 371(6529),</w:t>
      </w:r>
      <w:r w:rsidRPr="00D051AD">
        <w:rPr>
          <w:spacing w:val="-7"/>
        </w:rPr>
        <w:t xml:space="preserve"> </w:t>
      </w:r>
      <w:r w:rsidRPr="00D051AD">
        <w:t>eabf4063.</w:t>
      </w:r>
    </w:p>
    <w:p w14:paraId="6DF29B51" w14:textId="77777777" w:rsidR="00D3651D" w:rsidRPr="00D051AD" w:rsidRDefault="00D3651D" w:rsidP="00D3651D">
      <w:pPr>
        <w:pStyle w:val="ListParagraph"/>
        <w:numPr>
          <w:ilvl w:val="1"/>
          <w:numId w:val="1"/>
        </w:numPr>
        <w:tabs>
          <w:tab w:val="left" w:pos="633"/>
        </w:tabs>
        <w:spacing w:line="276" w:lineRule="auto"/>
        <w:ind w:hanging="397"/>
        <w:contextualSpacing w:val="0"/>
        <w:jc w:val="left"/>
      </w:pPr>
      <w:r w:rsidRPr="00D051AD">
        <w:t xml:space="preserve">Pearce, N. (2016). Analysis of matched case-control studies. </w:t>
      </w:r>
      <w:r w:rsidRPr="00D051AD">
        <w:rPr>
          <w:i/>
        </w:rPr>
        <w:t>BMJ</w:t>
      </w:r>
      <w:r w:rsidRPr="00D051AD">
        <w:t>, 352,</w:t>
      </w:r>
      <w:r w:rsidRPr="00D051AD">
        <w:rPr>
          <w:spacing w:val="-16"/>
        </w:rPr>
        <w:t xml:space="preserve"> </w:t>
      </w:r>
      <w:r w:rsidRPr="00D051AD">
        <w:t>i969.</w:t>
      </w:r>
    </w:p>
    <w:p w14:paraId="0F3D5FAD" w14:textId="77777777" w:rsidR="00D3651D" w:rsidRPr="00D051AD" w:rsidRDefault="00D3651D" w:rsidP="00D3651D">
      <w:pPr>
        <w:pStyle w:val="ListParagraph"/>
        <w:numPr>
          <w:ilvl w:val="1"/>
          <w:numId w:val="1"/>
        </w:numPr>
        <w:tabs>
          <w:tab w:val="left" w:pos="633"/>
        </w:tabs>
        <w:spacing w:line="276" w:lineRule="auto"/>
        <w:ind w:right="795" w:hanging="516"/>
        <w:contextualSpacing w:val="0"/>
        <w:jc w:val="left"/>
      </w:pPr>
      <w:r w:rsidRPr="00D051AD">
        <w:t>Richardson,</w:t>
      </w:r>
      <w:r w:rsidRPr="00D051AD">
        <w:rPr>
          <w:spacing w:val="-7"/>
        </w:rPr>
        <w:t xml:space="preserve"> </w:t>
      </w:r>
      <w:r w:rsidRPr="00D051AD">
        <w:t>D.</w:t>
      </w:r>
      <w:r w:rsidRPr="00D051AD">
        <w:rPr>
          <w:spacing w:val="-8"/>
        </w:rPr>
        <w:t xml:space="preserve"> </w:t>
      </w:r>
      <w:r w:rsidRPr="00D051AD">
        <w:t>B.</w:t>
      </w:r>
      <w:r w:rsidRPr="00D051AD">
        <w:rPr>
          <w:spacing w:val="-7"/>
        </w:rPr>
        <w:t xml:space="preserve"> </w:t>
      </w:r>
      <w:r w:rsidRPr="00D051AD">
        <w:t>(2004).</w:t>
      </w:r>
      <w:r w:rsidRPr="00D051AD">
        <w:rPr>
          <w:spacing w:val="-8"/>
        </w:rPr>
        <w:t xml:space="preserve"> </w:t>
      </w:r>
      <w:r w:rsidRPr="00D051AD">
        <w:t>An</w:t>
      </w:r>
      <w:r w:rsidRPr="00D051AD">
        <w:rPr>
          <w:spacing w:val="-8"/>
        </w:rPr>
        <w:t xml:space="preserve"> </w:t>
      </w:r>
      <w:r w:rsidRPr="00D051AD">
        <w:t>incidence</w:t>
      </w:r>
      <w:r w:rsidRPr="00D051AD">
        <w:rPr>
          <w:spacing w:val="-7"/>
        </w:rPr>
        <w:t xml:space="preserve"> </w:t>
      </w:r>
      <w:r w:rsidRPr="00D051AD">
        <w:t>density</w:t>
      </w:r>
      <w:r w:rsidRPr="00D051AD">
        <w:rPr>
          <w:spacing w:val="-8"/>
        </w:rPr>
        <w:t xml:space="preserve"> </w:t>
      </w:r>
      <w:r w:rsidRPr="00D051AD">
        <w:t>sampling</w:t>
      </w:r>
      <w:r w:rsidRPr="00D051AD">
        <w:rPr>
          <w:spacing w:val="-8"/>
        </w:rPr>
        <w:t xml:space="preserve"> </w:t>
      </w:r>
      <w:r w:rsidRPr="00D051AD">
        <w:t>program</w:t>
      </w:r>
      <w:r w:rsidRPr="00D051AD">
        <w:rPr>
          <w:spacing w:val="-7"/>
        </w:rPr>
        <w:t xml:space="preserve"> </w:t>
      </w:r>
      <w:r w:rsidRPr="00D051AD">
        <w:t>for</w:t>
      </w:r>
      <w:r w:rsidRPr="00D051AD">
        <w:rPr>
          <w:spacing w:val="-8"/>
        </w:rPr>
        <w:t xml:space="preserve"> </w:t>
      </w:r>
      <w:r w:rsidRPr="00D051AD">
        <w:t>nested</w:t>
      </w:r>
      <w:r w:rsidRPr="00D051AD">
        <w:rPr>
          <w:spacing w:val="-8"/>
        </w:rPr>
        <w:t xml:space="preserve"> </w:t>
      </w:r>
      <w:r w:rsidRPr="00D051AD">
        <w:t xml:space="preserve">case-control analyses. </w:t>
      </w:r>
      <w:r w:rsidRPr="00D051AD">
        <w:rPr>
          <w:i/>
        </w:rPr>
        <w:t>Occupational and Environmental Medicine</w:t>
      </w:r>
      <w:r w:rsidRPr="00D051AD">
        <w:t>, 61(12),</w:t>
      </w:r>
      <w:r w:rsidRPr="00D051AD">
        <w:rPr>
          <w:spacing w:val="-12"/>
        </w:rPr>
        <w:t xml:space="preserve"> </w:t>
      </w:r>
      <w:r w:rsidRPr="00D051AD">
        <w:t>e59.</w:t>
      </w:r>
    </w:p>
    <w:p w14:paraId="408C1D08" w14:textId="77777777" w:rsidR="00D3651D" w:rsidRPr="00D051AD" w:rsidRDefault="00D3651D" w:rsidP="00D3651D">
      <w:pPr>
        <w:pStyle w:val="ListParagraph"/>
        <w:numPr>
          <w:ilvl w:val="1"/>
          <w:numId w:val="1"/>
        </w:numPr>
        <w:tabs>
          <w:tab w:val="left" w:pos="633"/>
        </w:tabs>
        <w:spacing w:line="276" w:lineRule="auto"/>
        <w:ind w:right="795" w:hanging="516"/>
        <w:contextualSpacing w:val="0"/>
        <w:jc w:val="left"/>
      </w:pPr>
      <w:r w:rsidRPr="00D051AD">
        <w:lastRenderedPageBreak/>
        <w:t xml:space="preserve">Carstensen, B., Plummer, M., </w:t>
      </w:r>
      <w:proofErr w:type="spellStart"/>
      <w:r w:rsidRPr="00D051AD">
        <w:t>Laara</w:t>
      </w:r>
      <w:proofErr w:type="spellEnd"/>
      <w:r w:rsidRPr="00D051AD">
        <w:t xml:space="preserve">, E., Hills, M. (2021). Epi: A Package for Statistical Analysis in Epidemiology. </w:t>
      </w:r>
      <w:r w:rsidRPr="00D051AD">
        <w:rPr>
          <w:i/>
        </w:rPr>
        <w:t>R package version</w:t>
      </w:r>
      <w:r w:rsidRPr="00D051AD">
        <w:rPr>
          <w:i/>
          <w:spacing w:val="-11"/>
        </w:rPr>
        <w:t xml:space="preserve"> </w:t>
      </w:r>
      <w:r w:rsidRPr="00D051AD">
        <w:rPr>
          <w:i/>
        </w:rPr>
        <w:t>2.44</w:t>
      </w:r>
      <w:r w:rsidRPr="00D051AD">
        <w:t>.</w:t>
      </w:r>
    </w:p>
    <w:p w14:paraId="5A4283B0" w14:textId="77777777" w:rsidR="00D3651D" w:rsidRPr="00D051AD" w:rsidRDefault="00D3651D" w:rsidP="00D3651D">
      <w:pPr>
        <w:spacing w:line="276" w:lineRule="auto"/>
        <w:sectPr w:rsidR="00D3651D" w:rsidRPr="00D051AD" w:rsidSect="00D3651D">
          <w:pgSz w:w="11910" w:h="16840"/>
          <w:pgMar w:top="1440" w:right="1080" w:bottom="1440" w:left="1080" w:header="0" w:footer="840" w:gutter="0"/>
          <w:cols w:space="720"/>
          <w:docGrid w:linePitch="299"/>
        </w:sectPr>
      </w:pPr>
    </w:p>
    <w:p w14:paraId="44C2D13A" w14:textId="77777777" w:rsidR="00D3651D" w:rsidRPr="004567C4" w:rsidRDefault="00D3651D" w:rsidP="00D3651D">
      <w:pPr>
        <w:pStyle w:val="Heading1"/>
        <w:spacing w:before="0" w:after="0" w:line="276" w:lineRule="auto"/>
        <w:ind w:left="117"/>
        <w:rPr>
          <w:rFonts w:ascii="Times New Roman" w:eastAsiaTheme="minorEastAsia" w:hAnsi="Times New Roman" w:cs="Times New Roman"/>
          <w:b/>
          <w:bCs/>
          <w:color w:val="000000" w:themeColor="text1"/>
          <w:sz w:val="22"/>
          <w:szCs w:val="22"/>
          <w:lang w:eastAsia="ko-KR"/>
        </w:rPr>
      </w:pPr>
      <w:r w:rsidRPr="004567C4">
        <w:rPr>
          <w:rFonts w:ascii="Times New Roman" w:hAnsi="Times New Roman" w:cs="Times New Roman"/>
          <w:b/>
          <w:bCs/>
          <w:color w:val="000000" w:themeColor="text1"/>
          <w:sz w:val="22"/>
          <w:szCs w:val="22"/>
        </w:rPr>
        <w:lastRenderedPageBreak/>
        <w:t>Appendix</w:t>
      </w:r>
    </w:p>
    <w:p w14:paraId="00E17331" w14:textId="77777777" w:rsidR="00D3651D" w:rsidRPr="00D051AD" w:rsidRDefault="00D3651D" w:rsidP="00D3651D">
      <w:pPr>
        <w:pStyle w:val="Heading1"/>
        <w:spacing w:before="0" w:after="0" w:line="276" w:lineRule="auto"/>
        <w:ind w:left="117"/>
        <w:rPr>
          <w:rFonts w:ascii="Times New Roman" w:eastAsiaTheme="minorEastAsia" w:hAnsi="Times New Roman" w:cs="Times New Roman"/>
          <w:sz w:val="22"/>
          <w:szCs w:val="22"/>
          <w:lang w:eastAsia="ko-KR"/>
        </w:rPr>
      </w:pPr>
    </w:p>
    <w:p w14:paraId="640CDF76"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51AD">
        <w:rPr>
          <w:sz w:val="22"/>
          <w:szCs w:val="22"/>
        </w:rPr>
        <w:t>All</w:t>
      </w:r>
      <w:r w:rsidRPr="00D051AD">
        <w:rPr>
          <w:spacing w:val="-10"/>
          <w:sz w:val="22"/>
          <w:szCs w:val="22"/>
        </w:rPr>
        <w:t xml:space="preserve"> </w:t>
      </w:r>
      <w:r w:rsidRPr="00D051AD">
        <w:rPr>
          <w:sz w:val="22"/>
          <w:szCs w:val="22"/>
        </w:rPr>
        <w:t>available</w:t>
      </w:r>
      <w:r w:rsidRPr="00D051AD">
        <w:rPr>
          <w:spacing w:val="-11"/>
          <w:sz w:val="22"/>
          <w:szCs w:val="22"/>
        </w:rPr>
        <w:t xml:space="preserve"> </w:t>
      </w:r>
      <w:r w:rsidRPr="00D051AD">
        <w:rPr>
          <w:sz w:val="22"/>
          <w:szCs w:val="22"/>
        </w:rPr>
        <w:t>characteristics</w:t>
      </w:r>
      <w:r w:rsidRPr="00D051AD">
        <w:rPr>
          <w:spacing w:val="-10"/>
          <w:sz w:val="22"/>
          <w:szCs w:val="22"/>
        </w:rPr>
        <w:t xml:space="preserve"> </w:t>
      </w:r>
      <w:r w:rsidRPr="00D051AD">
        <w:rPr>
          <w:sz w:val="22"/>
          <w:szCs w:val="22"/>
        </w:rPr>
        <w:t>were</w:t>
      </w:r>
      <w:r w:rsidRPr="00D051AD">
        <w:rPr>
          <w:spacing w:val="-10"/>
          <w:sz w:val="22"/>
          <w:szCs w:val="22"/>
        </w:rPr>
        <w:t xml:space="preserve"> </w:t>
      </w:r>
      <w:r w:rsidRPr="00D051AD">
        <w:rPr>
          <w:sz w:val="22"/>
          <w:szCs w:val="22"/>
        </w:rPr>
        <w:t xml:space="preserve">converted to categorical variables, with the first subgroup designated as the reference </w:t>
      </w:r>
      <w:r w:rsidRPr="00D051AD">
        <w:rPr>
          <w:spacing w:val="-3"/>
          <w:sz w:val="22"/>
          <w:szCs w:val="22"/>
        </w:rPr>
        <w:t xml:space="preserve">category. </w:t>
      </w:r>
      <w:r w:rsidRPr="00D051AD">
        <w:rPr>
          <w:sz w:val="22"/>
          <w:szCs w:val="22"/>
        </w:rPr>
        <w:t>This al- lowed for the calculation of log odds ratios, where a higher log odds ratio indicates a greater infection</w:t>
      </w:r>
      <w:r w:rsidRPr="00D051AD">
        <w:rPr>
          <w:spacing w:val="-11"/>
          <w:sz w:val="22"/>
          <w:szCs w:val="22"/>
        </w:rPr>
        <w:t xml:space="preserve"> </w:t>
      </w:r>
      <w:r w:rsidRPr="00D051AD">
        <w:rPr>
          <w:sz w:val="22"/>
          <w:szCs w:val="22"/>
        </w:rPr>
        <w:t>risk</w:t>
      </w:r>
      <w:r w:rsidRPr="00D051AD">
        <w:rPr>
          <w:spacing w:val="-11"/>
          <w:sz w:val="22"/>
          <w:szCs w:val="22"/>
        </w:rPr>
        <w:t xml:space="preserve"> </w:t>
      </w:r>
      <w:r w:rsidRPr="00D051AD">
        <w:rPr>
          <w:sz w:val="22"/>
          <w:szCs w:val="22"/>
        </w:rPr>
        <w:t>compared</w:t>
      </w:r>
      <w:r w:rsidRPr="00D051AD">
        <w:rPr>
          <w:spacing w:val="-10"/>
          <w:sz w:val="22"/>
          <w:szCs w:val="22"/>
        </w:rPr>
        <w:t xml:space="preserve"> </w:t>
      </w:r>
      <w:r w:rsidRPr="00D051AD">
        <w:rPr>
          <w:sz w:val="22"/>
          <w:szCs w:val="22"/>
        </w:rPr>
        <w:t>to</w:t>
      </w:r>
      <w:r w:rsidRPr="00D051AD">
        <w:rPr>
          <w:spacing w:val="-11"/>
          <w:sz w:val="22"/>
          <w:szCs w:val="22"/>
        </w:rPr>
        <w:t xml:space="preserve"> </w:t>
      </w:r>
      <w:r w:rsidRPr="00D051AD">
        <w:rPr>
          <w:sz w:val="22"/>
          <w:szCs w:val="22"/>
        </w:rPr>
        <w:t>the</w:t>
      </w:r>
      <w:r w:rsidRPr="00D051AD">
        <w:rPr>
          <w:spacing w:val="-10"/>
          <w:sz w:val="22"/>
          <w:szCs w:val="22"/>
        </w:rPr>
        <w:t xml:space="preserve"> </w:t>
      </w:r>
      <w:r w:rsidRPr="00D051AD">
        <w:rPr>
          <w:sz w:val="22"/>
          <w:szCs w:val="22"/>
        </w:rPr>
        <w:t>reference</w:t>
      </w:r>
      <w:r w:rsidRPr="00D051AD">
        <w:rPr>
          <w:spacing w:val="-11"/>
          <w:sz w:val="22"/>
          <w:szCs w:val="22"/>
        </w:rPr>
        <w:t xml:space="preserve"> </w:t>
      </w:r>
      <w:r w:rsidRPr="00D051AD">
        <w:rPr>
          <w:sz w:val="22"/>
          <w:szCs w:val="22"/>
        </w:rPr>
        <w:t>group.</w:t>
      </w:r>
      <w:r w:rsidRPr="00D051AD">
        <w:rPr>
          <w:spacing w:val="8"/>
          <w:sz w:val="22"/>
          <w:szCs w:val="22"/>
        </w:rPr>
        <w:t xml:space="preserve"> </w:t>
      </w:r>
      <w:r w:rsidRPr="00D051AD">
        <w:rPr>
          <w:sz w:val="22"/>
          <w:szCs w:val="22"/>
        </w:rPr>
        <w:t>A</w:t>
      </w:r>
      <w:r w:rsidRPr="00D051AD">
        <w:rPr>
          <w:spacing w:val="-11"/>
          <w:sz w:val="22"/>
          <w:szCs w:val="22"/>
        </w:rPr>
        <w:t xml:space="preserve"> </w:t>
      </w:r>
      <w:r w:rsidRPr="00D051AD">
        <w:rPr>
          <w:sz w:val="22"/>
          <w:szCs w:val="22"/>
        </w:rPr>
        <w:t>log</w:t>
      </w:r>
      <w:r w:rsidRPr="00D051AD">
        <w:rPr>
          <w:spacing w:val="-10"/>
          <w:sz w:val="22"/>
          <w:szCs w:val="22"/>
        </w:rPr>
        <w:t xml:space="preserve"> </w:t>
      </w:r>
      <w:r w:rsidRPr="00D051AD">
        <w:rPr>
          <w:sz w:val="22"/>
          <w:szCs w:val="22"/>
        </w:rPr>
        <w:t>odds</w:t>
      </w:r>
      <w:r w:rsidRPr="00D051AD">
        <w:rPr>
          <w:spacing w:val="-11"/>
          <w:sz w:val="22"/>
          <w:szCs w:val="22"/>
        </w:rPr>
        <w:t xml:space="preserve"> </w:t>
      </w:r>
      <w:r w:rsidRPr="00D051AD">
        <w:rPr>
          <w:sz w:val="22"/>
          <w:szCs w:val="22"/>
        </w:rPr>
        <w:t>ratio</w:t>
      </w:r>
      <w:r w:rsidRPr="00D051AD">
        <w:rPr>
          <w:spacing w:val="-10"/>
          <w:sz w:val="22"/>
          <w:szCs w:val="22"/>
        </w:rPr>
        <w:t xml:space="preserve"> </w:t>
      </w:r>
      <w:r w:rsidRPr="00D051AD">
        <w:rPr>
          <w:sz w:val="22"/>
          <w:szCs w:val="22"/>
        </w:rPr>
        <w:t>of</w:t>
      </w:r>
      <w:r w:rsidRPr="00D051AD">
        <w:rPr>
          <w:spacing w:val="-11"/>
          <w:sz w:val="22"/>
          <w:szCs w:val="22"/>
        </w:rPr>
        <w:t xml:space="preserve"> </w:t>
      </w:r>
      <w:r w:rsidRPr="00D051AD">
        <w:rPr>
          <w:sz w:val="22"/>
          <w:szCs w:val="22"/>
        </w:rPr>
        <w:t>zero</w:t>
      </w:r>
      <w:r w:rsidRPr="00D051AD">
        <w:rPr>
          <w:spacing w:val="-10"/>
          <w:sz w:val="22"/>
          <w:szCs w:val="22"/>
        </w:rPr>
        <w:t xml:space="preserve"> </w:t>
      </w:r>
      <w:r w:rsidRPr="00D051AD">
        <w:rPr>
          <w:sz w:val="22"/>
          <w:szCs w:val="22"/>
        </w:rPr>
        <w:t>signifies</w:t>
      </w:r>
      <w:r w:rsidRPr="00D051AD">
        <w:rPr>
          <w:spacing w:val="-11"/>
          <w:sz w:val="22"/>
          <w:szCs w:val="22"/>
        </w:rPr>
        <w:t xml:space="preserve"> </w:t>
      </w:r>
      <w:r w:rsidRPr="00D051AD">
        <w:rPr>
          <w:sz w:val="22"/>
          <w:szCs w:val="22"/>
        </w:rPr>
        <w:t>equal</w:t>
      </w:r>
      <w:r w:rsidRPr="00D051AD">
        <w:rPr>
          <w:spacing w:val="-10"/>
          <w:sz w:val="22"/>
          <w:szCs w:val="22"/>
        </w:rPr>
        <w:t xml:space="preserve"> </w:t>
      </w:r>
      <w:r w:rsidRPr="00D051AD">
        <w:rPr>
          <w:sz w:val="22"/>
          <w:szCs w:val="22"/>
        </w:rPr>
        <w:t>risk</w:t>
      </w:r>
      <w:r w:rsidRPr="00D051AD">
        <w:rPr>
          <w:spacing w:val="-11"/>
          <w:sz w:val="22"/>
          <w:szCs w:val="22"/>
        </w:rPr>
        <w:t xml:space="preserve"> </w:t>
      </w:r>
      <w:r w:rsidRPr="00D051AD">
        <w:rPr>
          <w:spacing w:val="-3"/>
          <w:sz w:val="22"/>
          <w:szCs w:val="22"/>
        </w:rPr>
        <w:t xml:space="preserve">with </w:t>
      </w:r>
      <w:r w:rsidRPr="00D051AD">
        <w:rPr>
          <w:sz w:val="22"/>
          <w:szCs w:val="22"/>
        </w:rPr>
        <w:t>the reference</w:t>
      </w:r>
      <w:r w:rsidRPr="00D051AD">
        <w:rPr>
          <w:spacing w:val="-3"/>
          <w:sz w:val="22"/>
          <w:szCs w:val="22"/>
        </w:rPr>
        <w:t xml:space="preserve"> </w:t>
      </w:r>
      <w:r w:rsidRPr="00D051AD">
        <w:rPr>
          <w:sz w:val="22"/>
          <w:szCs w:val="22"/>
        </w:rPr>
        <w:t>group.</w:t>
      </w:r>
    </w:p>
    <w:p w14:paraId="5CE5A8B4"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7185E9D7"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r w:rsidRPr="00D051AD">
        <w:rPr>
          <w:sz w:val="22"/>
          <w:szCs w:val="22"/>
        </w:rPr>
        <w:t xml:space="preserve">Among all characteristics, age and S antibody level demonstrated the most significant association with individual infection status, exhibiting clear patterns and non-overlapping </w:t>
      </w:r>
      <w:r w:rsidRPr="00D051AD">
        <w:rPr>
          <w:spacing w:val="-4"/>
          <w:sz w:val="22"/>
          <w:szCs w:val="22"/>
        </w:rPr>
        <w:t xml:space="preserve">con- </w:t>
      </w:r>
      <w:proofErr w:type="spellStart"/>
      <w:r w:rsidRPr="00D051AD">
        <w:rPr>
          <w:sz w:val="22"/>
          <w:szCs w:val="22"/>
        </w:rPr>
        <w:t>fidence</w:t>
      </w:r>
      <w:proofErr w:type="spellEnd"/>
      <w:r w:rsidRPr="00D051AD">
        <w:rPr>
          <w:sz w:val="22"/>
          <w:szCs w:val="22"/>
        </w:rPr>
        <w:t xml:space="preserve"> intervals. </w:t>
      </w:r>
      <w:r w:rsidRPr="00D051AD">
        <w:rPr>
          <w:rFonts w:eastAsiaTheme="minorEastAsia"/>
          <w:sz w:val="22"/>
          <w:szCs w:val="22"/>
          <w:lang w:eastAsia="ko-KR"/>
        </w:rPr>
        <w:t xml:space="preserve">(Figure S1) </w:t>
      </w:r>
      <w:r w:rsidRPr="00D051AD">
        <w:rPr>
          <w:sz w:val="22"/>
          <w:szCs w:val="22"/>
        </w:rPr>
        <w:t>Notably, the youngest group exhibited the highest individual infection risks. Except for the youngest group, there was a positive correlation between age and infection</w:t>
      </w:r>
      <w:r w:rsidRPr="00D051AD">
        <w:rPr>
          <w:spacing w:val="-14"/>
          <w:sz w:val="22"/>
          <w:szCs w:val="22"/>
        </w:rPr>
        <w:t xml:space="preserve"> </w:t>
      </w:r>
      <w:r w:rsidRPr="00D051AD">
        <w:rPr>
          <w:sz w:val="22"/>
          <w:szCs w:val="22"/>
        </w:rPr>
        <w:t>risk, indicating</w:t>
      </w:r>
      <w:r w:rsidRPr="00D051AD">
        <w:rPr>
          <w:spacing w:val="-7"/>
          <w:sz w:val="22"/>
          <w:szCs w:val="22"/>
        </w:rPr>
        <w:t xml:space="preserve"> </w:t>
      </w:r>
      <w:r w:rsidRPr="00D051AD">
        <w:rPr>
          <w:sz w:val="22"/>
          <w:szCs w:val="22"/>
        </w:rPr>
        <w:t>that</w:t>
      </w:r>
      <w:r w:rsidRPr="00D051AD">
        <w:rPr>
          <w:spacing w:val="-8"/>
          <w:sz w:val="22"/>
          <w:szCs w:val="22"/>
        </w:rPr>
        <w:t xml:space="preserve"> </w:t>
      </w:r>
      <w:r w:rsidRPr="00D051AD">
        <w:rPr>
          <w:sz w:val="22"/>
          <w:szCs w:val="22"/>
        </w:rPr>
        <w:t>risk</w:t>
      </w:r>
      <w:r w:rsidRPr="00D051AD">
        <w:rPr>
          <w:spacing w:val="-6"/>
          <w:sz w:val="22"/>
          <w:szCs w:val="22"/>
        </w:rPr>
        <w:t xml:space="preserve"> </w:t>
      </w:r>
      <w:r w:rsidRPr="00D051AD">
        <w:rPr>
          <w:sz w:val="22"/>
          <w:szCs w:val="22"/>
        </w:rPr>
        <w:t>increases</w:t>
      </w:r>
      <w:r w:rsidRPr="00D051AD">
        <w:rPr>
          <w:spacing w:val="-7"/>
          <w:sz w:val="22"/>
          <w:szCs w:val="22"/>
        </w:rPr>
        <w:t xml:space="preserve"> </w:t>
      </w:r>
      <w:r w:rsidRPr="00D051AD">
        <w:rPr>
          <w:sz w:val="22"/>
          <w:szCs w:val="22"/>
        </w:rPr>
        <w:t>with</w:t>
      </w:r>
      <w:r w:rsidRPr="00D051AD">
        <w:rPr>
          <w:spacing w:val="-7"/>
          <w:sz w:val="22"/>
          <w:szCs w:val="22"/>
        </w:rPr>
        <w:t xml:space="preserve"> </w:t>
      </w:r>
      <w:r w:rsidRPr="00D051AD">
        <w:rPr>
          <w:sz w:val="22"/>
          <w:szCs w:val="22"/>
        </w:rPr>
        <w:t>age.</w:t>
      </w:r>
      <w:r w:rsidRPr="00D051AD">
        <w:rPr>
          <w:spacing w:val="9"/>
          <w:sz w:val="22"/>
          <w:szCs w:val="22"/>
        </w:rPr>
        <w:t xml:space="preserve"> </w:t>
      </w:r>
      <w:proofErr w:type="gramStart"/>
      <w:r w:rsidRPr="00D051AD">
        <w:rPr>
          <w:rFonts w:eastAsiaTheme="minorEastAsia"/>
          <w:sz w:val="22"/>
          <w:szCs w:val="22"/>
          <w:lang w:eastAsia="ko-KR"/>
        </w:rPr>
        <w:t>In order to</w:t>
      </w:r>
      <w:proofErr w:type="gramEnd"/>
      <w:r w:rsidRPr="00D051AD">
        <w:rPr>
          <w:rFonts w:eastAsiaTheme="minorEastAsia"/>
          <w:sz w:val="22"/>
          <w:szCs w:val="22"/>
          <w:lang w:eastAsia="ko-KR"/>
        </w:rPr>
        <w:t xml:space="preserve"> determine the risk </w:t>
      </w:r>
      <w:r w:rsidRPr="00D051AD">
        <w:rPr>
          <w:sz w:val="22"/>
          <w:szCs w:val="22"/>
        </w:rPr>
        <w:t>probability of remaining infection-free</w:t>
      </w:r>
      <w:r w:rsidRPr="00D051AD">
        <w:rPr>
          <w:rFonts w:eastAsiaTheme="minorEastAsia"/>
          <w:sz w:val="22"/>
          <w:szCs w:val="22"/>
          <w:lang w:eastAsia="ko-KR"/>
        </w:rPr>
        <w:t xml:space="preserve"> by </w:t>
      </w:r>
      <w:r w:rsidRPr="00D051AD">
        <w:rPr>
          <w:sz w:val="22"/>
          <w:szCs w:val="22"/>
        </w:rPr>
        <w:t>S antibody levels</w:t>
      </w:r>
      <w:r w:rsidRPr="00D051AD">
        <w:rPr>
          <w:rFonts w:eastAsiaTheme="minorEastAsia"/>
          <w:sz w:val="22"/>
          <w:szCs w:val="22"/>
          <w:lang w:eastAsia="ko-KR"/>
        </w:rPr>
        <w:t xml:space="preserve"> across age groups, we constructed l</w:t>
      </w:r>
      <w:r w:rsidRPr="00D051AD">
        <w:rPr>
          <w:sz w:val="22"/>
          <w:szCs w:val="22"/>
        </w:rPr>
        <w:t xml:space="preserve">ogistic </w:t>
      </w:r>
      <w:r w:rsidRPr="00D051AD">
        <w:rPr>
          <w:spacing w:val="-3"/>
          <w:sz w:val="22"/>
          <w:szCs w:val="22"/>
        </w:rPr>
        <w:t>regression</w:t>
      </w:r>
      <w:r w:rsidRPr="00D051AD">
        <w:rPr>
          <w:rFonts w:eastAsiaTheme="minorEastAsia"/>
          <w:spacing w:val="-3"/>
          <w:sz w:val="22"/>
          <w:szCs w:val="22"/>
          <w:lang w:eastAsia="ko-KR"/>
        </w:rPr>
        <w:t xml:space="preserve"> including </w:t>
      </w:r>
      <w:r w:rsidRPr="00D051AD">
        <w:rPr>
          <w:rFonts w:eastAsiaTheme="minorEastAsia"/>
          <w:sz w:val="22"/>
          <w:szCs w:val="22"/>
          <w:lang w:eastAsia="ko-KR"/>
        </w:rPr>
        <w:t>age only based on the finding. (Figure 4 and S2)</w:t>
      </w:r>
    </w:p>
    <w:p w14:paraId="3968BEE3"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026FE5F5" w14:textId="77777777" w:rsidR="00D3651D" w:rsidRPr="00D051AD" w:rsidRDefault="00D3651D" w:rsidP="00D3651D">
      <w:pPr>
        <w:pStyle w:val="BodyText"/>
        <w:spacing w:line="276" w:lineRule="auto"/>
        <w:ind w:left="0"/>
        <w:rPr>
          <w:sz w:val="22"/>
          <w:szCs w:val="22"/>
        </w:rPr>
      </w:pPr>
      <w:r w:rsidRPr="00D051AD">
        <w:rPr>
          <w:noProof/>
          <w:sz w:val="22"/>
          <w:szCs w:val="22"/>
        </w:rPr>
        <w:drawing>
          <wp:anchor distT="0" distB="0" distL="0" distR="0" simplePos="0" relativeHeight="251663360" behindDoc="0" locked="0" layoutInCell="1" allowOverlap="1" wp14:anchorId="3AAE6307" wp14:editId="4F19E45A">
            <wp:simplePos x="0" y="0"/>
            <wp:positionH relativeFrom="page">
              <wp:posOffset>1266825</wp:posOffset>
            </wp:positionH>
            <wp:positionV relativeFrom="paragraph">
              <wp:posOffset>90805</wp:posOffset>
            </wp:positionV>
            <wp:extent cx="5311775" cy="2332355"/>
            <wp:effectExtent l="0" t="0" r="0" b="0"/>
            <wp:wrapTopAndBottom/>
            <wp:docPr id="13" name="image7.jpeg"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graph with lines and numbers&#10;&#10;Description automatically generated"/>
                    <pic:cNvPicPr/>
                  </pic:nvPicPr>
                  <pic:blipFill>
                    <a:blip r:embed="rId18" cstate="print"/>
                    <a:stretch>
                      <a:fillRect/>
                    </a:stretch>
                  </pic:blipFill>
                  <pic:spPr>
                    <a:xfrm>
                      <a:off x="0" y="0"/>
                      <a:ext cx="5311775" cy="2332355"/>
                    </a:xfrm>
                    <a:prstGeom prst="rect">
                      <a:avLst/>
                    </a:prstGeom>
                  </pic:spPr>
                </pic:pic>
              </a:graphicData>
            </a:graphic>
            <wp14:sizeRelH relativeFrom="margin">
              <wp14:pctWidth>0</wp14:pctWidth>
            </wp14:sizeRelH>
            <wp14:sizeRelV relativeFrom="margin">
              <wp14:pctHeight>0</wp14:pctHeight>
            </wp14:sizeRelV>
          </wp:anchor>
        </w:drawing>
      </w:r>
    </w:p>
    <w:p w14:paraId="19D5932A" w14:textId="77777777" w:rsidR="00D3651D" w:rsidRPr="00D051AD" w:rsidRDefault="00D3651D" w:rsidP="00D3651D">
      <w:pPr>
        <w:pStyle w:val="ListParagraph"/>
        <w:numPr>
          <w:ilvl w:val="2"/>
          <w:numId w:val="2"/>
        </w:numPr>
        <w:tabs>
          <w:tab w:val="left" w:pos="3835"/>
        </w:tabs>
        <w:spacing w:line="276" w:lineRule="auto"/>
        <w:ind w:left="3834" w:hanging="310"/>
        <w:contextualSpacing w:val="0"/>
      </w:pPr>
      <w:r w:rsidRPr="00D051AD">
        <w:t>Hybrid-induced</w:t>
      </w:r>
      <w:r w:rsidRPr="00D051AD">
        <w:rPr>
          <w:spacing w:val="-17"/>
        </w:rPr>
        <w:t xml:space="preserve"> </w:t>
      </w:r>
      <w:r w:rsidRPr="00D051AD">
        <w:t>group</w:t>
      </w:r>
    </w:p>
    <w:p w14:paraId="317B7DB7"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69929C96" w14:textId="77777777" w:rsidR="00D3651D" w:rsidRPr="00D051AD" w:rsidRDefault="00D3651D" w:rsidP="00D3651D">
      <w:pPr>
        <w:pStyle w:val="BodyText"/>
        <w:spacing w:line="276" w:lineRule="auto"/>
        <w:ind w:left="0"/>
        <w:rPr>
          <w:b/>
          <w:sz w:val="22"/>
          <w:szCs w:val="22"/>
        </w:rPr>
      </w:pPr>
    </w:p>
    <w:p w14:paraId="388E0ECB" w14:textId="77777777" w:rsidR="00D3651D" w:rsidRPr="00D051AD" w:rsidRDefault="00D3651D" w:rsidP="00D3651D">
      <w:pPr>
        <w:pStyle w:val="BodyText"/>
        <w:spacing w:line="276" w:lineRule="auto"/>
        <w:ind w:left="683"/>
        <w:rPr>
          <w:sz w:val="22"/>
          <w:szCs w:val="22"/>
        </w:rPr>
      </w:pPr>
      <w:r w:rsidRPr="00D051AD">
        <w:rPr>
          <w:noProof/>
          <w:sz w:val="22"/>
          <w:szCs w:val="22"/>
        </w:rPr>
        <w:drawing>
          <wp:inline distT="0" distB="0" distL="0" distR="0" wp14:anchorId="2F5A1E3F" wp14:editId="2F4730A7">
            <wp:extent cx="5359271" cy="2463694"/>
            <wp:effectExtent l="0" t="0" r="0" b="0"/>
            <wp:docPr id="11" name="image6.jpeg"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graph with black and white lines&#10;&#10;Description automatically generated"/>
                    <pic:cNvPicPr/>
                  </pic:nvPicPr>
                  <pic:blipFill>
                    <a:blip r:embed="rId19" cstate="print"/>
                    <a:stretch>
                      <a:fillRect/>
                    </a:stretch>
                  </pic:blipFill>
                  <pic:spPr>
                    <a:xfrm>
                      <a:off x="0" y="0"/>
                      <a:ext cx="5368368" cy="2467876"/>
                    </a:xfrm>
                    <a:prstGeom prst="rect">
                      <a:avLst/>
                    </a:prstGeom>
                  </pic:spPr>
                </pic:pic>
              </a:graphicData>
            </a:graphic>
          </wp:inline>
        </w:drawing>
      </w:r>
    </w:p>
    <w:p w14:paraId="3CDA5597" w14:textId="77777777" w:rsidR="00D3651D" w:rsidRPr="00D051AD" w:rsidRDefault="00D3651D" w:rsidP="00D3651D">
      <w:pPr>
        <w:pStyle w:val="ListParagraph"/>
        <w:numPr>
          <w:ilvl w:val="2"/>
          <w:numId w:val="2"/>
        </w:numPr>
        <w:tabs>
          <w:tab w:val="left" w:pos="3793"/>
        </w:tabs>
        <w:spacing w:line="276" w:lineRule="auto"/>
        <w:ind w:hanging="298"/>
        <w:contextualSpacing w:val="0"/>
      </w:pPr>
      <w:r w:rsidRPr="00D051AD">
        <w:rPr>
          <w:w w:val="95"/>
        </w:rPr>
        <w:t>Vaccine-</w:t>
      </w:r>
      <w:proofErr w:type="gramStart"/>
      <w:r w:rsidRPr="00D051AD">
        <w:rPr>
          <w:w w:val="95"/>
        </w:rPr>
        <w:t xml:space="preserve">induced </w:t>
      </w:r>
      <w:r w:rsidRPr="00D051AD">
        <w:rPr>
          <w:spacing w:val="8"/>
          <w:w w:val="95"/>
        </w:rPr>
        <w:t xml:space="preserve"> </w:t>
      </w:r>
      <w:r w:rsidRPr="00D051AD">
        <w:rPr>
          <w:w w:val="95"/>
        </w:rPr>
        <w:t>group</w:t>
      </w:r>
      <w:proofErr w:type="gramEnd"/>
    </w:p>
    <w:p w14:paraId="1F126583" w14:textId="77777777" w:rsidR="00D3651D" w:rsidRPr="00D051AD" w:rsidRDefault="00D3651D" w:rsidP="00D3651D">
      <w:pPr>
        <w:tabs>
          <w:tab w:val="left" w:pos="3793"/>
        </w:tabs>
        <w:spacing w:line="276" w:lineRule="auto"/>
        <w:rPr>
          <w:rFonts w:eastAsiaTheme="minorEastAsia"/>
          <w:lang w:eastAsia="ko-KR"/>
        </w:rPr>
      </w:pPr>
    </w:p>
    <w:p w14:paraId="1FCD1C66" w14:textId="77777777" w:rsidR="00D3651D" w:rsidRPr="00D051AD" w:rsidRDefault="00D3651D" w:rsidP="00D3651D">
      <w:pPr>
        <w:tabs>
          <w:tab w:val="left" w:pos="3793"/>
        </w:tabs>
        <w:spacing w:line="276" w:lineRule="auto"/>
      </w:pPr>
      <w:commentRangeStart w:id="12"/>
      <w:r w:rsidRPr="00D051AD">
        <w:lastRenderedPageBreak/>
        <w:t xml:space="preserve">Figure </w:t>
      </w:r>
      <w:r w:rsidRPr="00D051AD">
        <w:rPr>
          <w:rFonts w:eastAsiaTheme="minorEastAsia"/>
          <w:lang w:eastAsia="ko-KR"/>
        </w:rPr>
        <w:t>S1</w:t>
      </w:r>
      <w:r w:rsidRPr="00D051AD">
        <w:t>: Forest plot displaying characteristic patterns: Top - Vaccine-induced group; Bottom - Hybrid-induced group</w:t>
      </w:r>
      <w:commentRangeEnd w:id="12"/>
      <w:r w:rsidRPr="00D051AD">
        <w:rPr>
          <w:rStyle w:val="CommentReference"/>
          <w:sz w:val="22"/>
          <w:szCs w:val="22"/>
        </w:rPr>
        <w:commentReference w:id="12"/>
      </w:r>
    </w:p>
    <w:p w14:paraId="1AC72550" w14:textId="77777777" w:rsidR="00D3651D" w:rsidRPr="00D051AD" w:rsidRDefault="00D3651D" w:rsidP="00D3651D">
      <w:pPr>
        <w:pStyle w:val="BodyText"/>
        <w:spacing w:line="276" w:lineRule="auto"/>
        <w:ind w:left="0"/>
        <w:rPr>
          <w:b/>
          <w:sz w:val="22"/>
          <w:szCs w:val="22"/>
        </w:rPr>
      </w:pPr>
      <w:r w:rsidRPr="00D051AD">
        <w:rPr>
          <w:noProof/>
          <w:sz w:val="22"/>
          <w:szCs w:val="22"/>
        </w:rPr>
        <w:drawing>
          <wp:anchor distT="0" distB="0" distL="0" distR="0" simplePos="0" relativeHeight="251659264" behindDoc="0" locked="0" layoutInCell="1" allowOverlap="1" wp14:anchorId="5922415F" wp14:editId="6A35A971">
            <wp:simplePos x="0" y="0"/>
            <wp:positionH relativeFrom="page">
              <wp:posOffset>999169</wp:posOffset>
            </wp:positionH>
            <wp:positionV relativeFrom="paragraph">
              <wp:posOffset>139953</wp:posOffset>
            </wp:positionV>
            <wp:extent cx="5549741" cy="3411759"/>
            <wp:effectExtent l="0" t="0" r="0" b="0"/>
            <wp:wrapTopAndBottom/>
            <wp:docPr id="17" name="image9.jpeg" descr="A graph showing a number of patients with vacc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graph showing a number of patients with vaccine&#10;&#10;Description automatically generated with medium confidence"/>
                    <pic:cNvPicPr/>
                  </pic:nvPicPr>
                  <pic:blipFill>
                    <a:blip r:embed="rId20" cstate="print"/>
                    <a:stretch>
                      <a:fillRect/>
                    </a:stretch>
                  </pic:blipFill>
                  <pic:spPr>
                    <a:xfrm>
                      <a:off x="0" y="0"/>
                      <a:ext cx="5549741" cy="3411759"/>
                    </a:xfrm>
                    <a:prstGeom prst="rect">
                      <a:avLst/>
                    </a:prstGeom>
                  </pic:spPr>
                </pic:pic>
              </a:graphicData>
            </a:graphic>
          </wp:anchor>
        </w:drawing>
      </w:r>
    </w:p>
    <w:p w14:paraId="64EF20A3" w14:textId="77777777" w:rsidR="00D3651D" w:rsidRPr="00D051AD" w:rsidRDefault="00D3651D" w:rsidP="00D3651D">
      <w:pPr>
        <w:pStyle w:val="BodyText"/>
        <w:spacing w:line="276" w:lineRule="auto"/>
        <w:ind w:left="2153"/>
        <w:rPr>
          <w:rFonts w:eastAsiaTheme="minorEastAsia"/>
          <w:sz w:val="22"/>
          <w:szCs w:val="22"/>
          <w:lang w:eastAsia="ko-KR"/>
        </w:rPr>
      </w:pPr>
      <w:commentRangeStart w:id="13"/>
      <w:r w:rsidRPr="00D051AD">
        <w:rPr>
          <w:sz w:val="22"/>
          <w:szCs w:val="22"/>
        </w:rPr>
        <w:t xml:space="preserve">Figure </w:t>
      </w:r>
      <w:r w:rsidRPr="00D051AD">
        <w:rPr>
          <w:rFonts w:eastAsiaTheme="minorEastAsia"/>
          <w:sz w:val="22"/>
          <w:szCs w:val="22"/>
          <w:lang w:eastAsia="ko-KR"/>
        </w:rPr>
        <w:t>S2</w:t>
      </w:r>
      <w:r w:rsidRPr="00D051AD">
        <w:rPr>
          <w:sz w:val="22"/>
          <w:szCs w:val="22"/>
        </w:rPr>
        <w:t>: ROC curves for logistic regression models</w:t>
      </w:r>
      <w:commentRangeEnd w:id="13"/>
      <w:r w:rsidRPr="00D051AD">
        <w:rPr>
          <w:rStyle w:val="CommentReference"/>
          <w:sz w:val="22"/>
          <w:szCs w:val="22"/>
        </w:rPr>
        <w:commentReference w:id="13"/>
      </w:r>
    </w:p>
    <w:p w14:paraId="44C3FE5B" w14:textId="77777777" w:rsidR="00D3651D" w:rsidRDefault="00D3651D" w:rsidP="00D3651D">
      <w:pPr>
        <w:pStyle w:val="BodyText"/>
        <w:spacing w:line="276" w:lineRule="auto"/>
        <w:ind w:left="2153"/>
        <w:rPr>
          <w:rFonts w:eastAsiaTheme="minorEastAsia"/>
          <w:sz w:val="22"/>
          <w:szCs w:val="22"/>
          <w:lang w:eastAsia="ko-KR"/>
        </w:rPr>
      </w:pPr>
    </w:p>
    <w:p w14:paraId="2E01CD8A" w14:textId="77777777" w:rsidR="00D3651D" w:rsidRPr="00D051AD" w:rsidRDefault="00D3651D" w:rsidP="00D3651D">
      <w:pPr>
        <w:pStyle w:val="BodyText"/>
        <w:spacing w:line="276" w:lineRule="auto"/>
        <w:ind w:left="2153"/>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B26D6C"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B26D6C" w:rsidRDefault="00D3651D" w:rsidP="00AA59CA">
            <w:pPr>
              <w:pStyle w:val="BodyText"/>
              <w:spacing w:line="276" w:lineRule="auto"/>
              <w:jc w:val="both"/>
              <w:rPr>
                <w:rFonts w:eastAsiaTheme="minorEastAsia"/>
                <w:sz w:val="20"/>
                <w:szCs w:val="20"/>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Total</w:t>
            </w:r>
          </w:p>
        </w:tc>
      </w:tr>
      <w:tr w:rsidR="00D3651D" w:rsidRPr="00B26D6C"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7</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14</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45</w:t>
            </w:r>
          </w:p>
        </w:tc>
      </w:tr>
      <w:tr w:rsidR="00D3651D" w:rsidRPr="00B26D6C"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r>
      <w:tr w:rsidR="00D3651D" w:rsidRPr="00B26D6C"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r>
      <w:tr w:rsidR="00D3651D" w:rsidRPr="00B26D6C"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44</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92</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176</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238</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550</w:t>
            </w:r>
          </w:p>
        </w:tc>
      </w:tr>
      <w:tr w:rsidR="00D3651D" w:rsidRPr="00B26D6C"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10</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15</w:t>
            </w:r>
          </w:p>
        </w:tc>
      </w:tr>
      <w:tr w:rsidR="00D3651D" w:rsidRPr="00B26D6C"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0.03</w:t>
            </w:r>
          </w:p>
        </w:tc>
      </w:tr>
    </w:tbl>
    <w:p w14:paraId="75E1E1FC" w14:textId="77777777" w:rsidR="00D3651D" w:rsidRPr="00D051AD" w:rsidRDefault="00D3651D" w:rsidP="00D3651D">
      <w:pPr>
        <w:pStyle w:val="BodyText"/>
        <w:spacing w:line="276" w:lineRule="auto"/>
        <w:jc w:val="both"/>
        <w:rPr>
          <w:rFonts w:eastAsiaTheme="minorEastAsia"/>
          <w:sz w:val="22"/>
          <w:szCs w:val="22"/>
          <w:lang w:eastAsia="ko-KR"/>
        </w:rPr>
      </w:pPr>
    </w:p>
    <w:p w14:paraId="75A775A8" w14:textId="77777777" w:rsidR="00D3651D" w:rsidRPr="00D051AD" w:rsidRDefault="00D3651D" w:rsidP="00D3651D">
      <w:pPr>
        <w:pStyle w:val="BodyText"/>
        <w:spacing w:line="276" w:lineRule="auto"/>
        <w:jc w:val="center"/>
        <w:rPr>
          <w:rFonts w:eastAsiaTheme="minorEastAsia"/>
          <w:sz w:val="22"/>
          <w:szCs w:val="22"/>
          <w:lang w:eastAsia="ko-KR"/>
        </w:rPr>
      </w:pPr>
      <w:r w:rsidRPr="00D051AD">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D3651D">
      <w:pgSz w:w="11910" w:h="16840"/>
      <w:pgMar w:top="1300" w:right="620" w:bottom="1040" w:left="1300" w:header="0" w:footer="84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oungji Jo" w:date="2024-07-26T11:34:00Z" w:initials="YJ">
    <w:p w14:paraId="3EA42F08" w14:textId="77777777" w:rsidR="00D3651D" w:rsidRDefault="00D3651D" w:rsidP="00D3651D">
      <w:pPr>
        <w:pStyle w:val="CommentText"/>
      </w:pPr>
      <w:r>
        <w:rPr>
          <w:rStyle w:val="CommentReference"/>
        </w:rPr>
        <w:annotationRef/>
      </w:r>
      <w:r>
        <w:t>Add S ab level group here into the second last row (before the 1st-2</w:t>
      </w:r>
      <w:r>
        <w:rPr>
          <w:vertAlign w:val="superscript"/>
        </w:rPr>
        <w:t>nd</w:t>
      </w:r>
      <w:r>
        <w:t xml:space="preserve"> events)</w:t>
      </w:r>
    </w:p>
  </w:comment>
  <w:comment w:id="3" w:author="Youngji Jo" w:date="2024-07-24T17:25:00Z" w:initials="YJ">
    <w:p w14:paraId="3BAD152E" w14:textId="77777777" w:rsidR="00D3651D" w:rsidRDefault="00D3651D" w:rsidP="00D3651D">
      <w:pPr>
        <w:pStyle w:val="CommentText"/>
      </w:pPr>
      <w:r>
        <w:rPr>
          <w:rStyle w:val="CommentReference"/>
        </w:rPr>
        <w:annotationRef/>
      </w:r>
      <w:r>
        <w:t>Excluding only vaccination BEFORE infection</w:t>
      </w:r>
    </w:p>
  </w:comment>
  <w:comment w:id="4" w:author="Youngji Jo" w:date="2024-07-24T18:13:00Z" w:initials="YJ">
    <w:p w14:paraId="7A12664A" w14:textId="77777777" w:rsidR="00D3651D" w:rsidRDefault="00D3651D" w:rsidP="00D3651D">
      <w:pPr>
        <w:pStyle w:val="CommentText"/>
      </w:pPr>
      <w:r>
        <w:rPr>
          <w:rStyle w:val="CommentReference"/>
        </w:rPr>
        <w:annotationRef/>
      </w:r>
      <w:r>
        <w:t>Correlation tables for three approaches</w:t>
      </w:r>
    </w:p>
    <w:p w14:paraId="2EEB2A42" w14:textId="77777777" w:rsidR="00D3651D" w:rsidRDefault="00D3651D" w:rsidP="00D3651D">
      <w:pPr>
        <w:pStyle w:val="CommentText"/>
      </w:pPr>
      <w:r>
        <w:t>Potential regression models</w:t>
      </w:r>
    </w:p>
  </w:comment>
  <w:comment w:id="7" w:author="Youngji Jo" w:date="2024-07-26T10:11:00Z" w:initials="YJ">
    <w:p w14:paraId="0EC0E5BE" w14:textId="77777777" w:rsidR="00D3651D" w:rsidRDefault="00D3651D" w:rsidP="00D3651D">
      <w:pPr>
        <w:pStyle w:val="CommentText"/>
      </w:pPr>
      <w:r>
        <w:rPr>
          <w:rStyle w:val="CommentReference"/>
        </w:rPr>
        <w:annotationRef/>
      </w:r>
      <w:r>
        <w:t xml:space="preserve">Please make the legend for hybrid in the first row and vaccine in the second row. </w:t>
      </w:r>
    </w:p>
    <w:p w14:paraId="193A739B" w14:textId="77777777" w:rsidR="00D3651D" w:rsidRDefault="00D3651D" w:rsidP="00D3651D">
      <w:pPr>
        <w:pStyle w:val="CommentText"/>
      </w:pPr>
      <w:r>
        <w:t xml:space="preserve">For the table, please increase the text sizes and make the first characters as capital. </w:t>
      </w:r>
    </w:p>
    <w:p w14:paraId="7271C305" w14:textId="77777777" w:rsidR="00D3651D" w:rsidRDefault="00D3651D" w:rsidP="00D3651D">
      <w:pPr>
        <w:pStyle w:val="CommentText"/>
      </w:pPr>
    </w:p>
    <w:p w14:paraId="11537C1F" w14:textId="77777777" w:rsidR="00D3651D" w:rsidRDefault="00D3651D" w:rsidP="00D3651D">
      <w:pPr>
        <w:pStyle w:val="CommentText"/>
      </w:pPr>
      <w:r>
        <w:t>The colors between &lt;20 and 20-40 for hybrid is not clear. Make the brightness different enough each other</w:t>
      </w:r>
    </w:p>
  </w:comment>
  <w:comment w:id="8" w:author="Youngji Jo" w:date="2024-07-26T10:12:00Z" w:initials="YJ">
    <w:p w14:paraId="4ACD7AEA" w14:textId="77777777" w:rsidR="00D3651D" w:rsidRDefault="00D3651D" w:rsidP="00D3651D">
      <w:pPr>
        <w:pStyle w:val="CommentText"/>
      </w:pPr>
      <w:r>
        <w:rPr>
          <w:rStyle w:val="CommentReference"/>
        </w:rPr>
        <w:annotationRef/>
      </w:r>
      <w:r>
        <w:t>For the survival plot, make the Y axis min as 0.3  or 0.4</w:t>
      </w:r>
    </w:p>
  </w:comment>
  <w:comment w:id="10" w:author="Youngji Jo" w:date="2024-07-26T13:49:00Z" w:initials="YJ">
    <w:p w14:paraId="47F1520D" w14:textId="77777777" w:rsidR="00D3651D" w:rsidRDefault="00D3651D" w:rsidP="00D3651D">
      <w:pPr>
        <w:pStyle w:val="CommentText"/>
      </w:pPr>
      <w:r>
        <w:rPr>
          <w:rStyle w:val="CommentReference"/>
        </w:rPr>
        <w:annotationRef/>
      </w:r>
      <w:r>
        <w:t>Just show one legend.</w:t>
      </w:r>
    </w:p>
  </w:comment>
  <w:comment w:id="12" w:author="Youngji Jo" w:date="2024-07-26T14:19:00Z" w:initials="YJ">
    <w:p w14:paraId="0FE59DE8" w14:textId="77777777" w:rsidR="00D3651D" w:rsidRDefault="00D3651D" w:rsidP="00D3651D">
      <w:pPr>
        <w:pStyle w:val="CommentText"/>
      </w:pPr>
      <w:r>
        <w:rPr>
          <w:rStyle w:val="CommentReference"/>
        </w:rPr>
        <w:annotationRef/>
      </w:r>
      <w:r>
        <w:t>Can you display this two pannels horizontally?</w:t>
      </w:r>
    </w:p>
  </w:comment>
  <w:comment w:id="13" w:author="Youngji Jo" w:date="2024-07-26T14:31:00Z" w:initials="YJ">
    <w:p w14:paraId="76E7974F" w14:textId="77777777" w:rsidR="00D3651D" w:rsidRDefault="00D3651D" w:rsidP="00D3651D">
      <w:pPr>
        <w:pStyle w:val="CommentText"/>
      </w:pPr>
      <w:r>
        <w:rPr>
          <w:rStyle w:val="CommentReference"/>
        </w:rPr>
        <w:annotationRef/>
      </w:r>
      <w:r>
        <w:t>Please address some description about the methods and interpretation of this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A42F08" w15:done="0"/>
  <w15:commentEx w15:paraId="3BAD152E" w15:done="0"/>
  <w15:commentEx w15:paraId="2EEB2A42" w15:paraIdParent="3BAD152E" w15:done="0"/>
  <w15:commentEx w15:paraId="11537C1F" w15:done="0"/>
  <w15:commentEx w15:paraId="4ACD7AEA" w15:paraIdParent="11537C1F" w15:done="0"/>
  <w15:commentEx w15:paraId="47F1520D" w15:done="0"/>
  <w15:commentEx w15:paraId="0FE59DE8" w15:done="0"/>
  <w15:commentEx w15:paraId="76E797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F1AF06C" w16cex:dateUtc="2024-07-26T15:34:00Z"/>
  <w16cex:commentExtensible w16cex:durableId="61D3D3F6" w16cex:dateUtc="2024-07-24T21:25:00Z"/>
  <w16cex:commentExtensible w16cex:durableId="7C611FA9" w16cex:dateUtc="2024-07-24T22:13:00Z"/>
  <w16cex:commentExtensible w16cex:durableId="5D19DE8F" w16cex:dateUtc="2024-07-26T14:11:00Z"/>
  <w16cex:commentExtensible w16cex:durableId="530D23E7" w16cex:dateUtc="2024-07-26T14:12:00Z"/>
  <w16cex:commentExtensible w16cex:durableId="18DAF44C" w16cex:dateUtc="2024-07-26T17:49:00Z"/>
  <w16cex:commentExtensible w16cex:durableId="1BAC9632" w16cex:dateUtc="2024-07-26T18:19:00Z"/>
  <w16cex:commentExtensible w16cex:durableId="234F6EB2" w16cex:dateUtc="2024-07-26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42F08" w16cid:durableId="0F1AF06C"/>
  <w16cid:commentId w16cid:paraId="3BAD152E" w16cid:durableId="61D3D3F6"/>
  <w16cid:commentId w16cid:paraId="2EEB2A42" w16cid:durableId="7C611FA9"/>
  <w16cid:commentId w16cid:paraId="11537C1F" w16cid:durableId="5D19DE8F"/>
  <w16cid:commentId w16cid:paraId="4ACD7AEA" w16cid:durableId="530D23E7"/>
  <w16cid:commentId w16cid:paraId="47F1520D" w16cid:durableId="18DAF44C"/>
  <w16cid:commentId w16cid:paraId="0FE59DE8" w16cid:durableId="1BAC9632"/>
  <w16cid:commentId w16cid:paraId="76E7974F" w16cid:durableId="234F6E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07EB9" w14:textId="77777777" w:rsidR="00937ED7" w:rsidRDefault="00937ED7" w:rsidP="00D3651D">
      <w:r>
        <w:separator/>
      </w:r>
    </w:p>
  </w:endnote>
  <w:endnote w:type="continuationSeparator" w:id="0">
    <w:p w14:paraId="4074538D" w14:textId="77777777" w:rsidR="00937ED7" w:rsidRDefault="00937ED7"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 w:name="NimbusRomNo9L-Regu">
    <w:altName w:val="Yu Gothic"/>
    <w:panose1 w:val="020B0604020202020204"/>
    <w:charset w:val="80"/>
    <w:family w:val="auto"/>
    <w:notTrueType/>
    <w:pitch w:val="default"/>
    <w:sig w:usb0="00000001" w:usb1="08070000" w:usb2="00000010" w:usb3="00000000" w:csb0="00020000" w:csb1="00000000"/>
  </w:font>
  <w:font w:name="AdvOT89719618">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25EAD" w14:textId="77777777" w:rsidR="00937ED7" w:rsidRDefault="00937ED7" w:rsidP="00D3651D">
      <w:r>
        <w:separator/>
      </w:r>
    </w:p>
  </w:footnote>
  <w:footnote w:type="continuationSeparator" w:id="0">
    <w:p w14:paraId="349CD6D9" w14:textId="77777777" w:rsidR="00937ED7" w:rsidRDefault="00937ED7" w:rsidP="00D3651D">
      <w:r>
        <w:continuationSeparator/>
      </w:r>
    </w:p>
  </w:footnote>
  <w:footnote w:id="1">
    <w:p w14:paraId="2DA49D39" w14:textId="77777777" w:rsidR="00D3651D" w:rsidRDefault="00D3651D" w:rsidP="00D3651D">
      <w:pPr>
        <w:pStyle w:val="FootnoteText"/>
      </w:pPr>
      <w:r>
        <w:rPr>
          <w:rStyle w:val="FootnoteReference"/>
          <w:rFonts w:eastAsiaTheme="majorEastAsia"/>
        </w:rPr>
        <w:footnoteRef/>
      </w:r>
      <w:r>
        <w:t xml:space="preserve"> </w:t>
      </w:r>
      <w:r>
        <w:rPr>
          <w:rFonts w:ascii="AdvOT89719618" w:hAnsi="AdvOT89719618" w:cs="AdvOT89719618"/>
          <w:sz w:val="16"/>
          <w:szCs w:val="16"/>
        </w:rPr>
        <w:t>https://doi.org/10.1038/s41467-022-32265-5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num w:numId="1" w16cid:durableId="713045352">
    <w:abstractNumId w:val="0"/>
  </w:num>
  <w:num w:numId="2" w16cid:durableId="38784268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rAUAxN9o9SwAAAA="/>
  </w:docVars>
  <w:rsids>
    <w:rsidRoot w:val="00D3651D"/>
    <w:rsid w:val="00031BE9"/>
    <w:rsid w:val="003A2DFC"/>
    <w:rsid w:val="00453DCC"/>
    <w:rsid w:val="004567C4"/>
    <w:rsid w:val="004D6B1E"/>
    <w:rsid w:val="00560814"/>
    <w:rsid w:val="00563EA8"/>
    <w:rsid w:val="0072734B"/>
    <w:rsid w:val="0073762E"/>
    <w:rsid w:val="009206CF"/>
    <w:rsid w:val="00937ED7"/>
    <w:rsid w:val="00BC63FF"/>
    <w:rsid w:val="00D3651D"/>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51D"/>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jo@uchc.edu" TargetMode="External"/><Relationship Id="rId12" Type="http://schemas.microsoft.com/office/2016/09/relationships/commentsIds" Target="commentsIds.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3596</Words>
  <Characters>20502</Characters>
  <Application>Microsoft Office Word</Application>
  <DocSecurity>0</DocSecurity>
  <Lines>170</Lines>
  <Paragraphs>48</Paragraphs>
  <ScaleCrop>false</ScaleCrop>
  <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Franky</cp:lastModifiedBy>
  <cp:revision>8</cp:revision>
  <dcterms:created xsi:type="dcterms:W3CDTF">2024-07-26T18:47:00Z</dcterms:created>
  <dcterms:modified xsi:type="dcterms:W3CDTF">2024-08-04T21:49:00Z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ies>
</file>