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26618B78"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w:t>
      </w:r>
      <w:r w:rsidR="00640A37">
        <w:rPr>
          <w:rFonts w:eastAsiaTheme="minorEastAsia" w:hint="eastAsia"/>
          <w:bCs/>
          <w:sz w:val="22"/>
          <w:szCs w:val="6"/>
          <w:vertAlign w:val="superscript"/>
          <w:lang w:eastAsia="ko-KR"/>
        </w:rPr>
        <w:t>1</w:t>
      </w:r>
      <w:r w:rsidRPr="00936392">
        <w:rPr>
          <w:rFonts w:eastAsiaTheme="minorEastAsia" w:hint="eastAsia"/>
          <w:bCs/>
          <w:sz w:val="22"/>
          <w:szCs w:val="6"/>
          <w:lang w:eastAsia="ko-KR"/>
        </w:rPr>
        <w:t>, Won Chang</w:t>
      </w:r>
      <w:r w:rsidR="00640A37">
        <w:rPr>
          <w:rFonts w:eastAsiaTheme="minorEastAsia" w:hint="eastAsia"/>
          <w:bCs/>
          <w:sz w:val="22"/>
          <w:szCs w:val="6"/>
          <w:vertAlign w:val="superscript"/>
          <w:lang w:eastAsia="ko-KR"/>
        </w:rPr>
        <w:t>2</w:t>
      </w:r>
      <w:r w:rsidRPr="00936392">
        <w:rPr>
          <w:rFonts w:eastAsiaTheme="minorEastAsia" w:hint="eastAsia"/>
          <w:bCs/>
          <w:sz w:val="22"/>
          <w:szCs w:val="6"/>
          <w:lang w:eastAsia="ko-KR"/>
        </w:rPr>
        <w:t>, Kevin Diekhuis</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w:t>
      </w:r>
      <w:r w:rsidR="00640A37">
        <w:rPr>
          <w:rFonts w:eastAsiaTheme="minorEastAsia" w:hint="eastAsia"/>
          <w:bCs/>
          <w:sz w:val="22"/>
          <w:szCs w:val="6"/>
          <w:vertAlign w:val="superscript"/>
          <w:lang w:eastAsia="ko-KR"/>
        </w:rPr>
        <w:t>4</w:t>
      </w:r>
      <w:r w:rsidRPr="00936392">
        <w:rPr>
          <w:rFonts w:eastAsiaTheme="minorEastAsia" w:hint="eastAsia"/>
          <w:bCs/>
          <w:sz w:val="22"/>
          <w:szCs w:val="6"/>
          <w:lang w:eastAsia="ko-KR"/>
        </w:rPr>
        <w:t>, Youngji Jo</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r w:rsidR="00640A37">
        <w:rPr>
          <w:rFonts w:eastAsiaTheme="minorEastAsia" w:hint="eastAsia"/>
          <w:bCs/>
          <w:sz w:val="22"/>
          <w:szCs w:val="6"/>
          <w:vertAlign w:val="superscript"/>
          <w:lang w:eastAsia="ko-KR"/>
        </w:rPr>
        <w:t>5</w:t>
      </w:r>
      <w:r w:rsidRPr="00936392">
        <w:rPr>
          <w:rFonts w:eastAsiaTheme="minorEastAsia" w:hint="eastAsia"/>
          <w:bCs/>
          <w:sz w:val="22"/>
          <w:szCs w:val="6"/>
          <w:lang w:eastAsia="ko-KR"/>
        </w:rPr>
        <w:t>*</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04A8530F" w:rsidR="00D3651D" w:rsidRDefault="00D3651D" w:rsidP="00640A37">
      <w:pPr>
        <w:pStyle w:val="BodyText"/>
        <w:numPr>
          <w:ilvl w:val="0"/>
          <w:numId w:val="5"/>
        </w:numPr>
        <w:spacing w:line="360" w:lineRule="auto"/>
        <w:rPr>
          <w:rFonts w:eastAsiaTheme="minorEastAsia"/>
          <w:sz w:val="22"/>
          <w:szCs w:val="22"/>
          <w:lang w:eastAsia="ko-KR"/>
        </w:rPr>
      </w:pPr>
      <w:r w:rsidRPr="00936392">
        <w:rPr>
          <w:sz w:val="22"/>
          <w:szCs w:val="22"/>
        </w:rPr>
        <w:t>Department of Statistics, University of Connecticut</w:t>
      </w:r>
    </w:p>
    <w:p w14:paraId="28289397" w14:textId="40007146" w:rsidR="00640A37" w:rsidRPr="00640A37" w:rsidRDefault="00640A37" w:rsidP="00640A37">
      <w:pPr>
        <w:pStyle w:val="BodyText"/>
        <w:numPr>
          <w:ilvl w:val="0"/>
          <w:numId w:val="5"/>
        </w:numPr>
        <w:spacing w:line="360" w:lineRule="auto"/>
        <w:rPr>
          <w:rFonts w:eastAsiaTheme="minorEastAsia"/>
          <w:sz w:val="22"/>
          <w:szCs w:val="22"/>
          <w:lang w:eastAsia="ko-KR"/>
        </w:rPr>
      </w:pPr>
      <w:r>
        <w:rPr>
          <w:rFonts w:eastAsiaTheme="minorEastAsia" w:hint="eastAsia"/>
          <w:sz w:val="22"/>
          <w:szCs w:val="22"/>
          <w:lang w:eastAsia="ko-KR"/>
        </w:rPr>
        <w:t>Department of Statistics, Seoul National University</w:t>
      </w:r>
    </w:p>
    <w:p w14:paraId="66502AC0" w14:textId="3301F324" w:rsidR="00D3651D" w:rsidRDefault="00D3651D" w:rsidP="00640A37">
      <w:pPr>
        <w:pStyle w:val="BodyText"/>
        <w:numPr>
          <w:ilvl w:val="0"/>
          <w:numId w:val="5"/>
        </w:numPr>
        <w:spacing w:before="13" w:line="360" w:lineRule="auto"/>
        <w:ind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619180E7" w:rsidR="00EC226C" w:rsidRDefault="00EC226C"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Preventive Medicine, </w:t>
      </w:r>
      <w:r w:rsidR="00640A37">
        <w:rPr>
          <w:rFonts w:eastAsiaTheme="minorEastAsia" w:hint="eastAsia"/>
          <w:sz w:val="22"/>
          <w:szCs w:val="22"/>
          <w:lang w:eastAsia="ko-KR"/>
        </w:rPr>
        <w:t>School of Medicine, Korea University</w:t>
      </w:r>
    </w:p>
    <w:p w14:paraId="5B4F4EC5" w14:textId="6D2E4BA0" w:rsidR="00EC226C" w:rsidRPr="00EC226C" w:rsidRDefault="00640A37"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XX, </w:t>
      </w:r>
      <w:r w:rsidR="00EC226C">
        <w:rPr>
          <w:rFonts w:eastAsiaTheme="minorEastAsia" w:hint="eastAsia"/>
          <w:sz w:val="22"/>
          <w:szCs w:val="22"/>
          <w:lang w:eastAsia="ko-KR"/>
        </w:rPr>
        <w:t xml:space="preserve">School of Medicine, </w:t>
      </w:r>
      <w:proofErr w:type="spellStart"/>
      <w:r w:rsidR="00EC226C">
        <w:rPr>
          <w:rFonts w:eastAsiaTheme="minorEastAsia" w:hint="eastAsia"/>
          <w:sz w:val="22"/>
          <w:szCs w:val="22"/>
          <w:lang w:eastAsia="ko-KR"/>
        </w:rPr>
        <w:t>Hanlim</w:t>
      </w:r>
      <w:proofErr w:type="spellEnd"/>
      <w:r w:rsidR="00EC226C">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397C3A0B"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C76248">
        <w:rPr>
          <w:rFonts w:eastAsiaTheme="minorEastAsia" w:hint="eastAsia"/>
          <w:b/>
          <w:bCs/>
          <w:color w:val="000000"/>
          <w:sz w:val="22"/>
          <w:szCs w:val="22"/>
          <w:lang w:eastAsia="ko-KR"/>
        </w:rPr>
        <w:t>0</w:t>
      </w:r>
      <w:r w:rsidR="002533E9">
        <w:rPr>
          <w:rFonts w:eastAsiaTheme="minorEastAsia" w:hint="eastAsia"/>
          <w:b/>
          <w:bCs/>
          <w:color w:val="000000"/>
          <w:sz w:val="22"/>
          <w:szCs w:val="22"/>
          <w:lang w:eastAsia="ko-KR"/>
        </w:rPr>
        <w:t>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w:t>
      </w:r>
      <w:r w:rsidR="000E1AF9">
        <w:rPr>
          <w:rFonts w:eastAsiaTheme="minorEastAsia" w:hint="eastAsia"/>
          <w:lang w:eastAsia="ko-KR"/>
        </w:rPr>
        <w:t xml:space="preserve">onstructed </w:t>
      </w:r>
      <w:r w:rsidR="000E1AF9">
        <w:rPr>
          <w:rFonts w:eastAsiaTheme="minorEastAsia"/>
          <w:lang w:eastAsia="ko-KR"/>
        </w:rPr>
        <w:t xml:space="preserve">a </w:t>
      </w:r>
      <w:r w:rsidR="000E1AF9">
        <w:rPr>
          <w:rFonts w:eastAsiaTheme="minorEastAsia" w:hint="eastAsia"/>
          <w:lang w:eastAsia="ko-KR"/>
        </w:rPr>
        <w:t xml:space="preserve">cohort of </w:t>
      </w:r>
      <w:r w:rsidRPr="008126BD">
        <w:rPr>
          <w:rFonts w:eastAsiaTheme="minorEastAsia"/>
          <w:lang w:eastAsia="ko-KR"/>
        </w:rPr>
        <w:t>the 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lastRenderedPageBreak/>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 xml:space="preserve">thresholds </w:t>
      </w:r>
      <w:proofErr w:type="gramStart"/>
      <w:r w:rsidR="000E1AF9">
        <w:rPr>
          <w:rFonts w:eastAsiaTheme="minorEastAsia" w:hint="eastAsia"/>
          <w:lang w:eastAsia="ko-KR"/>
        </w:rPr>
        <w:t>are</w:t>
      </w:r>
      <w:proofErr w:type="gramEnd"/>
      <w:r w:rsidR="000E1AF9">
        <w:rPr>
          <w:rFonts w:eastAsiaTheme="minorEastAsia" w:hint="eastAsia"/>
          <w:lang w:eastAsia="ko-KR"/>
        </w:rPr>
        <w:t xml:space="preserv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77BAB2AB"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 xml:space="preserve">ine </w:t>
      </w:r>
      <w:r w:rsidR="00901120">
        <w:rPr>
          <w:rFonts w:eastAsiaTheme="minorEastAsia"/>
          <w:lang w:eastAsia="zh-CN"/>
        </w:rPr>
        <w:fldChar w:fldCharType="begin"/>
      </w:r>
      <w:r w:rsidR="00901120">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901120">
        <w:rPr>
          <w:rFonts w:eastAsiaTheme="minorEastAsia"/>
          <w:lang w:eastAsia="zh-CN"/>
        </w:rPr>
        <w:fldChar w:fldCharType="separate"/>
      </w:r>
      <w:r w:rsidR="00901120">
        <w:rPr>
          <w:rFonts w:eastAsiaTheme="minorEastAsia"/>
          <w:noProof/>
          <w:lang w:eastAsia="zh-CN"/>
        </w:rPr>
        <w:t>[1]</w:t>
      </w:r>
      <w:r w:rsidR="00901120">
        <w:rPr>
          <w:rFonts w:eastAsiaTheme="minorEastAsia"/>
          <w:lang w:eastAsia="zh-CN"/>
        </w:rPr>
        <w:fldChar w:fldCharType="end"/>
      </w:r>
      <w:r w:rsidR="00901120">
        <w:rPr>
          <w:rFonts w:eastAsiaTheme="minorEastAsia"/>
          <w:lang w:eastAsia="zh-CN"/>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5A74A493"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t xml:space="preserve"> </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 [4]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w:t>
      </w:r>
      <w:commentRangeStart w:id="0"/>
      <w:commentRangeEnd w:id="0"/>
      <w:r w:rsidR="005C5BA9" w:rsidRPr="00D0236F">
        <w:rPr>
          <w:rStyle w:val="CommentReference"/>
          <w:sz w:val="22"/>
          <w:szCs w:val="22"/>
        </w:rPr>
        <w:commentReference w:id="0"/>
      </w:r>
      <w:r w:rsidR="005C5BA9" w:rsidRPr="00D0236F">
        <w:rPr>
          <w:rFonts w:eastAsiaTheme="minorEastAsia"/>
          <w:sz w:val="22"/>
          <w:szCs w:val="22"/>
          <w:lang w:eastAsia="ko-KR"/>
        </w:rPr>
        <w:t xml:space="preserve">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 xml:space="preserve">or specific high-risk immune-suppressed </w:t>
      </w:r>
      <w:commentRangeStart w:id="1"/>
      <w:r w:rsidR="001A568B" w:rsidRPr="00D0236F">
        <w:rPr>
          <w:color w:val="222222"/>
          <w:sz w:val="22"/>
          <w:szCs w:val="22"/>
          <w:shd w:val="clear" w:color="auto" w:fill="FFFFFF"/>
        </w:rPr>
        <w:t>patients</w:t>
      </w:r>
      <w:commentRangeEnd w:id="1"/>
      <w:r w:rsidR="001A568B" w:rsidRPr="00D0236F">
        <w:rPr>
          <w:rStyle w:val="CommentReference"/>
          <w:sz w:val="22"/>
          <w:szCs w:val="22"/>
        </w:rPr>
        <w:commentReference w:id="1"/>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commentRangeStart w:id="2"/>
      <w:commentRangeEnd w:id="2"/>
      <w:r w:rsidRPr="00D0236F">
        <w:rPr>
          <w:rStyle w:val="CommentReference"/>
          <w:sz w:val="22"/>
          <w:szCs w:val="22"/>
        </w:rPr>
        <w:commentReference w:id="2"/>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43A81F16" w:rsidR="00A843F8" w:rsidRPr="00A150A5" w:rsidRDefault="00D3651D" w:rsidP="00A843F8">
      <w:pPr>
        <w:widowControl/>
        <w:adjustRightInd w:val="0"/>
        <w:spacing w:line="360" w:lineRule="auto"/>
        <w:jc w:val="both"/>
        <w:rPr>
          <w:rFonts w:eastAsiaTheme="minorEastAsia"/>
          <w:color w:val="222222"/>
          <w:shd w:val="clear" w:color="auto" w:fill="FFFFFF"/>
          <w:lang w:eastAsia="ko-KR"/>
        </w:rPr>
      </w:pPr>
      <w:r w:rsidRPr="00D0236F">
        <w:rPr>
          <w:rFonts w:eastAsiaTheme="minorEastAsia"/>
          <w:lang w:eastAsia="ko-KR"/>
        </w:rPr>
        <w:t>Systematic reviews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856875" w:rsidRPr="00D0236F">
        <w:rPr>
          <w:rFonts w:eastAsiaTheme="minorEastAsia"/>
          <w:lang w:eastAsia="ko-KR"/>
        </w:rPr>
        <w:t xml:space="preserve"> </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Pr="00D0236F">
        <w:rPr>
          <w:rFonts w:eastAsiaTheme="minorEastAsia"/>
          <w:lang w:eastAsia="ko-KR"/>
        </w:rPr>
        <w:t>. Th</w:t>
      </w:r>
      <w:r w:rsidR="00B17DFC" w:rsidRPr="00D0236F">
        <w:rPr>
          <w:rFonts w:eastAsiaTheme="minorEastAsia"/>
          <w:lang w:eastAsia="ko-KR"/>
        </w:rPr>
        <w:t xml:space="preserve">ey </w:t>
      </w:r>
      <w:r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Pr="00D0236F">
        <w:rPr>
          <w:rFonts w:eastAsiaTheme="minorEastAsia"/>
          <w:lang w:eastAsia="ko-KR"/>
        </w:rPr>
        <w:t xml:space="preserve"> but high 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Several e</w:t>
      </w:r>
      <w:r w:rsidR="002B5470" w:rsidRPr="00D0236F">
        <w:rPr>
          <w:color w:val="222222"/>
          <w:shd w:val="clear" w:color="auto" w:fill="FFFFFF"/>
        </w:rPr>
        <w:t>pidemiological studies</w:t>
      </w:r>
      <w:r w:rsidR="002B5470">
        <w:rPr>
          <w:rFonts w:eastAsiaTheme="minorEastAsia" w:hint="eastAsia"/>
          <w:color w:val="222222"/>
          <w:shd w:val="clear" w:color="auto" w:fill="FFFFFF"/>
          <w:lang w:eastAsia="ko-KR"/>
        </w:rPr>
        <w:t xml:space="preserve"> also</w:t>
      </w:r>
      <w:r w:rsidR="002B5470" w:rsidRPr="00D0236F">
        <w:rPr>
          <w:color w:val="222222"/>
          <w:shd w:val="clear" w:color="auto" w:fill="FFFFFF"/>
        </w:rPr>
        <w:t xml:space="preserve"> show </w:t>
      </w:r>
      <w:r w:rsidR="002B5470" w:rsidRPr="00D0236F">
        <w:rPr>
          <w:rFonts w:eastAsiaTheme="minorEastAsia"/>
          <w:lang w:eastAsia="ko-KR"/>
        </w:rPr>
        <w:t>hybrid immunity had the highest magnitude and durability of protection against all outcomes, emphasizing the importance of providing vaccination to previously infected individuals</w:t>
      </w:r>
      <w:r w:rsidR="00A843F8">
        <w:rPr>
          <w:rFonts w:eastAsiaTheme="minorEastAsia" w:hint="eastAsia"/>
          <w:lang w:eastAsia="ko-KR"/>
        </w:rPr>
        <w:t xml:space="preserve"> as i</w:t>
      </w:r>
      <w:r w:rsidR="002B5470" w:rsidRPr="00D0236F">
        <w:rPr>
          <w:rFonts w:eastAsiaTheme="minorEastAsia"/>
          <w:lang w:eastAsia="ko-KR"/>
        </w:rPr>
        <w:t xml:space="preserve">nfection-induced protection against reinfection wanes rapidly, </w:t>
      </w:r>
      <w:r w:rsidR="00A843F8">
        <w:rPr>
          <w:rFonts w:eastAsiaTheme="minorEastAsia" w:hint="eastAsia"/>
          <w:lang w:eastAsia="ko-KR"/>
        </w:rPr>
        <w:t>but</w:t>
      </w:r>
      <w:r w:rsidR="002B5470" w:rsidRPr="00D0236F">
        <w:rPr>
          <w:rFonts w:eastAsiaTheme="minorEastAsia"/>
          <w:lang w:eastAsia="ko-KR"/>
        </w:rPr>
        <w:t xml:space="preserve"> vaccination </w:t>
      </w:r>
      <w:r w:rsidR="00A843F8">
        <w:rPr>
          <w:rFonts w:eastAsiaTheme="minorEastAsia" w:hint="eastAsia"/>
          <w:lang w:eastAsia="ko-KR"/>
        </w:rPr>
        <w:t xml:space="preserve">further </w:t>
      </w:r>
      <w:r w:rsidR="002B5470" w:rsidRPr="00D0236F">
        <w:rPr>
          <w:rFonts w:eastAsiaTheme="minorEastAsia"/>
          <w:lang w:eastAsia="ko-KR"/>
        </w:rPr>
        <w:t xml:space="preserve">increases durability. </w:t>
      </w:r>
      <w:commentRangeStart w:id="3"/>
      <w:r w:rsidR="002B5470" w:rsidRPr="00D0236F">
        <w:rPr>
          <w:rFonts w:eastAsiaTheme="minorEastAsia"/>
          <w:lang w:eastAsia="ko-KR"/>
        </w:rPr>
        <w:t>[REF]</w:t>
      </w:r>
      <w:commentRangeEnd w:id="3"/>
      <w:r w:rsidR="002B5470" w:rsidRPr="00D0236F">
        <w:rPr>
          <w:rStyle w:val="CommentReference"/>
          <w:sz w:val="22"/>
          <w:szCs w:val="22"/>
        </w:rPr>
        <w:commentReference w:id="3"/>
      </w:r>
      <w:r w:rsidR="002B5470" w:rsidRPr="00D0236F">
        <w:rPr>
          <w:rFonts w:eastAsiaTheme="minorEastAsia"/>
          <w:lang w:eastAsia="ko-KR"/>
        </w:rPr>
        <w:t xml:space="preserve"> </w:t>
      </w:r>
      <w:hyperlink r:id="rId13" w:anchor="ref-CR9" w:tooltip="Andeweg, S. P. et al. Protection of COVID-19 vaccination and previous infection against Omicron BA.1, BA.2 and Delta SARS-CoV-2 infections. Nat. Commun. 13, 4738. &#10;                  https://doi.org/10.1038/s41467-022-31838-8&#10;                  &#10;                " w:history="1">
        <w:r w:rsidR="002B5470" w:rsidRPr="00D0236F">
          <w:rPr>
            <w:rStyle w:val="Hyperlink"/>
            <w:rFonts w:eastAsiaTheme="majorEastAsia"/>
            <w:color w:val="006699"/>
          </w:rPr>
          <w:t>9</w:t>
        </w:r>
      </w:hyperlink>
      <w:r w:rsidR="002B5470" w:rsidRPr="00D0236F">
        <w:rPr>
          <w:color w:val="222222"/>
          <w:shd w:val="clear" w:color="auto" w:fill="FFFFFF"/>
          <w:vertAlign w:val="superscript"/>
        </w:rPr>
        <w:t>,</w:t>
      </w:r>
      <w:hyperlink r:id="rId14" w:anchor="ref-CR16" w:tooltip="Bobrovitz, N. et al. Protective effectiveness of prior SARS-CoV-2 infection and hybrid immunity against Omicron infection and severe disease: A systematic review and meta-regression. medRxiv &#10;                  https://doi.org/10.1101/2022.10.02.22280610&#10;      " w:history="1">
        <w:r w:rsidR="002B5470" w:rsidRPr="00D0236F">
          <w:rPr>
            <w:rStyle w:val="Hyperlink"/>
            <w:rFonts w:eastAsiaTheme="majorEastAsia"/>
            <w:color w:val="006699"/>
          </w:rPr>
          <w:t>16</w:t>
        </w:r>
      </w:hyperlink>
      <w:r w:rsidR="002B5470" w:rsidRPr="00D0236F">
        <w:rPr>
          <w:color w:val="222222"/>
          <w:shd w:val="clear" w:color="auto" w:fill="FFFFFF"/>
          <w:vertAlign w:val="superscript"/>
        </w:rPr>
        <w:t>,</w:t>
      </w:r>
      <w:hyperlink r:id="rId15" w:anchor="ref-CR17" w:tooltip="Goldberg, Y. et al. Protection and waning of natural and hybrid immunity to SARS-CoV-2. N. Engl. J. Med. 386, 2201–2212. &#10;                  https://doi.org/10.1056/NEJMoa2118946&#10;                  &#10;                 (2022)." w:history="1">
        <w:r w:rsidR="002B5470" w:rsidRPr="00D0236F">
          <w:rPr>
            <w:rStyle w:val="Hyperlink"/>
            <w:rFonts w:eastAsiaTheme="majorEastAsia"/>
            <w:color w:val="006699"/>
          </w:rPr>
          <w:t>17</w:t>
        </w:r>
      </w:hyperlink>
      <w:r w:rsidR="002B5470" w:rsidRPr="00D0236F">
        <w:rPr>
          <w:color w:val="222222"/>
          <w:shd w:val="clear" w:color="auto" w:fill="FFFFFF"/>
        </w:rPr>
        <w:t>. </w:t>
      </w:r>
      <w:r w:rsidR="00A150A5">
        <w:rPr>
          <w:rFonts w:eastAsiaTheme="minorEastAsia" w:hint="eastAsia"/>
          <w:color w:val="222222"/>
          <w:shd w:val="clear" w:color="auto" w:fill="FFFFFF"/>
          <w:lang w:eastAsia="ko-KR"/>
        </w:rPr>
        <w:t xml:space="preserve">However, </w:t>
      </w:r>
      <w:r w:rsidR="00A150A5">
        <w:rPr>
          <w:rFonts w:eastAsiaTheme="minorEastAsia"/>
          <w:color w:val="222222"/>
          <w:shd w:val="clear" w:color="auto" w:fill="FFFFFF"/>
          <w:lang w:eastAsia="ko-KR"/>
        </w:rPr>
        <w:t>the waning of hybrid immunity, particularly due to Omicron infections,</w:t>
      </w:r>
      <w:r w:rsidR="00A150A5" w:rsidRPr="00D0236F">
        <w:rPr>
          <w:color w:val="3C4245"/>
          <w:shd w:val="clear" w:color="auto" w:fill="FFFFFF"/>
        </w:rPr>
        <w:t xml:space="preserve"> is not yet characterized in magnitude or duration. More data are needed for a precise quantification of the immune protection from hybrid immunity compared with vaccine-induced immunity </w:t>
      </w:r>
      <w:proofErr w:type="spellStart"/>
      <w:r w:rsidR="00A150A5" w:rsidRPr="00A843F8">
        <w:rPr>
          <w:color w:val="3C4245"/>
          <w:highlight w:val="yellow"/>
          <w:shd w:val="clear" w:color="auto" w:fill="FFFFFF"/>
        </w:rPr>
        <w:t>normalised</w:t>
      </w:r>
      <w:proofErr w:type="spellEnd"/>
      <w:r w:rsidR="00A150A5" w:rsidRPr="00A843F8">
        <w:rPr>
          <w:color w:val="3C4245"/>
          <w:highlight w:val="yellow"/>
          <w:shd w:val="clear" w:color="auto" w:fill="FFFFFF"/>
        </w:rPr>
        <w:t xml:space="preserve"> for the same antigen </w:t>
      </w:r>
      <w:commentRangeStart w:id="4"/>
      <w:r w:rsidR="00A150A5" w:rsidRPr="00A843F8">
        <w:rPr>
          <w:color w:val="3C4245"/>
          <w:highlight w:val="yellow"/>
          <w:shd w:val="clear" w:color="auto" w:fill="FFFFFF"/>
        </w:rPr>
        <w:t>exposure.</w:t>
      </w:r>
      <w:commentRangeEnd w:id="4"/>
      <w:r w:rsidR="00A150A5" w:rsidRPr="00A843F8">
        <w:rPr>
          <w:rStyle w:val="CommentReference"/>
          <w:sz w:val="22"/>
          <w:szCs w:val="22"/>
          <w:highlight w:val="yellow"/>
        </w:rPr>
        <w:commentReference w:id="4"/>
      </w:r>
    </w:p>
    <w:p w14:paraId="17F2B6F3" w14:textId="77777777" w:rsidR="00A843F8" w:rsidRDefault="00A843F8" w:rsidP="00A843F8">
      <w:pPr>
        <w:widowControl/>
        <w:adjustRightInd w:val="0"/>
        <w:spacing w:line="360" w:lineRule="auto"/>
        <w:jc w:val="both"/>
        <w:rPr>
          <w:rFonts w:eastAsiaTheme="minorEastAsia"/>
          <w:color w:val="222222"/>
          <w:shd w:val="clear" w:color="auto" w:fill="FFFFFF"/>
          <w:lang w:eastAsia="ko-KR"/>
        </w:rPr>
      </w:pPr>
    </w:p>
    <w:p w14:paraId="54314EA7" w14:textId="5B735DAA" w:rsidR="00D3651D" w:rsidRPr="00D0236F" w:rsidRDefault="002F0C3B" w:rsidP="005B7F6E">
      <w:pPr>
        <w:pStyle w:val="BodyText"/>
        <w:kinsoku w:val="0"/>
        <w:overflowPunct w:val="0"/>
        <w:spacing w:line="360" w:lineRule="auto"/>
        <w:ind w:left="0"/>
        <w:jc w:val="both"/>
        <w:rPr>
          <w:rFonts w:eastAsiaTheme="minorEastAsia"/>
          <w:sz w:val="22"/>
          <w:szCs w:val="22"/>
          <w:lang w:eastAsia="ko-KR"/>
        </w:rPr>
      </w:pPr>
      <w:r w:rsidRPr="00D0236F">
        <w:rPr>
          <w:rFonts w:eastAsiaTheme="minorEastAsia"/>
          <w:color w:val="000000"/>
          <w:sz w:val="22"/>
          <w:szCs w:val="22"/>
          <w:lang w:eastAsia="ko-KR"/>
        </w:rPr>
        <w:t xml:space="preserve">In South Korea, a large majority of the population has either hybrid or vaccine-induced immunity, with only </w:t>
      </w:r>
      <w:r w:rsidR="004A57B0" w:rsidRPr="00D0236F">
        <w:rPr>
          <w:rFonts w:eastAsiaTheme="minorEastAsia"/>
          <w:color w:val="000000"/>
          <w:sz w:val="22"/>
          <w:szCs w:val="22"/>
          <w:lang w:eastAsia="ko-KR"/>
        </w:rPr>
        <w:t>8</w:t>
      </w:r>
      <w:r w:rsidRPr="00D0236F">
        <w:rPr>
          <w:rFonts w:eastAsiaTheme="minorEastAsia"/>
          <w:color w:val="000000"/>
          <w:sz w:val="22"/>
          <w:szCs w:val="22"/>
          <w:lang w:eastAsia="ko-KR"/>
        </w:rPr>
        <w:t xml:space="preserve">% having previous infection alone and </w:t>
      </w:r>
      <w:r w:rsidR="004A57B0" w:rsidRPr="00D0236F">
        <w:rPr>
          <w:rFonts w:eastAsiaTheme="minorEastAsia"/>
          <w:color w:val="000000"/>
          <w:sz w:val="22"/>
          <w:szCs w:val="22"/>
          <w:lang w:eastAsia="ko-KR"/>
        </w:rPr>
        <w:t>10</w:t>
      </w:r>
      <w:r w:rsidRPr="00D0236F">
        <w:rPr>
          <w:rFonts w:eastAsiaTheme="minorEastAsia"/>
          <w:color w:val="000000"/>
          <w:sz w:val="22"/>
          <w:szCs w:val="22"/>
          <w:lang w:eastAsia="ko-KR"/>
        </w:rPr>
        <w:t xml:space="preserve">% with no immunity. 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 </w:t>
      </w:r>
      <w:r w:rsidRPr="00D0236F">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3B393228"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r w:rsidRPr="00D0236F">
        <w:rPr>
          <w:color w:val="222222"/>
          <w:sz w:val="22"/>
          <w:szCs w:val="22"/>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6"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rPr>
        <w:t xml:space="preserve">, which provided a unique basis to relate immune activation to the virus strain involved. Therefore, lastly, we investigate the change in the response towards the variant of infection as an indication for the development of broader hybrid </w:t>
      </w:r>
      <w:commentRangeStart w:id="5"/>
      <w:r w:rsidRPr="00D0236F">
        <w:rPr>
          <w:color w:val="222222"/>
          <w:sz w:val="22"/>
          <w:szCs w:val="22"/>
          <w:shd w:val="clear" w:color="auto" w:fill="FFFFFF"/>
        </w:rPr>
        <w:t>immunity</w:t>
      </w:r>
      <w:commentRangeEnd w:id="5"/>
      <w:r w:rsidRPr="00D0236F">
        <w:rPr>
          <w:rStyle w:val="CommentReference"/>
          <w:sz w:val="22"/>
          <w:szCs w:val="22"/>
        </w:rPr>
        <w:commentReference w:id="5"/>
      </w:r>
      <w:r w:rsidR="00901120">
        <w:rPr>
          <w:color w:val="222222"/>
          <w:sz w:val="22"/>
          <w:szCs w:val="22"/>
          <w:shd w:val="clear" w:color="auto" w:fill="FFFFFF"/>
        </w:rPr>
        <w:t xml:space="preserve"> </w:t>
      </w:r>
      <w:r w:rsidR="00901120">
        <w:rPr>
          <w:color w:val="222222"/>
          <w:sz w:val="22"/>
          <w:szCs w:val="22"/>
          <w:shd w:val="clear" w:color="auto" w:fill="FFFFFF"/>
        </w:rPr>
        <w:fldChar w:fldCharType="begin"/>
      </w:r>
      <w:r w:rsidR="00901120">
        <w:rPr>
          <w:color w:val="222222"/>
          <w:sz w:val="22"/>
          <w:szCs w:val="22"/>
          <w:shd w:val="clear" w:color="auto" w:fill="FFFFFF"/>
        </w:rPr>
        <w:instrText xml:space="preserve"> ADDIN ZOTERO_ITEM CSL_CITATION {"citationID":"m59udC9z","properties":{"formattedCitation":"[11]","plainCitation":"[11]","noteIndex":0},"citationItems":[{"id":112,"uris":["http://zotero.org/users/14790911/items/WEN946JJ"],"itemData":{"id":112,"type":"article-journal","abstract":"Immunity induced by vaccination and infection, referred to as hybrid immunity, provides better protection against SARS-CoV-2 infections compared to immunity induced by vaccinations alone. To assess the development of hybrid immunity we investigated the induction of Nucleoprotein-specific antibodies in PCR-confirmed infections by Delta or Omicron in vaccinated individuals (n = 520). Eighty-two percent of the participants with a breakthrough infection reached N-seropositivity. N-seropositivity was accompanied by Spike S1 antibody boosting, and independent of vaccination status or virus variant. Following the infection relatively more antibodies to the infecting virus variant were detected. In conclusion, these data show that hybrid immunity through breakthrough infections is hallmarked by Nucleoprotein antibodies and broadening of the Spike antibody repertoire. Exposure to future SARS-CoV-2 variants may therefore continue to maintain and broaden vaccine-induced population immunity.","container-title":"Scientific Reports","DOI":"10.1038/s41598-023-45718-8","ISSN":"2045-2322","issue":"1","journalAbbreviation":"Sci Rep","language":"en","license":"2023 The Author(s)","note":"publisher: Nature Publishing Group","page":"18394","source":"www.nature.com","title":"Assessment of hybrid population immunity to SARS-CoV-2 following breakthrough infections of distinct SARS-CoV-2 variants by the detection of antibodies to nucleoprotein","volume":"13","author":[{"family":"Hartog","given":"Gerco","non-dropping-particle":"den"},{"family":"Andeweg","given":"Stijn P."},{"family":"Hoeve","given":"Christina E."},{"family":"Smits","given":"Gaby"},{"family":"Voordouw","given":"Bettie"},{"family":"Eggink","given":"Dirk"},{"family":"Knol","given":"Mirjam J."},{"family":"Binnendijk","given":"Robert S.","non-dropping-particle":"van"}],"issued":{"date-parts":[["2023",10,26]]}}}],"schema":"https://github.com/citation-style-language/schema/raw/master/csl-citation.json"} </w:instrText>
      </w:r>
      <w:r w:rsidR="00901120">
        <w:rPr>
          <w:color w:val="222222"/>
          <w:sz w:val="22"/>
          <w:szCs w:val="22"/>
          <w:shd w:val="clear" w:color="auto" w:fill="FFFFFF"/>
        </w:rPr>
        <w:fldChar w:fldCharType="separate"/>
      </w:r>
      <w:r w:rsidR="00901120">
        <w:rPr>
          <w:noProof/>
          <w:color w:val="222222"/>
          <w:sz w:val="22"/>
          <w:szCs w:val="22"/>
          <w:shd w:val="clear" w:color="auto" w:fill="FFFFFF"/>
        </w:rPr>
        <w:t>[11]</w:t>
      </w:r>
      <w:r w:rsidR="00901120">
        <w:rPr>
          <w:color w:val="222222"/>
          <w:sz w:val="22"/>
          <w:szCs w:val="22"/>
          <w:shd w:val="clear" w:color="auto" w:fill="FFFFFF"/>
        </w:rPr>
        <w:fldChar w:fldCharType="end"/>
      </w:r>
      <w:r w:rsidRPr="00D0236F">
        <w:rPr>
          <w:color w:val="222222"/>
          <w:sz w:val="22"/>
          <w:szCs w:val="22"/>
          <w:shd w:val="clear" w:color="auto" w:fill="FFFFFF"/>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6" w:name="Sample_Collection_and_Definitions"/>
      <w:bookmarkEnd w:id="6"/>
    </w:p>
    <w:p w14:paraId="0E8BBCFB" w14:textId="0699305E" w:rsidR="008D184F" w:rsidRPr="00D0236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A</w:t>
      </w:r>
      <w:r w:rsidRPr="00D0236F">
        <w:rPr>
          <w:rFonts w:ascii="Times New Roman" w:hAnsi="Times New Roman" w:cs="Times New Roman"/>
          <w:color w:val="000000" w:themeColor="text1"/>
          <w:sz w:val="22"/>
          <w:szCs w:val="22"/>
        </w:rPr>
        <w:t xml:space="preserve"> nationwide community-based surveillance study was conducted </w:t>
      </w:r>
      <w:r w:rsidRPr="00D0236F">
        <w:rPr>
          <w:rFonts w:ascii="Times New Roman" w:eastAsiaTheme="minorEastAsia" w:hAnsi="Times New Roman" w:cs="Times New Roman"/>
          <w:color w:val="000000" w:themeColor="text1"/>
          <w:sz w:val="22"/>
          <w:szCs w:val="22"/>
          <w:lang w:eastAsia="ko-KR"/>
        </w:rPr>
        <w:t>fr</w:t>
      </w:r>
      <w:r w:rsidRPr="00D0236F">
        <w:rPr>
          <w:rFonts w:ascii="Times New Roman" w:hAnsi="Times New Roman" w:cs="Times New Roman"/>
          <w:color w:val="000000" w:themeColor="text1"/>
          <w:sz w:val="22"/>
          <w:szCs w:val="22"/>
        </w:rPr>
        <w:t xml:space="preserve">om August to December 2022, during the 6th and 7th </w:t>
      </w:r>
      <w:r w:rsidRPr="00D0236F">
        <w:rPr>
          <w:rFonts w:ascii="Times New Roman" w:eastAsiaTheme="minorEastAsia" w:hAnsi="Times New Roman" w:cs="Times New Roman"/>
          <w:color w:val="000000" w:themeColor="text1"/>
          <w:sz w:val="22"/>
          <w:szCs w:val="22"/>
          <w:lang w:eastAsia="ko-KR"/>
        </w:rPr>
        <w:t xml:space="preserve">epidemic </w:t>
      </w:r>
      <w:r w:rsidRPr="00D0236F">
        <w:rPr>
          <w:rFonts w:ascii="Times New Roman" w:hAnsi="Times New Roman" w:cs="Times New Roman"/>
          <w:color w:val="000000" w:themeColor="text1"/>
          <w:sz w:val="22"/>
          <w:szCs w:val="22"/>
        </w:rPr>
        <w:t xml:space="preserve">peaks of COVID-19 in South Korea. This study </w:t>
      </w:r>
      <w:r w:rsidRPr="00D0236F">
        <w:rPr>
          <w:rFonts w:ascii="Times New Roman" w:hAnsi="Times New Roman" w:cs="Times New Roman"/>
          <w:color w:val="000000" w:themeColor="text1"/>
          <w:spacing w:val="-3"/>
          <w:sz w:val="22"/>
          <w:szCs w:val="22"/>
        </w:rPr>
        <w:t xml:space="preserve">involved </w:t>
      </w:r>
      <w:r w:rsidRPr="00D0236F">
        <w:rPr>
          <w:rFonts w:ascii="Times New Roman" w:hAnsi="Times New Roman" w:cs="Times New Roman"/>
          <w:color w:val="000000" w:themeColor="text1"/>
          <w:sz w:val="22"/>
          <w:szCs w:val="22"/>
        </w:rPr>
        <w:t xml:space="preserve">258 public health centers and 113 private medical facilities across 259 cities and counties. </w:t>
      </w:r>
      <w:r w:rsidRPr="00D0236F">
        <w:rPr>
          <w:rFonts w:ascii="Times New Roman" w:hAnsi="Times New Roman" w:cs="Times New Roman"/>
          <w:color w:val="000000" w:themeColor="text1"/>
          <w:spacing w:val="-12"/>
          <w:sz w:val="22"/>
          <w:szCs w:val="22"/>
        </w:rPr>
        <w:t xml:space="preserve">A </w:t>
      </w:r>
      <w:r w:rsidRPr="00D0236F">
        <w:rPr>
          <w:rFonts w:ascii="Times New Roman" w:hAnsi="Times New Roman" w:cs="Times New Roman"/>
          <w:color w:val="000000" w:themeColor="text1"/>
          <w:sz w:val="22"/>
          <w:szCs w:val="22"/>
        </w:rPr>
        <w:t>representative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sample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of</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10,000</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individuals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aged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and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older</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randomly</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selected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from</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5,000 households.</w:t>
      </w:r>
      <w:r w:rsidRPr="00D0236F">
        <w:rPr>
          <w:rFonts w:ascii="Times New Roman" w:hAnsi="Times New Roman" w:cs="Times New Roman"/>
          <w:color w:val="000000" w:themeColor="text1"/>
          <w:spacing w:val="6"/>
          <w:sz w:val="22"/>
          <w:szCs w:val="22"/>
        </w:rPr>
        <w:t xml:space="preserve"> </w:t>
      </w:r>
      <w:commentRangeStart w:id="7"/>
      <w:commentRangeStart w:id="8"/>
      <w:commentRangeStart w:id="9"/>
      <w:r w:rsidRPr="00D0236F">
        <w:rPr>
          <w:rFonts w:ascii="Times New Roman" w:hAnsi="Times New Roman" w:cs="Times New Roman"/>
          <w:color w:val="000000" w:themeColor="text1"/>
          <w:sz w:val="22"/>
          <w:szCs w:val="22"/>
        </w:rPr>
        <w:t>Data</w:t>
      </w:r>
      <w:commentRangeEnd w:id="7"/>
      <w:r w:rsidR="00E74379" w:rsidRPr="00D0236F">
        <w:rPr>
          <w:rStyle w:val="CommentReference"/>
          <w:rFonts w:ascii="Times New Roman" w:eastAsia="Times New Roman" w:hAnsi="Times New Roman" w:cs="Times New Roman"/>
          <w:color w:val="auto"/>
          <w:sz w:val="22"/>
          <w:szCs w:val="22"/>
        </w:rPr>
        <w:commentReference w:id="7"/>
      </w:r>
      <w:commentRangeEnd w:id="8"/>
      <w:r w:rsidR="00E74379" w:rsidRPr="00D0236F">
        <w:rPr>
          <w:rStyle w:val="CommentReference"/>
          <w:rFonts w:ascii="Times New Roman" w:eastAsia="Times New Roman" w:hAnsi="Times New Roman" w:cs="Times New Roman"/>
          <w:color w:val="auto"/>
          <w:sz w:val="22"/>
          <w:szCs w:val="22"/>
        </w:rPr>
        <w:commentReference w:id="8"/>
      </w:r>
      <w:commentRangeEnd w:id="9"/>
      <w:r w:rsidR="00923F27" w:rsidRPr="00D0236F">
        <w:rPr>
          <w:rStyle w:val="CommentReference"/>
          <w:rFonts w:ascii="Times New Roman" w:eastAsia="Times New Roman" w:hAnsi="Times New Roman" w:cs="Times New Roman"/>
          <w:color w:val="auto"/>
          <w:sz w:val="22"/>
          <w:szCs w:val="22"/>
        </w:rPr>
        <w:commentReference w:id="9"/>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collection</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conducted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through</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one-on-one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interviews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by</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trained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pacing w:val="-3"/>
          <w:sz w:val="22"/>
          <w:szCs w:val="22"/>
        </w:rPr>
        <w:t xml:space="preserve">surveyors </w:t>
      </w:r>
      <w:r w:rsidRPr="00D0236F">
        <w:rPr>
          <w:rFonts w:ascii="Times New Roman" w:hAnsi="Times New Roman" w:cs="Times New Roman"/>
          <w:color w:val="000000" w:themeColor="text1"/>
          <w:sz w:val="22"/>
          <w:szCs w:val="22"/>
        </w:rPr>
        <w:t>using tablets to ensure</w:t>
      </w:r>
      <w:r w:rsidRPr="00D0236F">
        <w:rPr>
          <w:rFonts w:ascii="Times New Roman" w:hAnsi="Times New Roman" w:cs="Times New Roman"/>
          <w:color w:val="000000" w:themeColor="text1"/>
          <w:spacing w:val="-5"/>
          <w:sz w:val="22"/>
          <w:szCs w:val="22"/>
        </w:rPr>
        <w:t xml:space="preserve"> </w:t>
      </w:r>
      <w:r w:rsidRPr="00D0236F">
        <w:rPr>
          <w:rFonts w:ascii="Times New Roman" w:hAnsi="Times New Roman" w:cs="Times New Roman"/>
          <w:color w:val="000000" w:themeColor="text1"/>
          <w:spacing w:val="-3"/>
          <w:sz w:val="22"/>
          <w:szCs w:val="22"/>
        </w:rPr>
        <w:t>accuracy.</w:t>
      </w:r>
      <w:r w:rsidRPr="00D0236F">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r w:rsidR="000C5051" w:rsidRPr="00D0236F">
        <w:rPr>
          <w:rFonts w:ascii="Times New Roman" w:eastAsiaTheme="minorEastAsia" w:hAnsi="Times New Roman" w:cs="Times New Roman"/>
          <w:color w:val="000000" w:themeColor="text1"/>
          <w:spacing w:val="-3"/>
          <w:sz w:val="22"/>
          <w:szCs w:val="22"/>
          <w:lang w:eastAsia="ko-KR"/>
        </w:rPr>
        <w:fldChar w:fldCharType="begin"/>
      </w:r>
      <w:r w:rsidR="00901120">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{"citationID":"EVDqyAFB","properties":{"formattedCitation":"[12]","plainCitation":"[12]","noteIndex":0},"citationItems":[{"id":97,"uris":["http://zotero.org/users/14790911/items/RQ4UY7FE"],"itemData":{"id":97,"type":"article-journal","abstract":"We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0C5051" w:rsidRPr="00D0236F">
        <w:rPr>
          <w:rFonts w:ascii="Times New Roman" w:eastAsiaTheme="minorEastAsia" w:hAnsi="Times New Roman" w:cs="Times New Roman"/>
          <w:color w:val="000000" w:themeColor="text1"/>
          <w:spacing w:val="-3"/>
          <w:sz w:val="22"/>
          <w:szCs w:val="22"/>
          <w:lang w:eastAsia="ko-KR"/>
        </w:rPr>
        <w:fldChar w:fldCharType="separate"/>
      </w:r>
      <w:r w:rsidR="00901120">
        <w:rPr>
          <w:rFonts w:ascii="Times New Roman" w:eastAsiaTheme="minorEastAsia" w:hAnsi="Times New Roman" w:cs="Times New Roman"/>
          <w:noProof/>
          <w:color w:val="000000" w:themeColor="text1"/>
          <w:spacing w:val="-3"/>
          <w:sz w:val="22"/>
          <w:szCs w:val="22"/>
          <w:lang w:eastAsia="ko-KR"/>
        </w:rPr>
        <w:t>[12]</w:t>
      </w:r>
      <w:r w:rsidR="000C5051" w:rsidRPr="00D0236F">
        <w:rPr>
          <w:rFonts w:ascii="Times New Roman" w:eastAsiaTheme="minorEastAsia" w:hAnsi="Times New Roman" w:cs="Times New Roman"/>
          <w:color w:val="000000" w:themeColor="text1"/>
          <w:spacing w:val="-3"/>
          <w:sz w:val="22"/>
          <w:szCs w:val="22"/>
          <w:lang w:eastAsia="ko-KR"/>
        </w:rPr>
        <w:fldChar w:fldCharType="end"/>
      </w:r>
      <w:r w:rsidR="000C5051" w:rsidRPr="00D0236F">
        <w:rPr>
          <w:rFonts w:ascii="Times New Roman" w:eastAsiaTheme="minorEastAsia" w:hAnsi="Times New Roman" w:cs="Times New Roman"/>
          <w:color w:val="000000" w:themeColor="text1"/>
          <w:spacing w:val="-3"/>
          <w:sz w:val="22"/>
          <w:szCs w:val="22"/>
          <w:lang w:eastAsia="zh-CN"/>
        </w:rPr>
        <w:t xml:space="preserve">. </w:t>
      </w:r>
      <w:commentRangeStart w:id="10"/>
      <w:commentRangeEnd w:id="10"/>
      <w:r w:rsidR="00AC19CD" w:rsidRPr="00D0236F">
        <w:rPr>
          <w:rStyle w:val="CommentReference"/>
          <w:rFonts w:ascii="Times New Roman" w:eastAsia="Times New Roman" w:hAnsi="Times New Roman" w:cs="Times New Roman"/>
          <w:color w:val="auto"/>
          <w:sz w:val="22"/>
          <w:szCs w:val="22"/>
        </w:rPr>
        <w:commentReference w:id="10"/>
      </w:r>
    </w:p>
    <w:p w14:paraId="5B0FA358" w14:textId="77777777" w:rsidR="008D184F" w:rsidRPr="00D0236F" w:rsidRDefault="008D184F" w:rsidP="005B7F6E">
      <w:pPr>
        <w:spacing w:line="360" w:lineRule="auto"/>
        <w:rPr>
          <w:rFonts w:eastAsiaTheme="minorEastAsia"/>
          <w:lang w:eastAsia="ko-KR"/>
        </w:rPr>
      </w:pPr>
    </w:p>
    <w:p w14:paraId="6CAC1B7B" w14:textId="77777777" w:rsidR="00D3651D" w:rsidRPr="00D0236F"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77777777" w:rsidR="00D3651D" w:rsidRPr="00D0236F" w:rsidRDefault="00D3651D" w:rsidP="005B7F6E">
      <w:pPr>
        <w:pStyle w:val="BodyText"/>
        <w:spacing w:line="360" w:lineRule="auto"/>
        <w:ind w:left="0"/>
        <w:rPr>
          <w:sz w:val="22"/>
          <w:szCs w:val="22"/>
        </w:rPr>
      </w:pPr>
      <w:r w:rsidRPr="00D0236F">
        <w:rPr>
          <w:noProof/>
          <w:sz w:val="22"/>
          <w:szCs w:val="22"/>
        </w:rPr>
        <w:lastRenderedPageBreak/>
        <w:drawing>
          <wp:inline distT="0" distB="0" distL="0" distR="0" wp14:anchorId="3459AAA3" wp14:editId="6AC0F5B1">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B13BB1">
        <w:rPr>
          <w:sz w:val="22"/>
          <w:szCs w:val="22"/>
          <w:highlight w:val="yellow"/>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11" w:name="Cohort_Study_Design_and_Regression_Model"/>
      <w:bookmarkEnd w:id="11"/>
    </w:p>
    <w:p w14:paraId="12397975" w14:textId="52BED26D"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and matching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{"citationID":"dyrx89jl","properties":{"formattedCitation":"[13], [14]","plainCitation":"[13], [14]","noteIndex":0},"citationItems":[{"id":45,"uris":["http://zotero.org/users/14790911/items/Q442CZCD"],"itemData":{"id":45,"type":"article-journal","abstract":"The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[13], [14]</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5D87D64A" w:rsidR="008D184F" w:rsidRPr="00D0236F" w:rsidRDefault="002F0C3B" w:rsidP="00B61119">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infection events between these points (Figure 3). To ensure the validity of our assessment of S antibody levels on COVID-19 protection (Figure 3), we implemented rigorous exclusion criteria. Individuals not participating in the second survey and those vaccinated between surveillance periods were excluded to maintain the relevance of initial S antibody levels. </w:t>
      </w:r>
      <w:r w:rsidR="00B61119" w:rsidRPr="00B61119">
        <w:rPr>
          <w:rFonts w:eastAsiaTheme="minorEastAsia"/>
          <w:color w:val="000000" w:themeColor="text1"/>
          <w:sz w:val="22"/>
          <w:szCs w:val="22"/>
          <w:lang w:eastAsia="ko-KR"/>
        </w:rPr>
        <w:t>We also excluded abnormal cases where the S antibody level increased at S2 without any documented infection or vaccination during that period. Additionally, to maintain consistency between the control and case groups, we excluded individuals who received vaccinations during S1 and S2.</w:t>
      </w:r>
      <w:r w:rsidR="00B61119">
        <w:rPr>
          <w:rFonts w:eastAsiaTheme="minorEastAsia"/>
          <w:color w:val="000000" w:themeColor="text1"/>
          <w:sz w:val="22"/>
          <w:szCs w:val="22"/>
          <w:lang w:eastAsia="ko-KR"/>
        </w:rPr>
        <w:t xml:space="preserve"> After the data processing, w</w:t>
      </w:r>
      <w:r w:rsidRPr="00D0236F">
        <w:rPr>
          <w:rFonts w:eastAsiaTheme="minorEastAsia"/>
          <w:color w:val="000000" w:themeColor="text1"/>
          <w:sz w:val="22"/>
          <w:szCs w:val="22"/>
          <w:lang w:eastAsia="ko-KR"/>
        </w:rPr>
        <w:t>e employed a nested case-control (NCC) design</w:t>
      </w:r>
      <w:r w:rsidR="007978EA"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{"citationID":"3eex9ghz","properties":{"formattedCitation":"[15], [16]","plainCitation":"[15], [16]","noteIndex":0},"citationItems":[{"id":53,"uris":["http://zotero.org/users/14790911/items/W7WCIITV"],"itemData":{"id":53,"type":"article-journal","abstract":"BACKGROUND: The nested case-control design can be a very efficient approach to an epidemiological investigation. In order to obtain unbiased estimates of relative risk, controls should be selected by incidence density sampling, which involves matching each case to a sample of those who are at risk at the time of case occurrence.\nMETHODS: This paper presents a simple computer program for incidence density sampling. This program was evaluated using data derived from a cohort study of mortality among workers employed in the nuclear weapons industry. Controls were selected for cases via incidence density sampling; an estimate of the exposure-mortality association was obtained via conditional logistic regression. After 100 iterations of this procedure, the average effect estimate was compared to the risk estimate obtained via proportional hazards regression. The same methods were used to evaluate a program for incidence density sampling that was proposed previously by Pearce in 1989.\nRESULTS: Relative risk estimates obtained from nested case-control analyses conducted using the incidence density sampling program reported in this paper are unbiased. In contrast, the program for incidence density sampling proposed by Pearce tended to produce biased relative risk estimates; the magnitude of bias increased with increasing numbers of controls selected per case.\nCONCLUSIONS: The computer program described in this paper offers a simple approach to incidence density sampling for nested case-control analyses with exact matching on attained age and appropriate enumeration of the pool of eligible controls for each case. This method overcomes problems of bias inherent in a previously proposed program for incidence density sampling.","container-title":"Occupational and Environmental Medicine","DOI":"10.1136/oem.2004.014472","ISSN":"1470-7926","issue":"12","journalAbbreviation":"Occup Environ Med","language":"eng","note":"PMID: 15550597\nPMCID: PMC1740694","page":"e59","source":"PubMed","title":"An incidence density sampling program for nested case-control analyses","volume":"61","author":[{"family":"Richardson","given":"D. B."}],"issued":{"date-parts":[["2004",12]]}}},{"id":50,"uris":["http://zotero.org/users/14790911/items/KVLUIK78"],"itemData":{"id":50,"type":"article-journal","abstract":"&lt;p&gt;There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[15], [16]</w:t>
      </w:r>
      <w:r w:rsidR="007978EA" w:rsidRPr="00D0236F">
        <w:rPr>
          <w:rFonts w:eastAsiaTheme="minorEastAsia"/>
          <w:color w:val="000000" w:themeColor="text1"/>
          <w:sz w:val="22"/>
          <w:szCs w:val="22"/>
          <w:lang w:eastAsia="ko-KR"/>
        </w:rPr>
        <w:fldChar w:fldCharType="end"/>
      </w:r>
      <w:r w:rsidRPr="00D0236F">
        <w:rPr>
          <w:rFonts w:eastAsiaTheme="minorEastAsia"/>
          <w:color w:val="000000" w:themeColor="text1"/>
          <w:sz w:val="22"/>
          <w:szCs w:val="22"/>
          <w:lang w:eastAsia="ko-KR"/>
        </w:rPr>
        <w:t>, matching cases and controls by age and S antibody levels while treating other characteristics as potential confounders. This approach ensured robust comparisons and controlled for confounding variables in the logistic regression model.</w:t>
      </w:r>
    </w:p>
    <w:p w14:paraId="3404F432" w14:textId="77777777" w:rsidR="002F0C3B" w:rsidRPr="00D0236F" w:rsidRDefault="002F0C3B" w:rsidP="005B7F6E">
      <w:pPr>
        <w:pStyle w:val="BodyText"/>
        <w:spacing w:line="360" w:lineRule="auto"/>
        <w:ind w:left="0"/>
        <w:jc w:val="both"/>
        <w:rPr>
          <w:rFonts w:eastAsiaTheme="minorEastAsia"/>
          <w:b/>
          <w:bCs/>
          <w:sz w:val="22"/>
          <w:szCs w:val="22"/>
          <w:lang w:eastAsia="ko-KR"/>
        </w:rPr>
      </w:pPr>
    </w:p>
    <w:p w14:paraId="664EFF74" w14:textId="7E7C28BF" w:rsidR="008D184F" w:rsidRPr="00D0236F" w:rsidRDefault="00D3651D" w:rsidP="005B7F6E">
      <w:pPr>
        <w:pStyle w:val="BodyText"/>
        <w:spacing w:line="360" w:lineRule="auto"/>
        <w:ind w:left="0"/>
        <w:jc w:val="both"/>
        <w:rPr>
          <w:rFonts w:eastAsiaTheme="minorEastAsia"/>
          <w:sz w:val="22"/>
          <w:szCs w:val="22"/>
          <w:lang w:eastAsia="ko-KR"/>
        </w:rPr>
      </w:pPr>
      <w:commentRangeStart w:id="12"/>
      <w:commentRangeStart w:id="13"/>
      <w:r w:rsidRPr="00D0236F">
        <w:rPr>
          <w:rFonts w:eastAsiaTheme="minorEastAsia"/>
          <w:b/>
          <w:bCs/>
          <w:sz w:val="22"/>
          <w:szCs w:val="22"/>
          <w:lang w:eastAsia="ko-KR"/>
        </w:rPr>
        <w:t>Statistical analyses</w:t>
      </w:r>
      <w:r w:rsidRPr="00D0236F">
        <w:rPr>
          <w:rFonts w:eastAsiaTheme="minorEastAsia"/>
          <w:sz w:val="22"/>
          <w:szCs w:val="22"/>
          <w:lang w:eastAsia="ko-KR"/>
        </w:rPr>
        <w:t xml:space="preserve">. </w:t>
      </w:r>
      <w:bookmarkStart w:id="14" w:name="Results"/>
      <w:bookmarkEnd w:id="14"/>
      <w:commentRangeEnd w:id="12"/>
      <w:r w:rsidR="006D6499" w:rsidRPr="00D0236F">
        <w:rPr>
          <w:rStyle w:val="CommentReference"/>
          <w:sz w:val="22"/>
          <w:szCs w:val="22"/>
        </w:rPr>
        <w:commentReference w:id="12"/>
      </w:r>
      <w:commentRangeEnd w:id="13"/>
      <w:r w:rsidR="006D6499" w:rsidRPr="00D0236F">
        <w:rPr>
          <w:rStyle w:val="CommentReference"/>
          <w:sz w:val="22"/>
          <w:szCs w:val="22"/>
        </w:rPr>
        <w:commentReference w:id="13"/>
      </w:r>
      <w:r w:rsidR="009732E2">
        <w:rPr>
          <w:rFonts w:eastAsiaTheme="minorEastAsia" w:hint="eastAsia"/>
          <w:sz w:val="22"/>
          <w:szCs w:val="22"/>
          <w:lang w:eastAsia="ko-KR"/>
        </w:rPr>
        <w:t>First, w</w:t>
      </w:r>
      <w:r w:rsidR="002F0C3B" w:rsidRPr="00D0236F">
        <w:rPr>
          <w:rFonts w:eastAsiaTheme="minorEastAsia"/>
          <w:sz w:val="22"/>
          <w:szCs w:val="22"/>
          <w:lang w:eastAsia="ko-KR"/>
        </w:rPr>
        <w:t>e began by conducting descriptive analyses to generate trajectory plots that track the average changes in S antibody levels across different immunity groups and age subgroups following immunological events.</w:t>
      </w:r>
      <w:r w:rsidR="00B13BB1">
        <w:rPr>
          <w:rFonts w:eastAsiaTheme="minorEastAsia"/>
          <w:sz w:val="22"/>
          <w:szCs w:val="22"/>
          <w:lang w:eastAsia="ko-KR"/>
        </w:rPr>
        <w:t xml:space="preserve"> </w:t>
      </w:r>
      <w:r w:rsidR="009732E2">
        <w:rPr>
          <w:rFonts w:eastAsiaTheme="minorEastAsia" w:hint="eastAsia"/>
          <w:sz w:val="22"/>
          <w:szCs w:val="22"/>
          <w:lang w:eastAsia="ko-KR"/>
        </w:rPr>
        <w:t xml:space="preserve">Second, we constructed respective cohort groups for hybrid and vaccine groups and evaluated the risk of infection events using logistic regression model to determine the risk factors. </w:t>
      </w:r>
      <w:commentRangeStart w:id="15"/>
      <w:r w:rsidR="00452713" w:rsidRPr="00D0236F">
        <w:rPr>
          <w:rFonts w:eastAsiaTheme="minorEastAsia"/>
          <w:sz w:val="22"/>
          <w:szCs w:val="22"/>
          <w:lang w:eastAsia="ko-KR"/>
        </w:rPr>
        <w:t xml:space="preserve">The outcome within each group was defined as the infection status </w:t>
      </w:r>
      <w:r w:rsidR="00B13BB1">
        <w:rPr>
          <w:rFonts w:eastAsiaTheme="minorEastAsia"/>
          <w:sz w:val="22"/>
          <w:szCs w:val="22"/>
          <w:lang w:eastAsia="ko-KR"/>
        </w:rPr>
        <w:t xml:space="preserve">(based on the confirmed date) </w:t>
      </w:r>
      <w:r w:rsidR="00452713" w:rsidRPr="00D0236F">
        <w:rPr>
          <w:rFonts w:eastAsiaTheme="minorEastAsia"/>
          <w:sz w:val="22"/>
          <w:szCs w:val="22"/>
          <w:lang w:eastAsia="ko-KR"/>
        </w:rPr>
        <w:t>during the first and second surveillance periods</w:t>
      </w:r>
      <w:commentRangeEnd w:id="15"/>
      <w:r w:rsidR="00B3651A">
        <w:rPr>
          <w:rStyle w:val="CommentReference"/>
        </w:rPr>
        <w:commentReference w:id="15"/>
      </w:r>
      <w:r w:rsidR="00452713" w:rsidRPr="00D0236F">
        <w:rPr>
          <w:rFonts w:eastAsiaTheme="minorEastAsia"/>
          <w:sz w:val="22"/>
          <w:szCs w:val="22"/>
          <w:lang w:eastAsia="ko-KR"/>
        </w:rPr>
        <w:t>.</w:t>
      </w:r>
      <w:r w:rsidR="00452713">
        <w:rPr>
          <w:rFonts w:eastAsiaTheme="minorEastAsia" w:hint="eastAsia"/>
          <w:sz w:val="22"/>
          <w:szCs w:val="22"/>
          <w:lang w:eastAsia="ko-KR"/>
        </w:rPr>
        <w:t xml:space="preserve"> </w:t>
      </w:r>
      <w:commentRangeStart w:id="16"/>
      <w:r w:rsidR="00E95EF0" w:rsidRPr="00D0236F">
        <w:rPr>
          <w:rFonts w:eastAsiaTheme="minorEastAsia"/>
          <w:sz w:val="22"/>
          <w:szCs w:val="22"/>
          <w:lang w:eastAsia="ko-KR"/>
        </w:rPr>
        <w:t xml:space="preserve">To address potential imbalances in the case-control data and to </w:t>
      </w:r>
      <w:r w:rsidR="00E95EF0" w:rsidRPr="00B13BB1">
        <w:rPr>
          <w:rFonts w:eastAsiaTheme="minorEastAsia"/>
          <w:sz w:val="22"/>
          <w:szCs w:val="22"/>
          <w:highlight w:val="yellow"/>
          <w:lang w:eastAsia="ko-KR"/>
        </w:rPr>
        <w:t xml:space="preserve">control </w:t>
      </w:r>
      <w:commentRangeStart w:id="17"/>
      <w:r w:rsidR="00E95EF0" w:rsidRPr="00B13BB1">
        <w:rPr>
          <w:rFonts w:eastAsiaTheme="minorEastAsia"/>
          <w:sz w:val="22"/>
          <w:szCs w:val="22"/>
          <w:highlight w:val="yellow"/>
          <w:lang w:eastAsia="ko-KR"/>
        </w:rPr>
        <w:t>for confounding variables</w:t>
      </w:r>
      <w:commentRangeEnd w:id="17"/>
      <w:r w:rsidR="00E95EF0" w:rsidRPr="00B13BB1">
        <w:rPr>
          <w:rStyle w:val="CommentReference"/>
          <w:sz w:val="22"/>
          <w:szCs w:val="22"/>
          <w:highlight w:val="yellow"/>
        </w:rPr>
        <w:commentReference w:id="17"/>
      </w:r>
      <w:r w:rsidR="00E95EF0" w:rsidRPr="00D0236F">
        <w:rPr>
          <w:rFonts w:eastAsiaTheme="minorEastAsia"/>
          <w:sz w:val="22"/>
          <w:szCs w:val="22"/>
          <w:lang w:eastAsia="ko-KR"/>
        </w:rPr>
        <w:t xml:space="preserve">, we implemented the nested case-control (NCC) method using the R package ‘Epi’ </w:t>
      </w:r>
      <w:r w:rsidR="00E95EF0"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{"citationID":"Im5arJyK","properties":{"formattedCitation":"[17]","plainCitation":"[17]","noteIndex":0},"citationItems":[{"id":56,"uris":["http://zotero.org/users/14790911/items/ZV4AD8IJ"],"itemData":{"id":56,"type":"software","abstract":"Functions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E95EF0" w:rsidRPr="00D0236F">
        <w:rPr>
          <w:rFonts w:eastAsiaTheme="minorEastAsia"/>
          <w:sz w:val="22"/>
          <w:szCs w:val="22"/>
          <w:lang w:eastAsia="ko-KR"/>
        </w:rPr>
        <w:fldChar w:fldCharType="separate"/>
      </w:r>
      <w:r w:rsidR="00901120">
        <w:rPr>
          <w:rFonts w:eastAsiaTheme="minorEastAsia"/>
          <w:noProof/>
          <w:sz w:val="22"/>
          <w:szCs w:val="22"/>
          <w:lang w:eastAsia="ko-KR"/>
        </w:rPr>
        <w:t>[17]</w:t>
      </w:r>
      <w:r w:rsidR="00E95EF0" w:rsidRPr="00D0236F">
        <w:rPr>
          <w:rFonts w:eastAsiaTheme="minorEastAsia"/>
          <w:sz w:val="22"/>
          <w:szCs w:val="22"/>
          <w:lang w:eastAsia="ko-KR"/>
        </w:rPr>
        <w:fldChar w:fldCharType="end"/>
      </w:r>
      <w:r w:rsidR="00E95EF0" w:rsidRPr="00D0236F">
        <w:rPr>
          <w:rFonts w:eastAsiaTheme="minorEastAsia"/>
          <w:sz w:val="22"/>
          <w:szCs w:val="22"/>
          <w:lang w:eastAsia="ko-KR"/>
        </w:rPr>
        <w:t xml:space="preserve">, adjusting the </w:t>
      </w:r>
      <w:r w:rsidR="00E95EF0" w:rsidRPr="00D0236F">
        <w:rPr>
          <w:rFonts w:eastAsiaTheme="minorEastAsia"/>
          <w:sz w:val="22"/>
          <w:szCs w:val="22"/>
          <w:lang w:eastAsia="ko-KR"/>
        </w:rPr>
        <w:lastRenderedPageBreak/>
        <w:t xml:space="preserve">matching ratio from 1:6 to 1:3 between cases and controls. This adjustment was made based on the recommendations of Pearce </w:t>
      </w:r>
      <w:r w:rsidR="00E95EF0"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{"citationID":"EnBhPv9O","properties":{"formattedCitation":"[16]","plainCitation":"[16]","noteIndex":0},"citationItems":[{"id":50,"uris":["http://zotero.org/users/14790911/items/KVLUIK78"],"itemData":{"id":50,"type":"article-journal","abstract":"&lt;p&gt;There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E95EF0" w:rsidRPr="00D0236F">
        <w:rPr>
          <w:rFonts w:eastAsiaTheme="minorEastAsia"/>
          <w:sz w:val="22"/>
          <w:szCs w:val="22"/>
          <w:lang w:eastAsia="ko-KR"/>
        </w:rPr>
        <w:fldChar w:fldCharType="separate"/>
      </w:r>
      <w:r w:rsidR="00901120">
        <w:rPr>
          <w:rFonts w:eastAsiaTheme="minorEastAsia"/>
          <w:noProof/>
          <w:sz w:val="22"/>
          <w:szCs w:val="22"/>
          <w:lang w:eastAsia="ko-KR"/>
        </w:rPr>
        <w:t>[16]</w:t>
      </w:r>
      <w:r w:rsidR="00E95EF0" w:rsidRPr="00D0236F">
        <w:rPr>
          <w:rFonts w:eastAsiaTheme="minorEastAsia"/>
          <w:sz w:val="22"/>
          <w:szCs w:val="22"/>
          <w:lang w:eastAsia="ko-KR"/>
        </w:rPr>
        <w:fldChar w:fldCharType="end"/>
      </w:r>
      <w:r w:rsidR="00E95EF0" w:rsidRPr="00D0236F">
        <w:rPr>
          <w:rFonts w:eastAsiaTheme="minorEastAsia"/>
          <w:sz w:val="22"/>
          <w:szCs w:val="22"/>
          <w:lang w:eastAsia="ko-KR"/>
        </w:rPr>
        <w:t xml:space="preserve"> to optimize the balance between statistical power and practical feasibility. </w:t>
      </w:r>
      <w:commentRangeEnd w:id="16"/>
      <w:r w:rsidR="00E95EF0" w:rsidRPr="00D0236F">
        <w:rPr>
          <w:rStyle w:val="CommentReference"/>
          <w:sz w:val="22"/>
          <w:szCs w:val="22"/>
        </w:rPr>
        <w:commentReference w:id="16"/>
      </w:r>
      <w:r w:rsidR="009732E2">
        <w:rPr>
          <w:rFonts w:eastAsiaTheme="minorEastAsia" w:hint="eastAsia"/>
          <w:sz w:val="22"/>
          <w:szCs w:val="22"/>
          <w:lang w:eastAsia="ko-KR"/>
        </w:rPr>
        <w:t xml:space="preserve">Third, </w:t>
      </w:r>
      <w:r w:rsidR="00452713" w:rsidRPr="00D0236F">
        <w:rPr>
          <w:rFonts w:eastAsiaTheme="minorEastAsia"/>
          <w:sz w:val="22"/>
          <w:szCs w:val="22"/>
          <w:lang w:eastAsia="ko-KR"/>
        </w:rPr>
        <w:t xml:space="preserve">we performed Kaplan-Meier survival analyses to compare the protective efficacy of the two primary immunity groups, focusing on the probability of remaining free from COVID-19 infection after the initial surveillance period. Furthermore, we employed Cox proportional hazards regression to investigate the effects of various variables on survival time, </w:t>
      </w:r>
      <w:commentRangeStart w:id="18"/>
      <w:r w:rsidR="00452713" w:rsidRPr="00D0236F">
        <w:rPr>
          <w:rFonts w:eastAsiaTheme="minorEastAsia"/>
          <w:sz w:val="22"/>
          <w:szCs w:val="22"/>
          <w:lang w:eastAsia="ko-KR"/>
        </w:rPr>
        <w:t>adjusting for potential confounders</w:t>
      </w:r>
      <w:commentRangeEnd w:id="18"/>
      <w:r w:rsidR="00452713" w:rsidRPr="00D0236F">
        <w:rPr>
          <w:rStyle w:val="CommentReference"/>
          <w:sz w:val="22"/>
          <w:szCs w:val="22"/>
        </w:rPr>
        <w:commentReference w:id="18"/>
      </w:r>
      <w:r w:rsidR="00452713" w:rsidRPr="00D0236F">
        <w:rPr>
          <w:rFonts w:eastAsiaTheme="minorEastAsia"/>
          <w:sz w:val="22"/>
          <w:szCs w:val="22"/>
          <w:lang w:eastAsia="ko-KR"/>
        </w:rPr>
        <w:t xml:space="preserve">. </w:t>
      </w:r>
      <w:r w:rsidR="009732E2">
        <w:rPr>
          <w:rFonts w:eastAsiaTheme="minorEastAsia" w:hint="eastAsia"/>
          <w:sz w:val="22"/>
          <w:szCs w:val="22"/>
          <w:lang w:eastAsia="ko-KR"/>
        </w:rPr>
        <w:t>Finally, we conducted mixed effect regression model to</w:t>
      </w:r>
      <w:r w:rsidR="002F0C3B" w:rsidRPr="00D0236F">
        <w:rPr>
          <w:rFonts w:eastAsiaTheme="minorEastAsia"/>
          <w:sz w:val="22"/>
          <w:szCs w:val="22"/>
          <w:lang w:eastAsia="ko-KR"/>
        </w:rPr>
        <w:t xml:space="preserve"> evaluate the protective ef</w:t>
      </w:r>
      <w:r w:rsidR="00452713">
        <w:rPr>
          <w:rFonts w:eastAsiaTheme="minorEastAsia" w:hint="eastAsia"/>
          <w:sz w:val="22"/>
          <w:szCs w:val="22"/>
          <w:lang w:eastAsia="ko-KR"/>
        </w:rPr>
        <w:t>fectiveness</w:t>
      </w:r>
      <w:r w:rsidR="002F0C3B" w:rsidRPr="00D0236F">
        <w:rPr>
          <w:rFonts w:eastAsiaTheme="minorEastAsia"/>
          <w:sz w:val="22"/>
          <w:szCs w:val="22"/>
          <w:lang w:eastAsia="ko-KR"/>
        </w:rPr>
        <w:t xml:space="preserve">, defined as the probability of remaining infection-free, associated with S antibody levels across different immunity and age subgroups. </w:t>
      </w:r>
      <w:r w:rsidR="00452713">
        <w:rPr>
          <w:rFonts w:eastAsiaTheme="minorEastAsia"/>
          <w:sz w:val="22"/>
          <w:szCs w:val="22"/>
          <w:lang w:eastAsia="ko-KR"/>
        </w:rPr>
        <w:t>A</w:t>
      </w:r>
      <w:r w:rsidR="00452713">
        <w:rPr>
          <w:rFonts w:eastAsiaTheme="minorEastAsia" w:hint="eastAsia"/>
          <w:sz w:val="22"/>
          <w:szCs w:val="22"/>
          <w:lang w:eastAsia="ko-KR"/>
        </w:rPr>
        <w:t xml:space="preserve">dd </w:t>
      </w:r>
      <w:proofErr w:type="spellStart"/>
      <w:r w:rsidR="00452713">
        <w:rPr>
          <w:rFonts w:eastAsiaTheme="minorEastAsia" w:hint="eastAsia"/>
          <w:sz w:val="22"/>
          <w:szCs w:val="22"/>
          <w:lang w:eastAsia="ko-KR"/>
        </w:rPr>
        <w:t>github</w:t>
      </w:r>
      <w:proofErr w:type="spellEnd"/>
      <w:r w:rsidR="00452713">
        <w:rPr>
          <w:rFonts w:eastAsiaTheme="minorEastAsia" w:hint="eastAsia"/>
          <w:sz w:val="22"/>
          <w:szCs w:val="22"/>
          <w:lang w:eastAsia="ko-KR"/>
        </w:rPr>
        <w:t xml:space="preserve"> link here. </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ko-KR"/>
        </w:rPr>
      </w:pPr>
      <w:r w:rsidRPr="00D0236F">
        <w:rPr>
          <w:b/>
          <w:bCs/>
          <w:sz w:val="22"/>
          <w:szCs w:val="22"/>
        </w:rPr>
        <w:t>Results</w:t>
      </w:r>
      <w:bookmarkStart w:id="19" w:name="Survival_Analysis_of_Immunity_Types_Acro"/>
      <w:bookmarkEnd w:id="19"/>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lastRenderedPageBreak/>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0995347C" w14:textId="77777777" w:rsidR="005C4E26" w:rsidRPr="00D0236F" w:rsidRDefault="005C4E26" w:rsidP="005C4E26">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D0236F">
        <w:rPr>
          <w:rFonts w:eastAsiaTheme="minorEastAsia"/>
          <w:color w:val="0E0E0E"/>
          <w:sz w:val="22"/>
          <w:szCs w:val="22"/>
          <w:lang w:eastAsia="ko-KR"/>
          <w14:ligatures w14:val="standardContextual"/>
        </w:rPr>
        <w:t>is able to</w:t>
      </w:r>
      <w:proofErr w:type="gramEnd"/>
      <w:r w:rsidRPr="00D0236F">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5F48A75D" w14:textId="50EB25E3" w:rsidR="00D3651D" w:rsidRPr="00D0236F" w:rsidRDefault="00E84F8E" w:rsidP="005B7F6E">
      <w:pPr>
        <w:widowControl/>
        <w:tabs>
          <w:tab w:val="num" w:pos="720"/>
        </w:tabs>
        <w:adjustRightInd w:val="0"/>
        <w:spacing w:line="360" w:lineRule="auto"/>
        <w:contextualSpacing/>
        <w:jc w:val="center"/>
        <w:rPr>
          <w:rFonts w:eastAsiaTheme="minorEastAsia"/>
        </w:rPr>
      </w:pPr>
      <w:r w:rsidRPr="00D0236F">
        <w:rPr>
          <w:rFonts w:eastAsiaTheme="minorEastAsia"/>
          <w:noProof/>
          <w14:ligatures w14:val="standardContextual"/>
        </w:rPr>
        <w:drawing>
          <wp:inline distT="0" distB="0" distL="0" distR="0" wp14:anchorId="681967A7" wp14:editId="6C763890">
            <wp:extent cx="4784369" cy="4016416"/>
            <wp:effectExtent l="0" t="0" r="0" b="3175"/>
            <wp:docPr id="3840514" name="Picture 1"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14" name="Picture 1" descr="A graph of a number of vaccination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620" cy="4080428"/>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 xml:space="preserve">Figure 3: </w:t>
      </w:r>
      <w:commentRangeStart w:id="20"/>
      <w:r w:rsidRPr="00D0236F">
        <w:rPr>
          <w:sz w:val="22"/>
          <w:szCs w:val="22"/>
        </w:rPr>
        <w:t>Survival Plot f</w:t>
      </w:r>
      <w:commentRangeEnd w:id="20"/>
      <w:r w:rsidR="00171EB7">
        <w:rPr>
          <w:rStyle w:val="CommentReference"/>
        </w:rPr>
        <w:commentReference w:id="20"/>
      </w:r>
      <w:r w:rsidRPr="00D0236F">
        <w:rPr>
          <w:sz w:val="22"/>
          <w:szCs w:val="22"/>
        </w:rPr>
        <w:t>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Pr="00D0236F"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4EC58BEC" w14:textId="77777777" w:rsidR="00D3651D" w:rsidRPr="00D0236F" w:rsidRDefault="00D3651D" w:rsidP="005B7F6E">
      <w:pPr>
        <w:pStyle w:val="BodyText"/>
        <w:spacing w:line="360" w:lineRule="auto"/>
        <w:ind w:left="0"/>
        <w:rPr>
          <w:sz w:val="22"/>
          <w:szCs w:val="22"/>
        </w:rPr>
      </w:pPr>
    </w:p>
    <w:p w14:paraId="31D52641" w14:textId="7C5A4037" w:rsidR="00D3651D" w:rsidRPr="00D0236F" w:rsidRDefault="00D3651D" w:rsidP="005B7F6E">
      <w:pPr>
        <w:pStyle w:val="BodyText"/>
        <w:spacing w:line="360" w:lineRule="auto"/>
        <w:ind w:left="0"/>
        <w:rPr>
          <w:rFonts w:eastAsiaTheme="minorEastAsia"/>
          <w:sz w:val="22"/>
          <w:szCs w:val="22"/>
          <w:lang w:eastAsia="ko-KR"/>
        </w:rPr>
      </w:pPr>
      <w:bookmarkStart w:id="21" w:name="Infection_Risk_Factors_Analysis"/>
      <w:bookmarkEnd w:id="21"/>
      <w:r w:rsidRPr="00D0236F">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21"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236F" w:rsidRDefault="00D3651D" w:rsidP="005B7F6E">
      <w:pPr>
        <w:pStyle w:val="BodyText"/>
        <w:spacing w:line="360" w:lineRule="auto"/>
        <w:ind w:left="2040"/>
        <w:rPr>
          <w:rFonts w:eastAsiaTheme="minorEastAsia"/>
          <w:sz w:val="22"/>
          <w:szCs w:val="22"/>
          <w:lang w:eastAsia="ko-KR"/>
        </w:rPr>
      </w:pPr>
      <w:commentRangeStart w:id="22"/>
      <w:commentRangeStart w:id="23"/>
      <w:r w:rsidRPr="00D0236F">
        <w:rPr>
          <w:sz w:val="22"/>
          <w:szCs w:val="22"/>
        </w:rPr>
        <w:t>Table 2: Cox Proportional Hazards Regression Results</w:t>
      </w:r>
      <w:commentRangeEnd w:id="22"/>
      <w:r w:rsidR="001D07B1">
        <w:rPr>
          <w:rStyle w:val="CommentReference"/>
        </w:rPr>
        <w:commentReference w:id="22"/>
      </w:r>
      <w:commentRangeEnd w:id="23"/>
      <w:r w:rsidR="001D07B1">
        <w:rPr>
          <w:rStyle w:val="CommentReference"/>
        </w:rPr>
        <w:commentReference w:id="23"/>
      </w:r>
    </w:p>
    <w:p w14:paraId="3F4A0E9B" w14:textId="77777777" w:rsidR="002F0C3B" w:rsidRPr="00D0236F" w:rsidRDefault="002F0C3B" w:rsidP="005B7F6E">
      <w:pPr>
        <w:pStyle w:val="BodyText"/>
        <w:spacing w:line="360" w:lineRule="auto"/>
        <w:ind w:left="0"/>
        <w:jc w:val="both"/>
        <w:rPr>
          <w:sz w:val="22"/>
          <w:szCs w:val="22"/>
        </w:rPr>
      </w:pPr>
    </w:p>
    <w:p w14:paraId="55C53F4F" w14:textId="25300C06" w:rsidR="008D184F" w:rsidRPr="00D0236F" w:rsidRDefault="008D184F" w:rsidP="005B7F6E">
      <w:pPr>
        <w:pStyle w:val="BodyText"/>
        <w:spacing w:line="360" w:lineRule="auto"/>
        <w:ind w:left="0"/>
        <w:jc w:val="both"/>
        <w:rPr>
          <w:rFonts w:eastAsiaTheme="minorEastAsia"/>
          <w:sz w:val="22"/>
          <w:szCs w:val="22"/>
          <w:lang w:eastAsia="ko-KR"/>
        </w:rPr>
      </w:pPr>
      <w:r w:rsidRPr="00D0236F">
        <w:rPr>
          <w:sz w:val="22"/>
          <w:szCs w:val="22"/>
        </w:rPr>
        <w:t>The hazard ratio (exp(</w:t>
      </w:r>
      <w:proofErr w:type="spellStart"/>
      <w:r w:rsidRPr="00D0236F">
        <w:rPr>
          <w:sz w:val="22"/>
          <w:szCs w:val="22"/>
        </w:rPr>
        <w:t>coef</w:t>
      </w:r>
      <w:proofErr w:type="spellEnd"/>
      <w:r w:rsidRPr="00D0236F">
        <w:rPr>
          <w:sz w:val="22"/>
          <w:szCs w:val="22"/>
        </w:rPr>
        <w:t>))</w:t>
      </w:r>
      <w:r w:rsidRPr="00D0236F">
        <w:rPr>
          <w:rFonts w:eastAsiaTheme="minorEastAsia"/>
          <w:sz w:val="22"/>
          <w:szCs w:val="22"/>
          <w:lang w:eastAsia="ko-KR"/>
        </w:rPr>
        <w:t xml:space="preserve"> 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3FF1DD8A" w14:textId="77777777" w:rsidR="009D2CEB" w:rsidRPr="00D0236F" w:rsidRDefault="009D2CEB" w:rsidP="005B7F6E">
      <w:pPr>
        <w:pStyle w:val="BodyText"/>
        <w:spacing w:line="360" w:lineRule="auto"/>
        <w:ind w:left="0"/>
        <w:jc w:val="both"/>
        <w:rPr>
          <w:sz w:val="22"/>
          <w:szCs w:val="22"/>
        </w:rPr>
      </w:pPr>
    </w:p>
    <w:p w14:paraId="7A1533DA" w14:textId="33E75F14" w:rsidR="00D3651D" w:rsidRPr="00D0236F" w:rsidRDefault="00DE29D0" w:rsidP="009A4689">
      <w:pPr>
        <w:pStyle w:val="BodyText"/>
        <w:spacing w:line="360" w:lineRule="auto"/>
        <w:ind w:left="168"/>
        <w:rPr>
          <w:sz w:val="22"/>
          <w:szCs w:val="22"/>
          <w:lang w:eastAsia="zh-CN"/>
        </w:rPr>
      </w:pPr>
      <w:r w:rsidRPr="00D0236F">
        <w:rPr>
          <w:noProof/>
          <w:sz w:val="22"/>
          <w:szCs w:val="22"/>
          <w:lang w:eastAsia="zh-CN"/>
          <w14:ligatures w14:val="standardContextual"/>
        </w:rPr>
        <w:lastRenderedPageBreak/>
        <w:drawing>
          <wp:inline distT="0" distB="0" distL="0" distR="0" wp14:anchorId="4E374673" wp14:editId="6B5705C5">
            <wp:extent cx="6343650" cy="3035935"/>
            <wp:effectExtent l="0" t="0" r="6350" b="0"/>
            <wp:docPr id="49764393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3931" name="Picture 4" descr="A graph of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3650" cy="3035935"/>
                    </a:xfrm>
                    <a:prstGeom prst="rect">
                      <a:avLst/>
                    </a:prstGeom>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xml:space="preserve">: Regression line comparison for vaccine-induced (left) and </w:t>
      </w:r>
      <w:commentRangeStart w:id="24"/>
      <w:commentRangeStart w:id="25"/>
      <w:r w:rsidRPr="00D0236F">
        <w:rPr>
          <w:sz w:val="22"/>
          <w:szCs w:val="22"/>
        </w:rPr>
        <w:t>hybrid-induced (right) groups</w:t>
      </w:r>
      <w:commentRangeEnd w:id="24"/>
      <w:r w:rsidR="001F5E3E" w:rsidRPr="00D0236F">
        <w:rPr>
          <w:rStyle w:val="CommentReference"/>
          <w:sz w:val="22"/>
          <w:szCs w:val="22"/>
        </w:rPr>
        <w:commentReference w:id="24"/>
      </w:r>
      <w:commentRangeEnd w:id="25"/>
      <w:r w:rsidR="00110837" w:rsidRPr="00D0236F">
        <w:rPr>
          <w:rStyle w:val="CommentReference"/>
          <w:sz w:val="22"/>
          <w:szCs w:val="22"/>
        </w:rPr>
        <w:commentReference w:id="25"/>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w:t>
      </w:r>
      <w:proofErr w:type="gramStart"/>
      <w:r w:rsidRPr="00D0236F">
        <w:rPr>
          <w:rFonts w:eastAsiaTheme="minorEastAsia"/>
          <w:sz w:val="22"/>
          <w:szCs w:val="22"/>
          <w:lang w:eastAsia="ko-KR"/>
        </w:rPr>
        <w:t>similar to</w:t>
      </w:r>
      <w:proofErr w:type="gramEnd"/>
      <w:r w:rsidRPr="00D0236F">
        <w:rPr>
          <w:rFonts w:eastAsiaTheme="minorEastAsia"/>
          <w:sz w:val="22"/>
          <w:szCs w:val="22"/>
          <w:lang w:eastAsia="ko-KR"/>
        </w:rPr>
        <w:t xml:space="preserve">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26" w:name="Discussion"/>
      <w:bookmarkEnd w:id="26"/>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4F4AC1A7"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 xml:space="preserve">with detailed demographic information and serological assessment twice after an epidemic wave of omicron </w:t>
      </w:r>
      <w:commentRangeStart w:id="27"/>
      <w:r w:rsidRPr="00D0236F">
        <w:rPr>
          <w:rFonts w:eastAsiaTheme="minorEastAsia"/>
          <w:lang w:eastAsia="ko-KR"/>
        </w:rPr>
        <w:t>variants</w:t>
      </w:r>
      <w:commentRangeEnd w:id="27"/>
      <w:r w:rsidR="00107EC3" w:rsidRPr="00D0236F">
        <w:rPr>
          <w:rStyle w:val="CommentReference"/>
          <w:sz w:val="22"/>
          <w:szCs w:val="22"/>
        </w:rPr>
        <w:commentReference w:id="27"/>
      </w:r>
      <w:r w:rsidR="00D0236F" w:rsidRPr="00D0236F">
        <w:rPr>
          <w:rFonts w:eastAsiaTheme="minorEastAsia"/>
          <w:lang w:eastAsia="zh-CN"/>
        </w:rPr>
        <w:t xml:space="preserve"> </w:t>
      </w:r>
      <w:r w:rsidR="00D0236F" w:rsidRPr="00D0236F">
        <w:rPr>
          <w:rFonts w:eastAsiaTheme="minorEastAsia"/>
          <w:lang w:eastAsia="zh-CN"/>
        </w:rPr>
        <w:fldChar w:fldCharType="begin"/>
      </w:r>
      <w:r w:rsidR="00901120">
        <w:rPr>
          <w:rFonts w:eastAsiaTheme="minorEastAsia"/>
          <w:lang w:eastAsia="zh-CN"/>
        </w:rPr>
        <w:instrText xml:space="preserve"> ADDIN ZOTERO_ITEM CSL_CITATION {"citationID":"KlKWjeZG","properties":{"formattedCitation":"[18]","plainCitation":"[18]","noteIndex":0},"citationItems":[{"id":101,"uris":["http://zotero.org/users/14790911/items/CZ9UIUZY"],"itemData":{"id":101,"type":"webpage","title":"Seroprevalence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901120">
        <w:rPr>
          <w:rFonts w:eastAsiaTheme="minorEastAsia"/>
          <w:noProof/>
          <w:lang w:eastAsia="zh-CN"/>
        </w:rPr>
        <w:t>[18]</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xml:space="preserve">, different S antibody levels thresholds </w:t>
      </w:r>
      <w:proofErr w:type="gramStart"/>
      <w:r w:rsidR="005B3FC5">
        <w:rPr>
          <w:rFonts w:eastAsiaTheme="minorEastAsia" w:hint="eastAsia"/>
          <w:lang w:eastAsia="ko-KR"/>
        </w:rPr>
        <w:t>are</w:t>
      </w:r>
      <w:proofErr w:type="gramEnd"/>
      <w:r w:rsidR="005B3FC5">
        <w:rPr>
          <w:rFonts w:eastAsiaTheme="minorEastAsia" w:hint="eastAsia"/>
          <w:lang w:eastAsia="ko-KR"/>
        </w:rPr>
        <w:t xml:space="preserv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736937EB"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groups, age, sex, and S ab level were significant risk factors. </w:t>
      </w:r>
      <w:r w:rsidRPr="006B53B2">
        <w:rPr>
          <w:rFonts w:eastAsiaTheme="minorEastAsia"/>
          <w:color w:val="000000" w:themeColor="text1"/>
          <w:sz w:val="22"/>
          <w:szCs w:val="22"/>
          <w:lang w:eastAsia="ko-KR"/>
        </w:rPr>
        <w:t xml:space="preserve">When the Omicron variant emerged, the presumed population immunity was between 80% and 85%, although nearly half of the children were estimated to have no immunity </w:t>
      </w:r>
      <w:r w:rsidRPr="006B53B2">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{"citationID":"FIGhr6GE","properties":{"formattedCitation":"[20]","plainCitation":"[20]","noteIndex":0},"citationItems":[{"id":39,"uris":["http://zotero.org/users/14790911/items/5AIGFITG"],"itemData":{"id":39,"type":"article-journal","abstract":"Objectives\nWe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[20]</w:t>
      </w:r>
      <w:r w:rsidRPr="006B53B2">
        <w:rPr>
          <w:rFonts w:eastAsiaTheme="minorEastAsia"/>
          <w:color w:val="000000" w:themeColor="text1"/>
          <w:sz w:val="22"/>
          <w:szCs w:val="22"/>
          <w:lang w:eastAsia="ko-KR"/>
        </w:rPr>
        <w:fldChar w:fldCharType="end"/>
      </w:r>
      <w:r w:rsidRPr="006B53B2">
        <w:rPr>
          <w:rFonts w:eastAsiaTheme="minorEastAsia"/>
          <w:color w:val="000000" w:themeColor="text1"/>
          <w:sz w:val="22"/>
          <w:szCs w:val="22"/>
          <w:lang w:eastAsia="ko-KR"/>
        </w:rPr>
        <w:t>. 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proofErr w:type="spellStart"/>
      <w:r w:rsidR="001A5699" w:rsidRPr="00B3651A">
        <w:rPr>
          <w:color w:val="000000" w:themeColor="text1"/>
          <w:sz w:val="22"/>
          <w:szCs w:val="22"/>
          <w:shd w:val="clear" w:color="auto" w:fill="FFFFFF"/>
        </w:rPr>
        <w:t>immunosenescence</w:t>
      </w:r>
      <w:proofErr w:type="spellEnd"/>
      <w:r w:rsidR="001A5699" w:rsidRPr="00B3651A">
        <w:rPr>
          <w:color w:val="000000" w:themeColor="text1"/>
          <w:sz w:val="22"/>
          <w:szCs w:val="22"/>
          <w:shd w:val="clear" w:color="auto" w:fill="FFFFFF"/>
        </w:rPr>
        <w:t>, the age-related decline in the functioning of the immune system, results in a less complete immune response to novel antigens and a reduced ability to develop robust immunity after infections or vaccination</w:t>
      </w:r>
      <w:r w:rsidR="00B61119">
        <w:rPr>
          <w:color w:val="000000" w:themeColor="text1"/>
          <w:sz w:val="22"/>
          <w:szCs w:val="22"/>
          <w:shd w:val="clear" w:color="auto" w:fill="FFFFFF"/>
        </w:rPr>
        <w:t xml:space="preserve"> </w:t>
      </w:r>
      <w:r w:rsidR="00B61119">
        <w:rPr>
          <w:color w:val="000000" w:themeColor="text1"/>
          <w:sz w:val="22"/>
          <w:szCs w:val="22"/>
          <w:shd w:val="clear" w:color="auto" w:fill="FFFFFF"/>
        </w:rPr>
        <w:fldChar w:fldCharType="begin"/>
      </w:r>
      <w:r w:rsidR="00B61119">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Pr>
          <w:color w:val="000000" w:themeColor="text1"/>
          <w:sz w:val="22"/>
          <w:szCs w:val="22"/>
          <w:shd w:val="clear" w:color="auto" w:fill="FFFFFF"/>
        </w:rPr>
        <w:fldChar w:fldCharType="separate"/>
      </w:r>
      <w:r w:rsidR="00B61119">
        <w:rPr>
          <w:noProof/>
          <w:color w:val="000000" w:themeColor="text1"/>
          <w:sz w:val="22"/>
          <w:szCs w:val="22"/>
          <w:shd w:val="clear" w:color="auto" w:fill="FFFFFF"/>
        </w:rPr>
        <w:t>[1]</w:t>
      </w:r>
      <w:r w:rsidR="00B61119">
        <w:rPr>
          <w:color w:val="000000" w:themeColor="text1"/>
          <w:sz w:val="22"/>
          <w:szCs w:val="22"/>
          <w:shd w:val="clear" w:color="auto" w:fill="FFFFFF"/>
        </w:rPr>
        <w:fldChar w:fldCharType="end"/>
      </w:r>
      <w:commentRangeStart w:id="28"/>
      <w:commentRangeStart w:id="29"/>
      <w:r w:rsidR="001A5699" w:rsidRPr="00B3651A">
        <w:rPr>
          <w:color w:val="000000" w:themeColor="text1"/>
          <w:sz w:val="22"/>
          <w:szCs w:val="22"/>
          <w:shd w:val="clear" w:color="auto" w:fill="FFFFFF"/>
        </w:rPr>
        <w:t>.</w:t>
      </w:r>
      <w:commentRangeEnd w:id="28"/>
      <w:r w:rsidR="001A5699" w:rsidRPr="00B3651A">
        <w:rPr>
          <w:rStyle w:val="CommentReference"/>
          <w:color w:val="000000" w:themeColor="text1"/>
        </w:rPr>
        <w:commentReference w:id="28"/>
      </w:r>
      <w:commentRangeEnd w:id="29"/>
      <w:r w:rsidR="00BB49FF">
        <w:rPr>
          <w:rStyle w:val="CommentReference"/>
        </w:rPr>
        <w:commentReference w:id="29"/>
      </w:r>
      <w:r w:rsidR="001A5699" w:rsidRPr="00B3651A">
        <w:rPr>
          <w:rFonts w:eastAsiaTheme="minorEastAsia" w:hint="eastAsia"/>
          <w:color w:val="000000" w:themeColor="text1"/>
          <w:sz w:val="22"/>
          <w:szCs w:val="22"/>
          <w:lang w:eastAsia="ko-KR"/>
        </w:rPr>
        <w:t xml:space="preserve"> P</w:t>
      </w:r>
      <w:r w:rsidRPr="00B3651A">
        <w:rPr>
          <w:rFonts w:eastAsiaTheme="minorEastAsia"/>
          <w:color w:val="000000" w:themeColor="text1"/>
          <w:sz w:val="22"/>
          <w:szCs w:val="22"/>
          <w:lang w:eastAsia="ko-KR"/>
        </w:rPr>
        <w:t xml:space="preserve">revious studies showed individuals 60 years or </w:t>
      </w:r>
      <w:r w:rsidRPr="00B3651A">
        <w:rPr>
          <w:rFonts w:eastAsiaTheme="minorEastAsia"/>
          <w:color w:val="000000" w:themeColor="text1"/>
          <w:sz w:val="22"/>
          <w:szCs w:val="22"/>
          <w:u w:val="single"/>
          <w:lang w:eastAsia="ko-KR"/>
        </w:rPr>
        <w:t xml:space="preserve">older had lower antibody levels </w:t>
      </w:r>
      <w:r w:rsidRPr="00D0236F">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{"citationID":"dtWOtrOc","properties":{"formattedCitation":"[21]","plainCitation":"[21]","noteIndex":0},"citationItems":[{"id":57,"uris":["http://zotero.org/users/14790911/items/CCWZSV47"],"itemData":{"id":57,"type":"article-journal","abstract":"Objective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901120">
        <w:rPr>
          <w:rFonts w:eastAsiaTheme="minorEastAsia" w:hint="eastAsia"/>
          <w:sz w:val="22"/>
          <w:szCs w:val="22"/>
          <w:lang w:eastAsia="ko-KR"/>
        </w:rPr>
        <w:instrText xml:space="preserve"> members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old who received the third BNT162b2 dose.\n\nInterventions Blood samples were drawn immediately before (T0), 10</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19 days (T1) and 74</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901120">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901120">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although the decline in IgG is concerning. A third dose of vaccine in this population sh</w:instrText>
      </w:r>
      <w:r w:rsidR="00901120">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901120">
        <w:rPr>
          <w:rFonts w:eastAsiaTheme="minorEastAsia"/>
          <w:noProof/>
          <w:sz w:val="22"/>
          <w:szCs w:val="22"/>
          <w:lang w:eastAsia="ko-KR"/>
        </w:rPr>
        <w:t>[21]</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558A193" w14:textId="31DA4D32" w:rsidR="00A150A5" w:rsidRPr="000D7ADB" w:rsidRDefault="002F0C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CD62BF">
        <w:rPr>
          <w:color w:val="282828"/>
          <w:sz w:val="22"/>
          <w:szCs w:val="22"/>
          <w:shd w:val="clear" w:color="auto" w:fill="F7F7F7"/>
        </w:rPr>
        <w:t xml:space="preserve">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t>
      </w:r>
      <w:commentRangeStart w:id="30"/>
      <w:r w:rsidR="002C3E27" w:rsidRPr="00CD62BF">
        <w:rPr>
          <w:color w:val="282828"/>
          <w:sz w:val="22"/>
          <w:szCs w:val="22"/>
          <w:shd w:val="clear" w:color="auto" w:fill="F7F7F7"/>
        </w:rPr>
        <w:t>waves</w:t>
      </w:r>
      <w:commentRangeEnd w:id="30"/>
      <w:r w:rsidR="002C3E27" w:rsidRPr="00CD62BF">
        <w:rPr>
          <w:rStyle w:val="CommentReference"/>
          <w:sz w:val="22"/>
          <w:szCs w:val="22"/>
        </w:rPr>
        <w:commentReference w:id="30"/>
      </w:r>
      <w:r w:rsidR="00B61119">
        <w:rPr>
          <w:color w:val="282828"/>
          <w:sz w:val="22"/>
          <w:szCs w:val="22"/>
          <w:shd w:val="clear" w:color="auto" w:fill="F7F7F7"/>
        </w:rPr>
        <w:t xml:space="preserve"> </w:t>
      </w:r>
      <w:r w:rsidR="00B61119">
        <w:rPr>
          <w:color w:val="282828"/>
          <w:sz w:val="22"/>
          <w:szCs w:val="22"/>
          <w:shd w:val="clear" w:color="auto" w:fill="F7F7F7"/>
        </w:rPr>
        <w:fldChar w:fldCharType="begin"/>
      </w:r>
      <w:r w:rsidR="00B61119">
        <w:rPr>
          <w:color w:val="282828"/>
          <w:sz w:val="22"/>
          <w:szCs w:val="22"/>
          <w:shd w:val="clear" w:color="auto" w:fill="F7F7F7"/>
        </w:rPr>
        <w:instrText xml:space="preserve"> ADDIN ZOTERO_ITEM CSL_CITATION {"citationID":"U80fe4yr","properties":{"formattedCitation":"[22]","plainCitation":"[22]","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Pr>
          <w:color w:val="282828"/>
          <w:sz w:val="22"/>
          <w:szCs w:val="22"/>
          <w:shd w:val="clear" w:color="auto" w:fill="F7F7F7"/>
        </w:rPr>
        <w:fldChar w:fldCharType="separate"/>
      </w:r>
      <w:r w:rsidR="00B61119">
        <w:rPr>
          <w:noProof/>
          <w:color w:val="282828"/>
          <w:sz w:val="22"/>
          <w:szCs w:val="22"/>
          <w:shd w:val="clear" w:color="auto" w:fill="F7F7F7"/>
        </w:rPr>
        <w:t>[22]</w:t>
      </w:r>
      <w:r w:rsidR="00B61119">
        <w:rPr>
          <w:color w:val="282828"/>
          <w:sz w:val="22"/>
          <w:szCs w:val="22"/>
          <w:shd w:val="clear" w:color="auto" w:fill="F7F7F7"/>
        </w:rPr>
        <w:fldChar w:fldCharType="end"/>
      </w:r>
      <w:r w:rsidR="002C3E27" w:rsidRPr="00CD62BF">
        <w:rPr>
          <w:color w:val="282828"/>
          <w:sz w:val="22"/>
          <w:szCs w:val="22"/>
          <w:shd w:val="clear" w:color="auto" w:fill="F7F7F7"/>
        </w:rPr>
        <w:t>.</w:t>
      </w:r>
      <w:r w:rsidR="002C3E27" w:rsidRPr="00CD62BF">
        <w:rPr>
          <w:rFonts w:eastAsiaTheme="minorEastAsia" w:hint="eastAsia"/>
          <w:color w:val="282828"/>
          <w:sz w:val="22"/>
          <w:szCs w:val="22"/>
          <w:shd w:val="clear" w:color="auto" w:fill="F7F7F7"/>
          <w:lang w:eastAsia="ko-KR"/>
        </w:rPr>
        <w:t xml:space="preserve"> </w:t>
      </w:r>
      <w:r w:rsidR="00427745" w:rsidRPr="00CD62BF">
        <w:rPr>
          <w:rFonts w:eastAsiaTheme="minorEastAsia" w:hint="eastAsia"/>
          <w:color w:val="282828"/>
          <w:sz w:val="22"/>
          <w:szCs w:val="22"/>
          <w:shd w:val="clear" w:color="auto" w:fill="F7F7F7"/>
          <w:lang w:eastAsia="ko-KR"/>
        </w:rPr>
        <w:t>Second,</w:t>
      </w:r>
      <w:r w:rsidR="00427745">
        <w:rPr>
          <w:rFonts w:eastAsiaTheme="minorEastAsia" w:hint="eastAsia"/>
          <w:color w:val="282828"/>
          <w:sz w:val="22"/>
          <w:szCs w:val="22"/>
          <w:shd w:val="clear" w:color="auto" w:fill="F7F7F7"/>
          <w:lang w:eastAsia="ko-KR"/>
        </w:rPr>
        <w:t xml:space="preserve"> </w:t>
      </w:r>
      <w:r w:rsidR="009607EA">
        <w:rPr>
          <w:rFonts w:eastAsiaTheme="minorEastAsia" w:hint="eastAsia"/>
          <w:color w:val="282828"/>
          <w:sz w:val="22"/>
          <w:szCs w:val="22"/>
          <w:shd w:val="clear" w:color="auto" w:fill="F7F7F7"/>
          <w:lang w:eastAsia="ko-KR"/>
        </w:rPr>
        <w:t>u</w:t>
      </w:r>
      <w:r w:rsidR="009607EA" w:rsidRPr="00D0236F">
        <w:rPr>
          <w:rFonts w:eastAsiaTheme="minorEastAsia"/>
          <w:color w:val="0E0E0E"/>
          <w:sz w:val="22"/>
          <w:szCs w:val="22"/>
          <w:lang w:eastAsia="ko-KR"/>
          <w14:ligatures w14:val="standardContextual"/>
        </w:rPr>
        <w:t>nmeasured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w:t>
      </w:r>
      <w:r w:rsidR="000D623E" w:rsidRPr="00D0236F">
        <w:rPr>
          <w:color w:val="222222"/>
          <w:sz w:val="22"/>
          <w:szCs w:val="22"/>
          <w:shd w:val="clear" w:color="auto" w:fill="FFFFFF"/>
        </w:rPr>
        <w:lastRenderedPageBreak/>
        <w:t xml:space="preserve">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xml:space="preserve">, a possible confounder that was not assessed. While these biases might influence our estimates, they seem unlikely to have caused the clear patterns observed </w:t>
      </w:r>
      <w:commentRangeStart w:id="31"/>
      <w:commentRangeStart w:id="32"/>
      <w:r w:rsidR="000D623E" w:rsidRPr="006B53B2">
        <w:rPr>
          <w:color w:val="222222"/>
          <w:sz w:val="22"/>
          <w:szCs w:val="22"/>
          <w:shd w:val="clear" w:color="auto" w:fill="FFFFFF"/>
        </w:rPr>
        <w:t>in this study.</w:t>
      </w:r>
      <w:commentRangeEnd w:id="31"/>
      <w:r w:rsidR="000D623E" w:rsidRPr="006B53B2">
        <w:rPr>
          <w:rStyle w:val="CommentReference"/>
        </w:rPr>
        <w:commentReference w:id="31"/>
      </w:r>
      <w:commentRangeEnd w:id="32"/>
      <w:r w:rsidR="00E32CBF" w:rsidRPr="006B53B2">
        <w:rPr>
          <w:rStyle w:val="CommentReference"/>
        </w:rPr>
        <w:commentReference w:id="32"/>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 xml:space="preserve">Number of factors on breakthrough </w:t>
      </w:r>
      <w:commentRangeStart w:id="33"/>
      <w:r w:rsidR="00AB1483" w:rsidRPr="006B53B2">
        <w:rPr>
          <w:rFonts w:eastAsiaTheme="minorEastAsia"/>
          <w:color w:val="222222"/>
          <w:sz w:val="22"/>
          <w:szCs w:val="22"/>
          <w:shd w:val="clear" w:color="auto" w:fill="FFFFFF"/>
          <w:lang w:eastAsia="ko-KR"/>
        </w:rPr>
        <w:t>infection</w:t>
      </w:r>
      <w:commentRangeEnd w:id="33"/>
      <w:r w:rsidR="00AB1483" w:rsidRPr="006B53B2">
        <w:rPr>
          <w:rStyle w:val="CommentReference"/>
          <w:sz w:val="22"/>
          <w:szCs w:val="22"/>
        </w:rPr>
        <w:commentReference w:id="33"/>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B61119">
        <w:rPr>
          <w:rFonts w:eastAsiaTheme="minorEastAsia"/>
          <w:color w:val="222222"/>
          <w:sz w:val="22"/>
          <w:szCs w:val="22"/>
          <w:shd w:val="clear" w:color="auto" w:fill="FFFFFF"/>
          <w:lang w:eastAsia="ko-KR"/>
        </w:rPr>
        <w:instrText xml:space="preserve"> ADDIN ZOTERO_ITEM CSL_CITATION {"citationID":"36ItMpWk","properties":{"formattedCitation":"[23]","plainCitation":"[23]","noteIndex":0},"citationItems":[{"id":180,"uris":["http://zotero.org/users/14790911/items/BKSKAG46"],"itemData":{"id":180,"type":"article-journal","abstract":"Breakthrough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B61119">
        <w:rPr>
          <w:rFonts w:eastAsiaTheme="minorEastAsia"/>
          <w:noProof/>
          <w:color w:val="222222"/>
          <w:sz w:val="22"/>
          <w:szCs w:val="22"/>
          <w:shd w:val="clear" w:color="auto" w:fill="FFFFFF"/>
          <w:lang w:eastAsia="ko-KR"/>
        </w:rPr>
        <w:t>[23]</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infected cohort and new infection cohort did not include those who might have had a SARS-CoV-2 infection but were not tested. The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w:t>
      </w:r>
      <w:proofErr w:type="spellStart"/>
      <w:r w:rsidR="009607EA" w:rsidRPr="006B53B2">
        <w:rPr>
          <w:rFonts w:eastAsiaTheme="minorEastAsia"/>
          <w:color w:val="0E0E0E"/>
          <w:sz w:val="22"/>
          <w:szCs w:val="22"/>
          <w:lang w:eastAsia="ko-KR"/>
          <w14:ligatures w14:val="standardContextual"/>
        </w:rPr>
        <w:t>seroepidemiological</w:t>
      </w:r>
      <w:proofErr w:type="spellEnd"/>
      <w:r w:rsidR="009607EA" w:rsidRPr="006B53B2">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 xml:space="preserve">are best seen as a consequence of the level of immunity at any moment in an individual, the variant to which that individual is exposed and the severity of disease being </w:t>
      </w:r>
      <w:commentRangeStart w:id="34"/>
      <w:r w:rsidR="006644B1" w:rsidRPr="00D0236F">
        <w:rPr>
          <w:color w:val="222222"/>
          <w:sz w:val="22"/>
          <w:szCs w:val="22"/>
          <w:shd w:val="clear" w:color="auto" w:fill="FFFFFF"/>
        </w:rPr>
        <w:t>considered</w:t>
      </w:r>
      <w:commentRangeEnd w:id="34"/>
      <w:r w:rsidR="006644B1" w:rsidRPr="00D0236F">
        <w:rPr>
          <w:rStyle w:val="CommentReference"/>
          <w:sz w:val="22"/>
          <w:szCs w:val="22"/>
        </w:rPr>
        <w:commentReference w:id="34"/>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B61119">
        <w:rPr>
          <w:color w:val="222222"/>
          <w:sz w:val="22"/>
          <w:szCs w:val="22"/>
          <w:shd w:val="clear" w:color="auto" w:fill="FFFFFF"/>
        </w:rPr>
        <w:instrText xml:space="preserve"> ADDIN ZOTERO_ITEM CSL_CITATION {"citationID":"1YRjS5n0","properties":{"formattedCitation":"[23]","plainCitation":"[23]","noteIndex":0},"citationItems":[{"id":180,"uris":["http://zotero.org/users/14790911/items/BKSKAG46"],"itemData":{"id":180,"type":"article-journal","abstract":"Breakthrough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B61119">
        <w:rPr>
          <w:noProof/>
          <w:color w:val="222222"/>
          <w:sz w:val="22"/>
          <w:szCs w:val="22"/>
          <w:shd w:val="clear" w:color="auto" w:fill="FFFFFF"/>
        </w:rPr>
        <w:t>[23]</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A150A5" w:rsidRPr="000D7ADB">
        <w:rPr>
          <w:sz w:val="22"/>
          <w:szCs w:val="22"/>
        </w:rPr>
        <w:t xml:space="preserve"> </w:t>
      </w:r>
      <w:hyperlink r:id="rId23" w:anchor="b0075" w:history="1">
        <w:r w:rsidR="00A150A5" w:rsidRPr="000D7ADB">
          <w:rPr>
            <w:rStyle w:val="Hyperlink"/>
            <w:rFonts w:eastAsiaTheme="majorEastAsia"/>
            <w:color w:val="376FAA"/>
            <w:sz w:val="22"/>
            <w:szCs w:val="22"/>
            <w:shd w:val="clear" w:color="auto" w:fill="FFFFFF"/>
          </w:rPr>
          <w:t>[15]</w:t>
        </w:r>
      </w:hyperlink>
      <w:r w:rsidR="00A150A5" w:rsidRPr="000D7ADB">
        <w:rPr>
          <w:color w:val="212121"/>
          <w:sz w:val="22"/>
          <w:szCs w:val="22"/>
          <w:shd w:val="clear" w:color="auto" w:fill="FFFFFF"/>
        </w:rPr>
        <w:t>, </w:t>
      </w:r>
      <w:hyperlink r:id="rId24" w:anchor="b0080" w:history="1">
        <w:r w:rsidR="00A150A5" w:rsidRPr="000D7ADB">
          <w:rPr>
            <w:rStyle w:val="Hyperlink"/>
            <w:rFonts w:eastAsiaTheme="majorEastAsia"/>
            <w:color w:val="376FAA"/>
            <w:sz w:val="22"/>
            <w:szCs w:val="22"/>
            <w:shd w:val="clear" w:color="auto" w:fill="FFFFFF"/>
          </w:rPr>
          <w:t>[16]</w:t>
        </w:r>
      </w:hyperlink>
      <w:r w:rsidR="00A150A5" w:rsidRPr="000D7ADB">
        <w:rPr>
          <w:color w:val="212121"/>
          <w:sz w:val="22"/>
          <w:szCs w:val="22"/>
          <w:shd w:val="clear" w:color="auto" w:fill="FFFFFF"/>
        </w:rPr>
        <w:t>, </w:t>
      </w:r>
      <w:hyperlink r:id="rId25" w:anchor="b0085" w:history="1">
        <w:r w:rsidR="00A150A5" w:rsidRPr="000D7ADB">
          <w:rPr>
            <w:rStyle w:val="Hyperlink"/>
            <w:rFonts w:eastAsiaTheme="majorEastAsia"/>
            <w:color w:val="376FAA"/>
            <w:sz w:val="22"/>
            <w:szCs w:val="22"/>
            <w:shd w:val="clear" w:color="auto" w:fill="FFFFFF"/>
          </w:rPr>
          <w:t>[17]</w:t>
        </w:r>
      </w:hyperlink>
      <w:r w:rsidR="00A150A5" w:rsidRPr="000D7ADB">
        <w:rPr>
          <w:color w:val="212121"/>
          <w:sz w:val="22"/>
          <w:szCs w:val="22"/>
          <w:shd w:val="clear" w:color="auto" w:fill="FFFFFF"/>
        </w:rPr>
        <w:t>, </w:t>
      </w:r>
      <w:hyperlink r:id="rId26" w:anchor="b0090" w:history="1">
        <w:r w:rsidR="00A150A5" w:rsidRPr="000D7ADB">
          <w:rPr>
            <w:rStyle w:val="Hyperlink"/>
            <w:rFonts w:eastAsiaTheme="majorEastAsia"/>
            <w:color w:val="376FAA"/>
            <w:sz w:val="22"/>
            <w:szCs w:val="22"/>
            <w:shd w:val="clear" w:color="auto" w:fill="FFFFFF"/>
          </w:rPr>
          <w:t>[18]</w:t>
        </w:r>
      </w:hyperlink>
    </w:p>
    <w:p w14:paraId="5E17C036" w14:textId="443B588C" w:rsidR="00CA51AD" w:rsidRPr="006B53B2" w:rsidRDefault="00CA51AD" w:rsidP="00B3651A">
      <w:pPr>
        <w:pStyle w:val="BodyText"/>
        <w:spacing w:line="360" w:lineRule="auto"/>
        <w:ind w:left="0"/>
        <w:rPr>
          <w:rFonts w:eastAsiaTheme="minorEastAsia"/>
          <w:color w:val="222222"/>
          <w:sz w:val="22"/>
          <w:szCs w:val="22"/>
          <w:shd w:val="clear" w:color="auto" w:fill="FFFFFF"/>
          <w:lang w:eastAsia="ko-KR"/>
        </w:rPr>
      </w:pPr>
    </w:p>
    <w:p w14:paraId="165E359B" w14:textId="1BEA1973" w:rsidR="00A843F8" w:rsidRPr="00A843F8" w:rsidRDefault="006B53B2" w:rsidP="00A843F8">
      <w:pPr>
        <w:pStyle w:val="BodyText"/>
        <w:kinsoku w:val="0"/>
        <w:overflowPunct w:val="0"/>
        <w:spacing w:line="360" w:lineRule="auto"/>
        <w:ind w:left="0"/>
        <w:jc w:val="both"/>
        <w:rPr>
          <w:rFonts w:eastAsiaTheme="minorEastAsia"/>
          <w:color w:val="3C4245"/>
          <w:sz w:val="22"/>
          <w:szCs w:val="22"/>
          <w:shd w:val="clear" w:color="auto" w:fill="FFFFFF"/>
          <w:lang w:eastAsia="ko-KR"/>
        </w:rPr>
      </w:pPr>
      <w:r w:rsidRPr="000D7ADB">
        <w:rPr>
          <w:color w:val="000000"/>
          <w:sz w:val="22"/>
          <w:szCs w:val="22"/>
          <w:shd w:val="clear" w:color="auto" w:fill="FFFFFF"/>
        </w:rPr>
        <w:t>Coverage with the updated COVID-19 vaccine among adults aged ≥65 years was 42% as of February 3, 2024 (</w:t>
      </w:r>
      <w:r w:rsidRPr="000D7ADB">
        <w:rPr>
          <w:i/>
          <w:iCs/>
          <w:color w:val="000000"/>
          <w:sz w:val="22"/>
          <w:szCs w:val="22"/>
          <w:shd w:val="clear" w:color="auto" w:fill="FFFFFF"/>
        </w:rPr>
        <w:t>10</w:t>
      </w:r>
      <w:r w:rsidRPr="000D7ADB">
        <w:rPr>
          <w:color w:val="000000"/>
          <w:sz w:val="22"/>
          <w:szCs w:val="22"/>
          <w:shd w:val="clear" w:color="auto" w:fill="FFFFFF"/>
        </w:rPr>
        <w:t>,</w:t>
      </w:r>
      <w:r w:rsidRPr="000D7ADB">
        <w:rPr>
          <w:i/>
          <w:iCs/>
          <w:color w:val="000000"/>
          <w:sz w:val="22"/>
          <w:szCs w:val="22"/>
          <w:shd w:val="clear" w:color="auto" w:fill="FFFFFF"/>
        </w:rPr>
        <w:t>11</w:t>
      </w:r>
      <w:r w:rsidRPr="000D7ADB">
        <w:rPr>
          <w:color w:val="000000"/>
          <w:sz w:val="22"/>
          <w:szCs w:val="22"/>
          <w:shd w:val="clear" w:color="auto" w:fill="FFFFFF"/>
        </w:rPr>
        <w:t>).</w:t>
      </w:r>
      <w:r w:rsidRPr="000D7ADB">
        <w:rPr>
          <w:rFonts w:eastAsiaTheme="minorEastAsia" w:hint="eastAsia"/>
          <w:color w:val="000000"/>
          <w:sz w:val="22"/>
          <w:szCs w:val="22"/>
          <w:shd w:val="clear" w:color="auto" w:fill="FFFFFF"/>
          <w:lang w:eastAsia="ko-KR"/>
        </w:rPr>
        <w:t xml:space="preserve"> </w:t>
      </w:r>
      <w:r w:rsidRPr="000D7ADB">
        <w:rPr>
          <w:rFonts w:eastAsiaTheme="minorEastAsia" w:hint="eastAsia"/>
          <w:sz w:val="22"/>
          <w:szCs w:val="22"/>
          <w:lang w:eastAsia="ko-KR"/>
        </w:rPr>
        <w:t>O</w:t>
      </w:r>
      <w:r w:rsidRPr="000D7ADB">
        <w:rPr>
          <w:rFonts w:eastAsiaTheme="minorEastAsia"/>
          <w:sz w:val="22"/>
          <w:szCs w:val="22"/>
          <w:lang w:eastAsia="ko-KR"/>
        </w:rPr>
        <w:t xml:space="preserve">ur findings </w:t>
      </w:r>
      <w:r w:rsidRPr="000D7ADB">
        <w:rPr>
          <w:rFonts w:eastAsiaTheme="minorEastAsia" w:hint="eastAsia"/>
          <w:sz w:val="22"/>
          <w:szCs w:val="22"/>
          <w:lang w:eastAsia="ko-KR"/>
        </w:rPr>
        <w:t>highlight that c</w:t>
      </w:r>
      <w:r w:rsidRPr="000D7ADB">
        <w:rPr>
          <w:rFonts w:eastAsiaTheme="minorEastAsia"/>
          <w:sz w:val="22"/>
          <w:szCs w:val="22"/>
          <w:lang w:eastAsia="ko-KR"/>
        </w:rPr>
        <w:t>hildren without previous infection</w:t>
      </w:r>
      <w:r w:rsidRPr="000D7ADB">
        <w:rPr>
          <w:rFonts w:eastAsiaTheme="minorEastAsia" w:hint="eastAsia"/>
          <w:sz w:val="22"/>
          <w:szCs w:val="22"/>
          <w:lang w:eastAsia="ko-KR"/>
        </w:rPr>
        <w:t xml:space="preserve"> and elderly aged &gt;65 (who </w:t>
      </w:r>
      <w:r w:rsidRPr="000D7ADB">
        <w:rPr>
          <w:color w:val="000000"/>
          <w:sz w:val="22"/>
          <w:szCs w:val="22"/>
          <w:shd w:val="clear" w:color="auto" w:fill="FFFFFF"/>
        </w:rPr>
        <w:t>are more likely to rely upon vaccination to increase immunity</w:t>
      </w:r>
      <w:r w:rsidRPr="000D7ADB">
        <w:rPr>
          <w:rFonts w:eastAsiaTheme="minorEastAsia" w:hint="eastAsia"/>
          <w:color w:val="000000"/>
          <w:sz w:val="22"/>
          <w:szCs w:val="22"/>
          <w:shd w:val="clear" w:color="auto" w:fill="FFFFFF"/>
          <w:lang w:eastAsia="ko-KR"/>
        </w:rPr>
        <w:t xml:space="preserve"> and </w:t>
      </w:r>
      <w:r w:rsidRPr="000D7ADB">
        <w:rPr>
          <w:color w:val="000000"/>
          <w:sz w:val="22"/>
          <w:szCs w:val="22"/>
          <w:shd w:val="clear" w:color="auto" w:fill="FFFFFF"/>
        </w:rPr>
        <w:t>might have waned</w:t>
      </w:r>
      <w:r w:rsidRPr="000D7ADB">
        <w:rPr>
          <w:rFonts w:eastAsiaTheme="minorEastAsia" w:hint="eastAsia"/>
          <w:color w:val="000000"/>
          <w:sz w:val="22"/>
          <w:szCs w:val="22"/>
          <w:shd w:val="clear" w:color="auto" w:fill="FFFFFF"/>
          <w:lang w:eastAsia="ko-KR"/>
        </w:rPr>
        <w:t xml:space="preserve">) </w:t>
      </w:r>
      <w:r w:rsidRPr="000D7ADB">
        <w:rPr>
          <w:color w:val="000000"/>
          <w:sz w:val="22"/>
          <w:szCs w:val="22"/>
          <w:shd w:val="clear" w:color="auto" w:fill="FFFFFF"/>
        </w:rPr>
        <w:t>might need more frequent vaccine doses to maintain protection</w:t>
      </w:r>
      <w:r w:rsidRPr="000D7ADB">
        <w:rPr>
          <w:rFonts w:eastAsiaTheme="minorEastAsia"/>
          <w:sz w:val="22"/>
          <w:szCs w:val="22"/>
          <w:lang w:eastAsia="zh-CN"/>
        </w:rPr>
        <w:t xml:space="preserve"> </w:t>
      </w:r>
      <w:r w:rsidRPr="000D7ADB">
        <w:rPr>
          <w:rFonts w:eastAsiaTheme="minorEastAsia"/>
          <w:sz w:val="22"/>
          <w:szCs w:val="22"/>
          <w:lang w:eastAsia="zh-CN"/>
        </w:rPr>
        <w:fldChar w:fldCharType="begin"/>
      </w:r>
      <w:r w:rsidR="00B61119">
        <w:rPr>
          <w:rFonts w:eastAsiaTheme="minorEastAsia"/>
          <w:sz w:val="22"/>
          <w:szCs w:val="22"/>
          <w:lang w:eastAsia="zh-CN"/>
        </w:rPr>
        <w:instrText xml:space="preserve"> ADDIN ZOTERO_ITEM CSL_CITATION {"citationID":"UcwqlZZ1","properties":{"formattedCitation":"[24]","plainCitation":"[24]","noteIndex":0},"citationItems":[{"id":103,"uris":["http://zotero.org/users/14790911/items/QVGAL84V"],"itemData":{"id":103,"type":"webpage","title":"Hybrid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Pr="000D7ADB">
        <w:rPr>
          <w:rFonts w:eastAsiaTheme="minorEastAsia"/>
          <w:sz w:val="22"/>
          <w:szCs w:val="22"/>
          <w:lang w:eastAsia="zh-CN"/>
        </w:rPr>
        <w:fldChar w:fldCharType="separate"/>
      </w:r>
      <w:r w:rsidR="00B61119">
        <w:rPr>
          <w:rFonts w:eastAsiaTheme="minorEastAsia"/>
          <w:noProof/>
          <w:sz w:val="22"/>
          <w:szCs w:val="22"/>
          <w:lang w:eastAsia="zh-CN"/>
        </w:rPr>
        <w:t>[24]</w:t>
      </w:r>
      <w:r w:rsidRPr="000D7ADB">
        <w:rPr>
          <w:rFonts w:eastAsiaTheme="minorEastAsia"/>
          <w:sz w:val="22"/>
          <w:szCs w:val="22"/>
          <w:lang w:eastAsia="zh-CN"/>
        </w:rPr>
        <w:fldChar w:fldCharType="end"/>
      </w:r>
      <w:r w:rsidRPr="000D7ADB">
        <w:rPr>
          <w:rFonts w:eastAsiaTheme="minorEastAsia"/>
          <w:sz w:val="22"/>
          <w:szCs w:val="22"/>
          <w:lang w:eastAsia="ko-KR"/>
        </w:rPr>
        <w:t xml:space="preserve">. </w:t>
      </w:r>
      <w:r w:rsidRPr="000D7ADB">
        <w:rPr>
          <w:sz w:val="22"/>
          <w:szCs w:val="22"/>
        </w:rPr>
        <w:t xml:space="preserve">These findings could support the development of </w:t>
      </w:r>
      <w:r w:rsidRPr="000D7ADB">
        <w:rPr>
          <w:rStyle w:val="Strong"/>
          <w:rFonts w:eastAsiaTheme="majorEastAsia"/>
          <w:b w:val="0"/>
          <w:bCs w:val="0"/>
          <w:sz w:val="22"/>
          <w:szCs w:val="22"/>
        </w:rPr>
        <w:t>personalized vaccination schedules</w:t>
      </w:r>
      <w:r w:rsidRPr="000D7ADB">
        <w:rPr>
          <w:sz w:val="22"/>
          <w:szCs w:val="22"/>
        </w:rPr>
        <w:t xml:space="preserve">, considering both recent infections and the timing of past vaccinations. </w:t>
      </w:r>
      <w:r w:rsidRPr="000D7ADB">
        <w:rPr>
          <w:rFonts w:eastAsiaTheme="minorEastAsia" w:hint="eastAsia"/>
          <w:sz w:val="22"/>
          <w:szCs w:val="22"/>
          <w:lang w:eastAsia="ko-KR"/>
        </w:rPr>
        <w:t xml:space="preserve">As we expect </w:t>
      </w:r>
      <w:r w:rsidRPr="000D7ADB">
        <w:rPr>
          <w:rFonts w:eastAsiaTheme="minorEastAsia"/>
          <w:sz w:val="22"/>
          <w:szCs w:val="22"/>
          <w:lang w:eastAsia="ko-KR"/>
        </w:rPr>
        <w:t>an increase in the number of</w:t>
      </w:r>
      <w:r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Pr="000D7ADB">
        <w:rPr>
          <w:rFonts w:eastAsiaTheme="minorEastAsia" w:hint="eastAsia"/>
          <w:sz w:val="22"/>
          <w:szCs w:val="22"/>
          <w:lang w:eastAsia="ko-KR"/>
        </w:rPr>
        <w:t>, the definition or key risk factors of h</w:t>
      </w:r>
      <w:r w:rsidRPr="000D7ADB">
        <w:rPr>
          <w:sz w:val="22"/>
          <w:szCs w:val="22"/>
        </w:rPr>
        <w:t>igh-risk individuals</w:t>
      </w:r>
      <w:r w:rsidRPr="000D7ADB">
        <w:rPr>
          <w:rFonts w:eastAsiaTheme="minorEastAsia" w:hint="eastAsia"/>
          <w:sz w:val="22"/>
          <w:szCs w:val="22"/>
          <w:lang w:eastAsia="ko-KR"/>
        </w:rPr>
        <w:t xml:space="preserve"> with and without previous infection </w:t>
      </w:r>
      <w:r w:rsidRPr="000D7ADB">
        <w:rPr>
          <w:sz w:val="22"/>
          <w:szCs w:val="22"/>
        </w:rPr>
        <w:t xml:space="preserve">may </w:t>
      </w:r>
      <w:r w:rsidRPr="000D7ADB">
        <w:rPr>
          <w:rFonts w:eastAsiaTheme="minorEastAsia"/>
          <w:sz w:val="22"/>
          <w:szCs w:val="22"/>
          <w:lang w:eastAsia="ko-KR"/>
        </w:rPr>
        <w:t>change</w:t>
      </w:r>
      <w:r w:rsidRPr="000D7ADB">
        <w:rPr>
          <w:rFonts w:eastAsiaTheme="minorEastAsia" w:hint="eastAsia"/>
          <w:sz w:val="22"/>
          <w:szCs w:val="22"/>
          <w:lang w:eastAsia="ko-KR"/>
        </w:rPr>
        <w:t xml:space="preserve"> over time</w:t>
      </w:r>
      <w:r w:rsidRPr="000D7ADB">
        <w:rPr>
          <w:sz w:val="22"/>
          <w:szCs w:val="22"/>
        </w:rPr>
        <w:t>.</w:t>
      </w:r>
      <w:r w:rsidRPr="000D7ADB">
        <w:rPr>
          <w:rFonts w:eastAsiaTheme="minorEastAsia" w:hint="eastAsia"/>
          <w:color w:val="222222"/>
          <w:sz w:val="22"/>
          <w:szCs w:val="22"/>
          <w:shd w:val="clear" w:color="auto" w:fill="FFFFFF"/>
          <w:lang w:eastAsia="ko-KR"/>
        </w:rPr>
        <w:t xml:space="preserve"> </w:t>
      </w:r>
      <w:r w:rsidRPr="000D7ADB">
        <w:rPr>
          <w:sz w:val="22"/>
          <w:szCs w:val="22"/>
        </w:rPr>
        <w:t xml:space="preserve">For public health authorities, these findings highlight the need for </w:t>
      </w:r>
      <w:r w:rsidRPr="000D7ADB">
        <w:rPr>
          <w:rStyle w:val="Strong"/>
          <w:rFonts w:eastAsiaTheme="majorEastAsia"/>
          <w:b w:val="0"/>
          <w:bCs w:val="0"/>
          <w:sz w:val="22"/>
          <w:szCs w:val="22"/>
        </w:rPr>
        <w:t>continuous surveillance</w:t>
      </w:r>
      <w:r w:rsidRPr="000D7ADB">
        <w:rPr>
          <w:sz w:val="22"/>
          <w:szCs w:val="22"/>
        </w:rPr>
        <w:t xml:space="preserve"> of infection rates post-vaccination</w:t>
      </w:r>
      <w:r w:rsidRPr="000D7ADB">
        <w:rPr>
          <w:rFonts w:eastAsiaTheme="minorEastAsia" w:hint="eastAsia"/>
          <w:sz w:val="22"/>
          <w:szCs w:val="22"/>
          <w:lang w:eastAsia="ko-KR"/>
        </w:rPr>
        <w:t>/infection</w:t>
      </w:r>
      <w:r w:rsidRPr="000D7ADB">
        <w:rPr>
          <w:sz w:val="22"/>
          <w:szCs w:val="22"/>
        </w:rPr>
        <w:t xml:space="preserve"> and possibly adjusting booster guidelines based on observed immune waning rather than fixed timelines.</w:t>
      </w:r>
      <w:r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42D087DB"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 xml:space="preserve">In summary, in this large cohort study, we compared the antibody </w:t>
      </w:r>
      <w:r w:rsidR="00114BF9" w:rsidRPr="000D7ADB">
        <w:rPr>
          <w:rFonts w:eastAsiaTheme="minorEastAsia"/>
        </w:rPr>
        <w:t>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 xml:space="preserve">higher and </w:t>
      </w:r>
      <w:r w:rsidRPr="000D7ADB">
        <w:rPr>
          <w:rFonts w:eastAsiaTheme="minorEastAsia"/>
        </w:rPr>
        <w:lastRenderedPageBreak/>
        <w:t>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117AE7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FBCEA2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C3F165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FFB5D9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B91F25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DC47AD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B4BAFE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3AF6C4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123D194"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745CB9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ABD9CA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4E06F6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00671A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4FD06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DB59B0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7D3804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5F3A7A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A02D63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F3D80EE"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A01AD8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7284BF0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755F0A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1EB8F4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B1A7068" w14:textId="77777777" w:rsidR="00896C34" w:rsidRPr="00D114D9" w:rsidRDefault="00896C34" w:rsidP="00D114D9">
      <w:pPr>
        <w:widowControl/>
        <w:tabs>
          <w:tab w:val="num" w:pos="720"/>
        </w:tabs>
        <w:adjustRightInd w:val="0"/>
        <w:spacing w:line="360" w:lineRule="auto"/>
        <w:contextualSpacing/>
        <w:jc w:val="both"/>
        <w:rPr>
          <w:rFonts w:eastAsiaTheme="minorEastAsia"/>
          <w:lang w:eastAsia="ko-KR"/>
        </w:rPr>
      </w:pPr>
    </w:p>
    <w:p w14:paraId="1E3102FB" w14:textId="77777777" w:rsidR="004567C4" w:rsidRPr="00D0236F"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lastRenderedPageBreak/>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649CF086" w14:textId="77777777" w:rsidR="00896C34" w:rsidRPr="00896C34" w:rsidRDefault="00901120" w:rsidP="00896C34">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896C34" w:rsidRPr="00896C34">
        <w:t>[1]</w:t>
      </w:r>
      <w:r w:rsidR="00896C34" w:rsidRPr="00896C34">
        <w:tab/>
        <w:t xml:space="preserve">S. Gazit </w:t>
      </w:r>
      <w:r w:rsidR="00896C34" w:rsidRPr="00896C34">
        <w:rPr>
          <w:i/>
          <w:iCs/>
        </w:rPr>
        <w:t>et al.</w:t>
      </w:r>
      <w:r w:rsidR="00896C34" w:rsidRPr="00896C34">
        <w:t xml:space="preserve">, “Hybrid immunity against reinfection with SARS-CoV-2 following a previous SARS-CoV-2 infection and single dose of the BNT162b2 vaccine in children and adolescents: a target trial emulation,” </w:t>
      </w:r>
      <w:r w:rsidR="00896C34" w:rsidRPr="00896C34">
        <w:rPr>
          <w:i/>
          <w:iCs/>
        </w:rPr>
        <w:t>Lancet Microbe</w:t>
      </w:r>
      <w:r w:rsidR="00896C34" w:rsidRPr="00896C34">
        <w:t>, vol. 4, no. 7, pp. e495–e505, Jul. 2023, doi: 10.1016/S2666-5247(23)00103-9.</w:t>
      </w:r>
    </w:p>
    <w:p w14:paraId="73C4209D" w14:textId="77777777" w:rsidR="00896C34" w:rsidRPr="00896C34" w:rsidRDefault="00896C34" w:rsidP="00896C34">
      <w:pPr>
        <w:pStyle w:val="Bibliography"/>
      </w:pPr>
      <w:r w:rsidRPr="00896C34">
        <w:t>[2]</w:t>
      </w:r>
      <w:r w:rsidRPr="00896C34">
        <w:tab/>
        <w:t xml:space="preserve">M. Karachaliou </w:t>
      </w:r>
      <w:r w:rsidRPr="00896C34">
        <w:rPr>
          <w:i/>
          <w:iCs/>
        </w:rPr>
        <w:t>et al.</w:t>
      </w:r>
      <w:r w:rsidRPr="00896C34">
        <w:t xml:space="preserve">, “SARS-CoV-2 infection, vaccination, and antibody response trajectories in adults: a cohort study in Catalonia,” </w:t>
      </w:r>
      <w:r w:rsidRPr="00896C34">
        <w:rPr>
          <w:i/>
          <w:iCs/>
        </w:rPr>
        <w:t>BMC Med.</w:t>
      </w:r>
      <w:r w:rsidRPr="00896C34">
        <w:t>, vol. 20, p. 347, Sep. 2022, doi: 10.1186/s12916-022-02547-2.</w:t>
      </w:r>
    </w:p>
    <w:p w14:paraId="4624225E" w14:textId="77777777" w:rsidR="00896C34" w:rsidRPr="00896C34" w:rsidRDefault="00896C34" w:rsidP="00896C34">
      <w:pPr>
        <w:pStyle w:val="Bibliography"/>
      </w:pPr>
      <w:r w:rsidRPr="00896C34">
        <w:t>[3]</w:t>
      </w:r>
      <w:r w:rsidRPr="00896C34">
        <w:tab/>
        <w:t xml:space="preserve">Y. Wei </w:t>
      </w:r>
      <w:r w:rsidRPr="00896C34">
        <w:rPr>
          <w:i/>
          <w:iCs/>
        </w:rPr>
        <w:t>et al.</w:t>
      </w:r>
      <w:r w:rsidRPr="00896C34">
        <w:t xml:space="preserve">, “Estimation of Vaccine Effectiveness of CoronaVac and BNT162b2 Against Severe Outcomes Over Time Among Patients With SARS-CoV-2 Omicron,” </w:t>
      </w:r>
      <w:r w:rsidRPr="00896C34">
        <w:rPr>
          <w:i/>
          <w:iCs/>
        </w:rPr>
        <w:t>JAMA Netw. Open</w:t>
      </w:r>
      <w:r w:rsidRPr="00896C34">
        <w:t>, vol. 6, no. 2, p. e2254777, Feb. 2023, doi: 10.1001/jamanetworkopen.2022.54777.</w:t>
      </w:r>
    </w:p>
    <w:p w14:paraId="7347493C" w14:textId="77777777" w:rsidR="00896C34" w:rsidRPr="00896C34" w:rsidRDefault="00896C34" w:rsidP="00896C34">
      <w:pPr>
        <w:pStyle w:val="Bibliography"/>
      </w:pPr>
      <w:r w:rsidRPr="00896C34">
        <w:t>[4]</w:t>
      </w:r>
      <w:r w:rsidRPr="00896C34">
        <w:tab/>
        <w:t xml:space="preserve">M. Fabiani </w:t>
      </w:r>
      <w:r w:rsidRPr="00896C34">
        <w:rPr>
          <w:i/>
          <w:iCs/>
        </w:rPr>
        <w:t>et al.</w:t>
      </w:r>
      <w:r w:rsidRPr="00896C34">
        <w:t xml:space="preserve">, “Effectiveness of mRNA vaccines and waning of protection against SARS-CoV-2 infection and severe covid-19 during predominant circulation of the delta variant in Italy: retrospective cohort study,” </w:t>
      </w:r>
      <w:r w:rsidRPr="00896C34">
        <w:rPr>
          <w:i/>
          <w:iCs/>
        </w:rPr>
        <w:t>BMJ</w:t>
      </w:r>
      <w:r w:rsidRPr="00896C34">
        <w:t>, vol. 376, p. e069052, Feb. 2022, doi: 10.1136/bmj-2021-069052.</w:t>
      </w:r>
    </w:p>
    <w:p w14:paraId="10D181E1" w14:textId="77777777" w:rsidR="00896C34" w:rsidRPr="00896C34" w:rsidRDefault="00896C34" w:rsidP="00896C34">
      <w:pPr>
        <w:pStyle w:val="Bibliography"/>
      </w:pPr>
      <w:r w:rsidRPr="00896C34">
        <w:t>[5]</w:t>
      </w:r>
      <w:r w:rsidRPr="00896C34">
        <w:tab/>
        <w:t xml:space="preserve">N. Wu </w:t>
      </w:r>
      <w:r w:rsidRPr="00896C34">
        <w:rPr>
          <w:i/>
          <w:iCs/>
        </w:rPr>
        <w:t>et al.</w:t>
      </w:r>
      <w:r w:rsidRPr="00896C34">
        <w:t xml:space="preserve">, “Long-term effectiveness of COVID-19 vaccines against infections, hospitalisations, and mortality in adults: findings from a rapid living systematic evidence synthesis and meta-analysis up to December, 2022,” </w:t>
      </w:r>
      <w:r w:rsidRPr="00896C34">
        <w:rPr>
          <w:i/>
          <w:iCs/>
        </w:rPr>
        <w:t>Lancet Respir. Med.</w:t>
      </w:r>
      <w:r w:rsidRPr="00896C34">
        <w:t>, vol. 11, no. 5, pp. 439–452, May 2023, doi: 10.1016/S2213-2600(23)00015-2.</w:t>
      </w:r>
    </w:p>
    <w:p w14:paraId="50704A9C" w14:textId="77777777" w:rsidR="00896C34" w:rsidRPr="00896C34" w:rsidRDefault="00896C34" w:rsidP="00896C34">
      <w:pPr>
        <w:pStyle w:val="Bibliography"/>
      </w:pPr>
      <w:r w:rsidRPr="00896C34">
        <w:t>[6]</w:t>
      </w:r>
      <w:r w:rsidRPr="00896C34">
        <w:tab/>
        <w:t xml:space="preserve">N. Andrews </w:t>
      </w:r>
      <w:r w:rsidRPr="00896C34">
        <w:rPr>
          <w:i/>
          <w:iCs/>
        </w:rPr>
        <w:t>et al.</w:t>
      </w:r>
      <w:r w:rsidRPr="00896C34">
        <w:t xml:space="preserve">, “Covid-19 Vaccine Effectiveness against the Omicron (B.1.1.529) Variant,” </w:t>
      </w:r>
      <w:r w:rsidRPr="00896C34">
        <w:rPr>
          <w:i/>
          <w:iCs/>
        </w:rPr>
        <w:t>N. Engl. J. Med.</w:t>
      </w:r>
      <w:r w:rsidRPr="00896C34">
        <w:t>, p. NEJMoa2119451, Mar. 2022, doi: 10.1056/NEJMoa2119451.</w:t>
      </w:r>
    </w:p>
    <w:p w14:paraId="7EEB3383" w14:textId="77777777" w:rsidR="00896C34" w:rsidRPr="00896C34" w:rsidRDefault="00896C34" w:rsidP="00896C34">
      <w:pPr>
        <w:pStyle w:val="Bibliography"/>
      </w:pPr>
      <w:r w:rsidRPr="00896C34">
        <w:t>[7]</w:t>
      </w:r>
      <w:r w:rsidRPr="00896C34">
        <w:tab/>
        <w:t xml:space="preserve">D. Cromer </w:t>
      </w:r>
      <w:r w:rsidRPr="00896C34">
        <w:rPr>
          <w:i/>
          <w:iCs/>
        </w:rPr>
        <w:t>et al.</w:t>
      </w:r>
      <w:r w:rsidRPr="00896C34">
        <w:t xml:space="preserve">, “Neutralising antibody titres as predictors of protection against SARS-CoV-2 variants and the impact of boosting: a meta-analysis,” </w:t>
      </w:r>
      <w:r w:rsidRPr="00896C34">
        <w:rPr>
          <w:i/>
          <w:iCs/>
        </w:rPr>
        <w:t>Lancet Microbe</w:t>
      </w:r>
      <w:r w:rsidRPr="00896C34">
        <w:t>, vol. 3, no. 1, pp. e52–e61, Jan. 2022, doi: 10.1016/S2666-5247(21)00267-6.</w:t>
      </w:r>
    </w:p>
    <w:p w14:paraId="20241790" w14:textId="77777777" w:rsidR="00896C34" w:rsidRPr="00896C34" w:rsidRDefault="00896C34" w:rsidP="00896C34">
      <w:pPr>
        <w:pStyle w:val="Bibliography"/>
      </w:pPr>
      <w:r w:rsidRPr="00896C34">
        <w:t>[8]</w:t>
      </w:r>
      <w:r w:rsidRPr="00896C34">
        <w:tab/>
        <w:t xml:space="preserve">G. Moncunill </w:t>
      </w:r>
      <w:r w:rsidRPr="00896C34">
        <w:rPr>
          <w:i/>
          <w:iCs/>
        </w:rPr>
        <w:t>et al.</w:t>
      </w:r>
      <w:r w:rsidRPr="00896C34">
        <w:t xml:space="preserve">, “Determinants of early antibody responses to COVID-19 mRNA vaccines in a cohort of exposed and naïve healthcare workers,” </w:t>
      </w:r>
      <w:r w:rsidRPr="00896C34">
        <w:rPr>
          <w:i/>
          <w:iCs/>
        </w:rPr>
        <w:t>EBioMedicine</w:t>
      </w:r>
      <w:r w:rsidRPr="00896C34">
        <w:t>, vol. 75, p. 103805, Jan. 2022, doi: 10.1016/j.ebiom.2021.103805.</w:t>
      </w:r>
    </w:p>
    <w:p w14:paraId="23A8A33D" w14:textId="77777777" w:rsidR="00896C34" w:rsidRPr="00896C34" w:rsidRDefault="00896C34" w:rsidP="00896C34">
      <w:pPr>
        <w:pStyle w:val="Bibliography"/>
      </w:pPr>
      <w:r w:rsidRPr="00896C34">
        <w:t>[9]</w:t>
      </w:r>
      <w:r w:rsidRPr="00896C34">
        <w:tab/>
        <w:t xml:space="preserve">H. Ward </w:t>
      </w:r>
      <w:r w:rsidRPr="00896C34">
        <w:rPr>
          <w:i/>
          <w:iCs/>
        </w:rPr>
        <w:t>et al.</w:t>
      </w:r>
      <w:r w:rsidRPr="00896C34">
        <w:t xml:space="preserve">, “Population antibody responses following COVID-19 vaccination in 212,102 individuals,” </w:t>
      </w:r>
      <w:r w:rsidRPr="00896C34">
        <w:rPr>
          <w:i/>
          <w:iCs/>
        </w:rPr>
        <w:t>Nat. Commun.</w:t>
      </w:r>
      <w:r w:rsidRPr="00896C34">
        <w:t>, vol. 13, no. 1, p. 907, Feb. 2022, doi: 10.1038/s41467-022-28527-x.</w:t>
      </w:r>
    </w:p>
    <w:p w14:paraId="178B3048" w14:textId="77777777" w:rsidR="00896C34" w:rsidRPr="00896C34" w:rsidRDefault="00896C34" w:rsidP="00896C34">
      <w:pPr>
        <w:pStyle w:val="Bibliography"/>
      </w:pPr>
      <w:r w:rsidRPr="00896C34">
        <w:t>[10]</w:t>
      </w:r>
      <w:r w:rsidRPr="00896C34">
        <w:tab/>
        <w:t xml:space="preserve">N. Bobrovitz </w:t>
      </w:r>
      <w:r w:rsidRPr="00896C34">
        <w:rPr>
          <w:i/>
          <w:iCs/>
        </w:rPr>
        <w:t>et al.</w:t>
      </w:r>
      <w:r w:rsidRPr="00896C34">
        <w:t xml:space="preserve">, “Protective effectiveness of previous SARS-CoV-2 infection and hybrid immunity against the omicron variant and severe disease: a systematic review and meta-regression,” </w:t>
      </w:r>
      <w:r w:rsidRPr="00896C34">
        <w:rPr>
          <w:i/>
          <w:iCs/>
        </w:rPr>
        <w:t>Lancet Infect. Dis.</w:t>
      </w:r>
      <w:r w:rsidRPr="00896C34">
        <w:t>, vol. 23, no. 5, pp. 556–567, May 2023, doi: 10.1016/S1473-3099(22)00801-5.</w:t>
      </w:r>
    </w:p>
    <w:p w14:paraId="51C7FAD2" w14:textId="77777777" w:rsidR="00896C34" w:rsidRPr="00896C34" w:rsidRDefault="00896C34" w:rsidP="00896C34">
      <w:pPr>
        <w:pStyle w:val="Bibliography"/>
      </w:pPr>
      <w:r w:rsidRPr="00896C34">
        <w:t>[11]</w:t>
      </w:r>
      <w:r w:rsidRPr="00896C34">
        <w:tab/>
        <w:t xml:space="preserve">G. den Hartog </w:t>
      </w:r>
      <w:r w:rsidRPr="00896C34">
        <w:rPr>
          <w:i/>
          <w:iCs/>
        </w:rPr>
        <w:t>et al.</w:t>
      </w:r>
      <w:r w:rsidRPr="00896C34">
        <w:t xml:space="preserve">, “Assessment of hybrid population immunity to SARS-CoV-2 following breakthrough infections of distinct SARS-CoV-2 variants by the detection of antibodies to nucleoprotein,” </w:t>
      </w:r>
      <w:r w:rsidRPr="00896C34">
        <w:rPr>
          <w:i/>
          <w:iCs/>
        </w:rPr>
        <w:t>Sci. Rep.</w:t>
      </w:r>
      <w:r w:rsidRPr="00896C34">
        <w:t>, vol. 13, no. 1, p. 18394, Oct. 2023, doi: 10.1038/s41598-023-45718-8.</w:t>
      </w:r>
    </w:p>
    <w:p w14:paraId="7FEE1AC2" w14:textId="77777777" w:rsidR="00896C34" w:rsidRPr="00896C34" w:rsidRDefault="00896C34" w:rsidP="00896C34">
      <w:pPr>
        <w:pStyle w:val="Bibliography"/>
      </w:pPr>
      <w:r w:rsidRPr="00896C34">
        <w:t>[12]</w:t>
      </w:r>
      <w:r w:rsidRPr="00896C34">
        <w:tab/>
        <w:t xml:space="preserve">J. Han </w:t>
      </w:r>
      <w:r w:rsidRPr="00896C34">
        <w:rPr>
          <w:i/>
          <w:iCs/>
        </w:rPr>
        <w:t>et al.</w:t>
      </w:r>
      <w:r w:rsidRPr="00896C34">
        <w:t xml:space="preserve">, “Korea Seroprevalence Study of Monitoring of SARS-COV-2 Antibody Retention and Transmission (K-SEROSMART): findings from national representative sample,” </w:t>
      </w:r>
      <w:r w:rsidRPr="00896C34">
        <w:rPr>
          <w:i/>
          <w:iCs/>
        </w:rPr>
        <w:t>Epidemiol. Health</w:t>
      </w:r>
      <w:r w:rsidRPr="00896C34">
        <w:t>, vol. 45, 2023, doi: 10.4178/epih.e2023075.</w:t>
      </w:r>
    </w:p>
    <w:p w14:paraId="6C8587D3" w14:textId="77777777" w:rsidR="00896C34" w:rsidRPr="00896C34" w:rsidRDefault="00896C34" w:rsidP="00896C34">
      <w:pPr>
        <w:pStyle w:val="Bibliography"/>
      </w:pPr>
      <w:r w:rsidRPr="00896C34">
        <w:t>[13]</w:t>
      </w:r>
      <w:r w:rsidRPr="00896C34">
        <w:tab/>
        <w:t xml:space="preserve">D. Steensels, N. Pierlet, J. Penders, D. Mesotten, and L. Heylen, “Comparison of SARS-CoV-2 Antibody Response Following Vaccination With BNT162b2 and mRNA-1273,” </w:t>
      </w:r>
      <w:r w:rsidRPr="00896C34">
        <w:rPr>
          <w:i/>
          <w:iCs/>
        </w:rPr>
        <w:t>JAMA</w:t>
      </w:r>
      <w:r w:rsidRPr="00896C34">
        <w:t>, vol. 326, no. 15, pp. 1533–1535, Oct. 2021, doi: 10.1001/jama.2021.15125.</w:t>
      </w:r>
    </w:p>
    <w:p w14:paraId="59B89386" w14:textId="77777777" w:rsidR="00896C34" w:rsidRPr="00896C34" w:rsidRDefault="00896C34" w:rsidP="00896C34">
      <w:pPr>
        <w:pStyle w:val="Bibliography"/>
      </w:pPr>
      <w:r w:rsidRPr="00896C34">
        <w:t>[14]</w:t>
      </w:r>
      <w:r w:rsidRPr="00896C34">
        <w:tab/>
        <w:t xml:space="preserve">W. F. Garcia-Beltran </w:t>
      </w:r>
      <w:r w:rsidRPr="00896C34">
        <w:rPr>
          <w:i/>
          <w:iCs/>
        </w:rPr>
        <w:t>et al.</w:t>
      </w:r>
      <w:r w:rsidRPr="00896C34">
        <w:t xml:space="preserve">, “mRNA-based COVID-19 vaccine boosters induce neutralizing immunity against SARS-CoV-2 Omicron variant,” </w:t>
      </w:r>
      <w:r w:rsidRPr="00896C34">
        <w:rPr>
          <w:i/>
          <w:iCs/>
        </w:rPr>
        <w:t>Cell</w:t>
      </w:r>
      <w:r w:rsidRPr="00896C34">
        <w:t>, vol. 185, no. 3, pp. 457-466.e4, Feb. 2022, doi: 10.1016/j.cell.2021.12.033.</w:t>
      </w:r>
    </w:p>
    <w:p w14:paraId="19006ED9" w14:textId="77777777" w:rsidR="00896C34" w:rsidRPr="00896C34" w:rsidRDefault="00896C34" w:rsidP="00896C34">
      <w:pPr>
        <w:pStyle w:val="Bibliography"/>
      </w:pPr>
      <w:r w:rsidRPr="00896C34">
        <w:t>[15]</w:t>
      </w:r>
      <w:r w:rsidRPr="00896C34">
        <w:tab/>
        <w:t xml:space="preserve">D. B. Richardson, “An incidence density sampling program for nested case-control analyses,” </w:t>
      </w:r>
      <w:r w:rsidRPr="00896C34">
        <w:rPr>
          <w:i/>
          <w:iCs/>
        </w:rPr>
        <w:t>Occup. Environ. Med.</w:t>
      </w:r>
      <w:r w:rsidRPr="00896C34">
        <w:t>, vol. 61, no. 12, p. e59, Dec. 2004, doi: 10.1136/oem.2004.014472.</w:t>
      </w:r>
    </w:p>
    <w:p w14:paraId="40A93547" w14:textId="77777777" w:rsidR="00896C34" w:rsidRPr="00896C34" w:rsidRDefault="00896C34" w:rsidP="00896C34">
      <w:pPr>
        <w:pStyle w:val="Bibliography"/>
      </w:pPr>
      <w:r w:rsidRPr="00896C34">
        <w:t>[16]</w:t>
      </w:r>
      <w:r w:rsidRPr="00896C34">
        <w:tab/>
        <w:t xml:space="preserve">N. Pearce, “Analysis of matched case-control studies,” </w:t>
      </w:r>
      <w:r w:rsidRPr="00896C34">
        <w:rPr>
          <w:i/>
          <w:iCs/>
        </w:rPr>
        <w:t>BMJ</w:t>
      </w:r>
      <w:r w:rsidRPr="00896C34">
        <w:t>, vol. 352, p. i969, Feb. 2016, doi: 10.1136/bmj.i969.</w:t>
      </w:r>
    </w:p>
    <w:p w14:paraId="366DB258" w14:textId="77777777" w:rsidR="00896C34" w:rsidRPr="00896C34" w:rsidRDefault="00896C34" w:rsidP="00896C34">
      <w:pPr>
        <w:pStyle w:val="Bibliography"/>
      </w:pPr>
      <w:r w:rsidRPr="00896C34">
        <w:t>[17]</w:t>
      </w:r>
      <w:r w:rsidRPr="00896C34">
        <w:tab/>
        <w:t xml:space="preserve">B. Carstensen, M. Plummer, E. Laara, and M. Hills, </w:t>
      </w:r>
      <w:r w:rsidRPr="00896C34">
        <w:rPr>
          <w:i/>
          <w:iCs/>
        </w:rPr>
        <w:t>Epi: Statistical Analysis in Epidemiology</w:t>
      </w:r>
      <w:r w:rsidRPr="00896C34">
        <w:t>. (Jul. 18, 2024). Accessed: Aug. 12, 2024. [Online]. Available: https://cran.r-project.org/web/packages/Epi/index.html</w:t>
      </w:r>
    </w:p>
    <w:p w14:paraId="295FB3BC" w14:textId="77777777" w:rsidR="00896C34" w:rsidRPr="00896C34" w:rsidRDefault="00896C34" w:rsidP="00896C34">
      <w:pPr>
        <w:pStyle w:val="Bibliography"/>
      </w:pPr>
      <w:r w:rsidRPr="00896C34">
        <w:t>[18]</w:t>
      </w:r>
      <w:r w:rsidRPr="00896C34">
        <w:tab/>
        <w:t>“Seroprevalence of SARS-CoV-2 antibodies in the community based on participants in the 2020 Korea National Health and Nutrition Examination Survey.” Accessed: Sep. 04, 2024. [Online]. Available: https://www.e-epih.org/journal/view.php?number=1276</w:t>
      </w:r>
    </w:p>
    <w:p w14:paraId="577EFE00" w14:textId="77777777" w:rsidR="00896C34" w:rsidRPr="00896C34" w:rsidRDefault="00896C34" w:rsidP="00896C34">
      <w:pPr>
        <w:pStyle w:val="Bibliography"/>
      </w:pPr>
      <w:r w:rsidRPr="00896C34">
        <w:t>[19]</w:t>
      </w:r>
      <w:r w:rsidRPr="00896C34">
        <w:tab/>
        <w:t xml:space="preserve">M. Karachaliou </w:t>
      </w:r>
      <w:r w:rsidRPr="00896C34">
        <w:rPr>
          <w:i/>
          <w:iCs/>
        </w:rPr>
        <w:t>et al.</w:t>
      </w:r>
      <w:r w:rsidRPr="00896C34">
        <w:t xml:space="preserve">, “SARS-CoV-2 infection, vaccination, and antibody response trajectories in adults: a cohort study in Catalonia,” </w:t>
      </w:r>
      <w:r w:rsidRPr="00896C34">
        <w:rPr>
          <w:i/>
          <w:iCs/>
        </w:rPr>
        <w:t>BMC Med.</w:t>
      </w:r>
      <w:r w:rsidRPr="00896C34">
        <w:t>, vol. 20, no. 1, p. 347, Sep. 2022, doi: 10.1186/s12916-022-02547-2.</w:t>
      </w:r>
    </w:p>
    <w:p w14:paraId="3DE32383" w14:textId="77777777" w:rsidR="00896C34" w:rsidRPr="00896C34" w:rsidRDefault="00896C34" w:rsidP="00896C34">
      <w:pPr>
        <w:pStyle w:val="Bibliography"/>
      </w:pPr>
      <w:r w:rsidRPr="00896C34">
        <w:t>[20]</w:t>
      </w:r>
      <w:r w:rsidRPr="00896C34">
        <w:tab/>
        <w:t xml:space="preserve">E. J. Jang </w:t>
      </w:r>
      <w:r w:rsidRPr="00896C34">
        <w:rPr>
          <w:i/>
          <w:iCs/>
        </w:rPr>
        <w:t>et al.</w:t>
      </w:r>
      <w:r w:rsidRPr="00896C34">
        <w:t xml:space="preserve">, “Presumed population immunity to SARS-CoV-2 in South Korea, April 2022,” </w:t>
      </w:r>
      <w:r w:rsidRPr="00896C34">
        <w:rPr>
          <w:i/>
          <w:iCs/>
        </w:rPr>
        <w:t>Osong Public Health Res. Perspect.</w:t>
      </w:r>
      <w:r w:rsidRPr="00896C34">
        <w:t>, vol. 13, no. 5, pp. 377–381, Oct. 2022, doi: 10.24171/j.phrp.2022.0209.</w:t>
      </w:r>
    </w:p>
    <w:p w14:paraId="4DD62671" w14:textId="77777777" w:rsidR="00896C34" w:rsidRPr="00896C34" w:rsidRDefault="00896C34" w:rsidP="00896C34">
      <w:pPr>
        <w:pStyle w:val="Bibliography"/>
      </w:pPr>
      <w:r w:rsidRPr="00896C34">
        <w:t>[21]</w:t>
      </w:r>
      <w:r w:rsidRPr="00896C34">
        <w:tab/>
        <w:t xml:space="preserve">N. Eliakim-Raz </w:t>
      </w:r>
      <w:r w:rsidRPr="00896C34">
        <w:rPr>
          <w:i/>
          <w:iCs/>
        </w:rPr>
        <w:t>et al.</w:t>
      </w:r>
      <w:r w:rsidRPr="00896C34">
        <w:t xml:space="preserve">, “Three-month follow-up of durability of response to the third dose of the SARS-CoV-2 BNT162b2 vaccine in adults aged 60 years and older: a prospective cohort study,” </w:t>
      </w:r>
      <w:r w:rsidRPr="00896C34">
        <w:rPr>
          <w:i/>
          <w:iCs/>
        </w:rPr>
        <w:t>BMJ Open</w:t>
      </w:r>
      <w:r w:rsidRPr="00896C34">
        <w:t xml:space="preserve">, vol. 12, no. </w:t>
      </w:r>
      <w:r w:rsidRPr="00896C34">
        <w:lastRenderedPageBreak/>
        <w:t>8, p. e061584, Aug. 2022, doi: 10.1136/bmjopen-2022-061584.</w:t>
      </w:r>
    </w:p>
    <w:p w14:paraId="2B8D8C54" w14:textId="77777777" w:rsidR="00896C34" w:rsidRPr="00896C34" w:rsidRDefault="00896C34" w:rsidP="00896C34">
      <w:pPr>
        <w:pStyle w:val="Bibliography"/>
      </w:pPr>
      <w:r w:rsidRPr="00896C34">
        <w:t>[22]</w:t>
      </w:r>
      <w:r w:rsidRPr="00896C34">
        <w:tab/>
        <w:t xml:space="preserve">J. A. Montes-González </w:t>
      </w:r>
      <w:r w:rsidRPr="00896C34">
        <w:rPr>
          <w:i/>
          <w:iCs/>
        </w:rPr>
        <w:t>et al.</w:t>
      </w:r>
      <w:r w:rsidRPr="00896C34">
        <w:t xml:space="preserve">, “Protection of hybrid immunity against SARS-CoV-2 reinfection and severe COVID-19 during periods of Omicron variant predominance in Mexico,” </w:t>
      </w:r>
      <w:r w:rsidRPr="00896C34">
        <w:rPr>
          <w:i/>
          <w:iCs/>
        </w:rPr>
        <w:t>Front. Public Health</w:t>
      </w:r>
      <w:r w:rsidRPr="00896C34">
        <w:t>, vol. 11, Apr. 2023, doi: 10.3389/fpubh.2023.1146059.</w:t>
      </w:r>
    </w:p>
    <w:p w14:paraId="704D2CBB" w14:textId="77777777" w:rsidR="00896C34" w:rsidRPr="00896C34" w:rsidRDefault="00896C34" w:rsidP="00896C34">
      <w:pPr>
        <w:pStyle w:val="Bibliography"/>
      </w:pPr>
      <w:r w:rsidRPr="00896C34">
        <w:t>[23]</w:t>
      </w:r>
      <w:r w:rsidRPr="00896C34">
        <w:tab/>
        <w:t xml:space="preserve">M. Lipsitch, F. Krammer, G. Regev-Yochay, Y. Lustig, and R. D. Balicer, “SARS-CoV-2 breakthrough infections in vaccinated individuals: measurement, causes and impact,” </w:t>
      </w:r>
      <w:r w:rsidRPr="00896C34">
        <w:rPr>
          <w:i/>
          <w:iCs/>
        </w:rPr>
        <w:t>Nat. Rev. Immunol.</w:t>
      </w:r>
      <w:r w:rsidRPr="00896C34">
        <w:t>, vol. 22, no. 1, pp. 57–65, Jan. 2022, doi: 10.1038/s41577-021-00662-4.</w:t>
      </w:r>
    </w:p>
    <w:p w14:paraId="5BBA074E" w14:textId="77777777" w:rsidR="00896C34" w:rsidRPr="00896C34" w:rsidRDefault="00896C34" w:rsidP="00896C34">
      <w:pPr>
        <w:pStyle w:val="Bibliography"/>
      </w:pPr>
      <w:r w:rsidRPr="00896C34">
        <w:t>[24]</w:t>
      </w:r>
      <w:r w:rsidRPr="00896C34">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447426A7"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017BAC00" w14:textId="15E9DD63" w:rsidR="00B8340E" w:rsidRPr="00B8340E" w:rsidRDefault="00B8340E" w:rsidP="008737AA">
      <w:pPr>
        <w:rPr>
          <w:rFonts w:eastAsiaTheme="minorEastAsia"/>
          <w:b/>
          <w:bCs/>
          <w:lang w:eastAsia="ko-KR"/>
        </w:rPr>
      </w:pPr>
      <w:r w:rsidRPr="00B8340E">
        <w:rPr>
          <w:rFonts w:eastAsiaTheme="minorEastAsia" w:hint="eastAsia"/>
          <w:b/>
          <w:bCs/>
          <w:lang w:eastAsia="ko-KR"/>
        </w:rPr>
        <w:t>Appendix</w:t>
      </w:r>
    </w:p>
    <w:p w14:paraId="5E726706" w14:textId="77777777" w:rsidR="008737AA" w:rsidRPr="00D0236F" w:rsidRDefault="008737AA" w:rsidP="008737AA">
      <w:pPr>
        <w:rPr>
          <w:rFonts w:eastAsiaTheme="minorEastAsia"/>
          <w:lang w:eastAsia="ko-KR"/>
        </w:rPr>
      </w:pP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lastRenderedPageBreak/>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236F" w:rsidRDefault="00D3651D" w:rsidP="00D3651D">
      <w:pPr>
        <w:tabs>
          <w:tab w:val="left" w:pos="3793"/>
        </w:tabs>
        <w:spacing w:line="276" w:lineRule="auto"/>
        <w:rPr>
          <w:rFonts w:eastAsiaTheme="minorEastAsia"/>
          <w:lang w:eastAsia="ko-KR"/>
        </w:rPr>
      </w:pPr>
      <w:commentRangeStart w:id="35"/>
      <w:commentRangeStart w:id="36"/>
      <w:r w:rsidRPr="00D0236F">
        <w:t xml:space="preserve">Figure </w:t>
      </w:r>
      <w:r w:rsidRPr="00D0236F">
        <w:rPr>
          <w:rFonts w:eastAsiaTheme="minorEastAsia"/>
          <w:lang w:eastAsia="ko-KR"/>
        </w:rPr>
        <w:t>S1</w:t>
      </w:r>
      <w:r w:rsidRPr="00D0236F">
        <w:t xml:space="preserve">: </w:t>
      </w:r>
      <w:commentRangeEnd w:id="35"/>
      <w:r w:rsidR="0036748A" w:rsidRPr="00D0236F">
        <w:rPr>
          <w:rStyle w:val="CommentReference"/>
          <w:sz w:val="22"/>
          <w:szCs w:val="22"/>
        </w:rPr>
        <w:commentReference w:id="35"/>
      </w:r>
      <w:commentRangeEnd w:id="36"/>
      <w:r w:rsidR="00873033" w:rsidRPr="00D0236F">
        <w:rPr>
          <w:rStyle w:val="CommentReference"/>
          <w:sz w:val="22"/>
          <w:szCs w:val="22"/>
        </w:rPr>
        <w:commentReference w:id="36"/>
      </w:r>
      <w:r w:rsidRPr="00D0236F">
        <w:t xml:space="preserve">Forest plot displaying characteristic patterns: Top - Vaccine-induced group; Bottom - Hybrid-induced </w:t>
      </w:r>
      <w:commentRangeStart w:id="37"/>
      <w:commentRangeStart w:id="38"/>
      <w:r w:rsidRPr="00D0236F">
        <w:t>group</w:t>
      </w:r>
      <w:commentRangeEnd w:id="37"/>
      <w:r w:rsidR="007B4FC3" w:rsidRPr="00D0236F">
        <w:rPr>
          <w:rStyle w:val="CommentReference"/>
          <w:sz w:val="22"/>
          <w:szCs w:val="22"/>
        </w:rPr>
        <w:commentReference w:id="37"/>
      </w:r>
      <w:commentRangeEnd w:id="38"/>
      <w:r w:rsidR="007B4FC3" w:rsidRPr="00D0236F">
        <w:rPr>
          <w:rStyle w:val="CommentReference"/>
          <w:sz w:val="22"/>
          <w:szCs w:val="22"/>
        </w:rPr>
        <w:commentReference w:id="38"/>
      </w:r>
    </w:p>
    <w:p w14:paraId="73E8A326" w14:textId="77777777" w:rsidR="00B8340E" w:rsidRPr="00D0236F" w:rsidRDefault="00B8340E"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5793C074" w14:textId="77777777" w:rsidR="00B8340E" w:rsidRDefault="00B8340E" w:rsidP="00B8340E">
      <w:pPr>
        <w:pStyle w:val="BodyText"/>
        <w:spacing w:line="276" w:lineRule="auto"/>
        <w:ind w:right="795" w:firstLine="566"/>
        <w:jc w:val="both"/>
        <w:rPr>
          <w:rFonts w:eastAsiaTheme="minorEastAsia"/>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 xml:space="preserve">con- </w:t>
      </w:r>
      <w:proofErr w:type="spellStart"/>
      <w:r w:rsidRPr="00D0236F">
        <w:rPr>
          <w:sz w:val="22"/>
          <w:szCs w:val="22"/>
        </w:rPr>
        <w:t>fidence</w:t>
      </w:r>
      <w:proofErr w:type="spellEnd"/>
      <w:r w:rsidRPr="00D0236F">
        <w:rPr>
          <w:sz w:val="22"/>
          <w:szCs w:val="22"/>
        </w:rPr>
        <w:t xml:space="preserv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roofErr w:type="gramStart"/>
      <w:r w:rsidRPr="00D0236F">
        <w:rPr>
          <w:rFonts w:eastAsiaTheme="minorEastAsia"/>
          <w:sz w:val="22"/>
          <w:szCs w:val="22"/>
          <w:lang w:eastAsia="ko-KR"/>
        </w:rPr>
        <w:t>In order to</w:t>
      </w:r>
      <w:proofErr w:type="gramEnd"/>
      <w:r w:rsidRPr="00D0236F">
        <w:rPr>
          <w:rFonts w:eastAsiaTheme="minorEastAsia"/>
          <w:sz w:val="22"/>
          <w:szCs w:val="22"/>
          <w:lang w:eastAsia="ko-KR"/>
        </w:rPr>
        <w:t xml:space="preserve"> determine the risk </w:t>
      </w:r>
      <w:r w:rsidRPr="00D0236F">
        <w:rPr>
          <w:sz w:val="22"/>
          <w:szCs w:val="22"/>
        </w:rPr>
        <w:t>probability of remaining infection-free</w:t>
      </w:r>
      <w:r w:rsidRPr="00D0236F">
        <w:rPr>
          <w:rFonts w:eastAsiaTheme="minorEastAsia"/>
          <w:sz w:val="22"/>
          <w:szCs w:val="22"/>
          <w:lang w:eastAsia="ko-KR"/>
        </w:rPr>
        <w:t xml:space="preserve"> by </w:t>
      </w:r>
      <w:r w:rsidRPr="00D0236F">
        <w:rPr>
          <w:sz w:val="22"/>
          <w:szCs w:val="22"/>
        </w:rPr>
        <w:t>S antibody levels</w:t>
      </w:r>
      <w:r w:rsidRPr="00D0236F">
        <w:rPr>
          <w:rFonts w:eastAsiaTheme="minorEastAsia"/>
          <w:sz w:val="22"/>
          <w:szCs w:val="22"/>
          <w:lang w:eastAsia="ko-KR"/>
        </w:rPr>
        <w:t xml:space="preserve"> across age groups, we constructed l</w:t>
      </w:r>
      <w:r w:rsidRPr="00D0236F">
        <w:rPr>
          <w:sz w:val="22"/>
          <w:szCs w:val="22"/>
        </w:rPr>
        <w:t xml:space="preserve">ogistic </w:t>
      </w:r>
      <w:r w:rsidRPr="00D0236F">
        <w:rPr>
          <w:spacing w:val="-3"/>
          <w:sz w:val="22"/>
          <w:szCs w:val="22"/>
        </w:rPr>
        <w:t>regression</w:t>
      </w:r>
      <w:r w:rsidRPr="00D0236F">
        <w:rPr>
          <w:rFonts w:eastAsiaTheme="minorEastAsia"/>
          <w:spacing w:val="-3"/>
          <w:sz w:val="22"/>
          <w:szCs w:val="22"/>
          <w:lang w:eastAsia="ko-KR"/>
        </w:rPr>
        <w:t xml:space="preserve"> including </w:t>
      </w:r>
      <w:r w:rsidRPr="00D0236F">
        <w:rPr>
          <w:rFonts w:eastAsiaTheme="minorEastAsia"/>
          <w:sz w:val="22"/>
          <w:szCs w:val="22"/>
          <w:lang w:eastAsia="ko-KR"/>
        </w:rPr>
        <w:t>age only based on the finding. (Figure 4 and S2)</w:t>
      </w:r>
    </w:p>
    <w:p w14:paraId="4E604DC4"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0114C382" w14:textId="3C31B27E" w:rsidR="00557BD0" w:rsidRDefault="00B8340E" w:rsidP="00D3651D">
      <w:pPr>
        <w:tabs>
          <w:tab w:val="left" w:pos="3793"/>
        </w:tabs>
        <w:spacing w:line="276" w:lineRule="auto"/>
        <w:rPr>
          <w:rFonts w:eastAsiaTheme="minorEastAsia"/>
          <w:lang w:eastAsia="ko-KR"/>
        </w:rPr>
      </w:pPr>
      <w:r>
        <w:rPr>
          <w:rFonts w:eastAsiaTheme="minorEastAsia"/>
          <w:lang w:eastAsia="ko-KR"/>
        </w:rPr>
        <w:t>D</w:t>
      </w:r>
      <w:r>
        <w:rPr>
          <w:rFonts w:eastAsiaTheme="minorEastAsia" w:hint="eastAsia"/>
          <w:lang w:eastAsia="ko-KR"/>
        </w:rPr>
        <w:t xml:space="preserve">efine equations for </w:t>
      </w:r>
      <w:r w:rsidR="00557BD0" w:rsidRPr="00B8340E">
        <w:rPr>
          <w:rFonts w:eastAsiaTheme="minorEastAsia"/>
          <w:highlight w:val="yellow"/>
          <w:lang w:eastAsia="ko-KR"/>
        </w:rPr>
        <w:t xml:space="preserve">Cox proportional </w:t>
      </w:r>
      <w:proofErr w:type="gramStart"/>
      <w:r w:rsidR="00557BD0" w:rsidRPr="00B8340E">
        <w:rPr>
          <w:rFonts w:eastAsiaTheme="minorEastAsia"/>
          <w:highlight w:val="yellow"/>
          <w:lang w:eastAsia="ko-KR"/>
        </w:rPr>
        <w:t>hazard  model</w:t>
      </w:r>
      <w:proofErr w:type="gramEnd"/>
      <w:r>
        <w:rPr>
          <w:rFonts w:eastAsiaTheme="minorEastAsia" w:hint="eastAsia"/>
          <w:highlight w:val="yellow"/>
          <w:lang w:eastAsia="ko-KR"/>
        </w:rPr>
        <w:t xml:space="preserve"> and </w:t>
      </w:r>
      <w:r w:rsidR="00557BD0" w:rsidRPr="00B8340E">
        <w:rPr>
          <w:rFonts w:eastAsiaTheme="minorEastAsia"/>
          <w:highlight w:val="yellow"/>
          <w:lang w:eastAsia="ko-KR"/>
        </w:rPr>
        <w:t>Mixed effect model</w:t>
      </w:r>
      <w:r w:rsidR="00557BD0" w:rsidRPr="00D0236F">
        <w:rPr>
          <w:rFonts w:eastAsiaTheme="minorEastAsia"/>
          <w:lang w:eastAsia="ko-KR"/>
        </w:rPr>
        <w:t xml:space="preserve"> </w:t>
      </w:r>
    </w:p>
    <w:p w14:paraId="78554629" w14:textId="77777777" w:rsidR="00B8340E" w:rsidRDefault="00B8340E" w:rsidP="00D3651D">
      <w:pPr>
        <w:tabs>
          <w:tab w:val="left" w:pos="3793"/>
        </w:tabs>
        <w:spacing w:line="276" w:lineRule="auto"/>
        <w:rPr>
          <w:rFonts w:eastAsiaTheme="minorEastAsia"/>
          <w:lang w:eastAsia="ko-KR"/>
        </w:rPr>
      </w:pPr>
    </w:p>
    <w:p w14:paraId="19FE18D2" w14:textId="77777777" w:rsidR="00B8340E" w:rsidRDefault="00B8340E" w:rsidP="00D3651D">
      <w:pPr>
        <w:tabs>
          <w:tab w:val="left" w:pos="3793"/>
        </w:tabs>
        <w:spacing w:line="276" w:lineRule="auto"/>
        <w:rPr>
          <w:rFonts w:eastAsiaTheme="minorEastAsia"/>
          <w:lang w:eastAsia="ko-KR"/>
        </w:rPr>
      </w:pPr>
    </w:p>
    <w:p w14:paraId="383BD402" w14:textId="77777777" w:rsidR="00B8340E" w:rsidRPr="00D0236F" w:rsidRDefault="00B8340E" w:rsidP="00D3651D">
      <w:pPr>
        <w:tabs>
          <w:tab w:val="left" w:pos="3793"/>
        </w:tabs>
        <w:spacing w:line="276" w:lineRule="auto"/>
        <w:rPr>
          <w:rFonts w:eastAsiaTheme="minorEastAsia"/>
          <w:lang w:eastAsia="ko-KR"/>
        </w:rPr>
      </w:pPr>
    </w:p>
    <w:p w14:paraId="1AC72550" w14:textId="7743E9CB"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drawing>
          <wp:inline distT="0" distB="0" distL="0" distR="0" wp14:anchorId="6064E52F" wp14:editId="513DCB7F">
            <wp:extent cx="5464454" cy="3981558"/>
            <wp:effectExtent l="0" t="0" r="0"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6688" cy="4034190"/>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77777777" w:rsidR="00D3651D" w:rsidRPr="00D0236F" w:rsidRDefault="00D3651D" w:rsidP="00D3651D">
      <w:pPr>
        <w:pStyle w:val="BodyText"/>
        <w:spacing w:line="276" w:lineRule="auto"/>
        <w:ind w:left="2153"/>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xml:space="preserve">: </w:t>
      </w:r>
      <w:commentRangeStart w:id="39"/>
      <w:r w:rsidRPr="00D0236F">
        <w:rPr>
          <w:sz w:val="22"/>
          <w:szCs w:val="22"/>
        </w:rPr>
        <w:t>ROC curves for logistic regression models</w:t>
      </w:r>
      <w:commentRangeEnd w:id="39"/>
      <w:r w:rsidR="001D07B1">
        <w:rPr>
          <w:rStyle w:val="CommentReference"/>
        </w:rPr>
        <w:commentReference w:id="39"/>
      </w:r>
    </w:p>
    <w:p w14:paraId="37A23891" w14:textId="7BF33A67" w:rsidR="00641B2E" w:rsidRPr="00D0236F" w:rsidRDefault="00E84F8E" w:rsidP="00976DDF">
      <w:pPr>
        <w:pStyle w:val="BodyText"/>
        <w:spacing w:line="276" w:lineRule="auto"/>
        <w:rPr>
          <w:rFonts w:eastAsiaTheme="minorEastAsia"/>
          <w:sz w:val="22"/>
          <w:szCs w:val="22"/>
          <w:highlight w:val="yellow"/>
          <w:lang w:eastAsia="zh-CN"/>
        </w:rPr>
      </w:pPr>
      <w:r w:rsidRPr="00D0236F">
        <w:rPr>
          <w:rFonts w:eastAsiaTheme="minorEastAsia"/>
          <w:sz w:val="22"/>
          <w:szCs w:val="22"/>
          <w:highlight w:val="yellow"/>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D0236F">
        <w:rPr>
          <w:rFonts w:eastAsiaTheme="minorEastAsia"/>
          <w:sz w:val="22"/>
          <w:szCs w:val="22"/>
          <w:highlight w:val="yellow"/>
          <w:lang w:eastAsia="ko-KR"/>
        </w:rPr>
        <w:t>.</w:t>
      </w:r>
      <w:r w:rsidR="00D348B0" w:rsidRPr="00D0236F">
        <w:rPr>
          <w:rFonts w:eastAsiaTheme="minorEastAsia"/>
          <w:sz w:val="22"/>
          <w:szCs w:val="22"/>
          <w:highlight w:val="yellow"/>
          <w:lang w:eastAsia="zh-CN"/>
        </w:rPr>
        <w:t xml:space="preserve"> </w:t>
      </w:r>
      <w:r w:rsidR="00976DDF" w:rsidRPr="00D0236F">
        <w:rPr>
          <w:rFonts w:eastAsiaTheme="minorEastAsia"/>
          <w:sz w:val="22"/>
          <w:szCs w:val="22"/>
          <w:highlight w:val="yellow"/>
          <w:lang w:eastAsia="zh-CN"/>
        </w:rPr>
        <w:t>The equation for a simple logistic regression is provided below. On the left side of each equation is the logit transformation of the probability of being in the control group, which represents the likelihood of being free from COVID-19 infection.</w:t>
      </w:r>
    </w:p>
    <w:p w14:paraId="2D067CB0" w14:textId="481499FE" w:rsidR="00CB603B" w:rsidRPr="00D0236F" w:rsidRDefault="00CB603B" w:rsidP="00976DDF">
      <w:pPr>
        <w:pStyle w:val="BodyText"/>
        <w:spacing w:line="276" w:lineRule="auto"/>
        <w:rPr>
          <w:rFonts w:eastAsiaTheme="minorEastAsia"/>
          <w:sz w:val="22"/>
          <w:szCs w:val="22"/>
          <w:highlight w:val="yellow"/>
          <w:lang w:eastAsia="zh-CN"/>
        </w:rPr>
      </w:pPr>
      <w:r w:rsidRPr="00D0236F">
        <w:rPr>
          <w:rFonts w:eastAsiaTheme="minorEastAsia"/>
          <w:noProof/>
          <w:sz w:val="22"/>
          <w:szCs w:val="22"/>
          <w:lang w:eastAsia="zh-CN"/>
          <w14:ligatures w14:val="standardContextual"/>
        </w:rPr>
        <w:drawing>
          <wp:inline distT="0" distB="0" distL="0" distR="0" wp14:anchorId="59649058" wp14:editId="2926563F">
            <wp:extent cx="6343650" cy="345440"/>
            <wp:effectExtent l="0" t="0" r="6350" b="0"/>
            <wp:docPr id="9752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4794" name="Picture 975284794"/>
                    <pic:cNvPicPr/>
                  </pic:nvPicPr>
                  <pic:blipFill>
                    <a:blip r:embed="rId29">
                      <a:extLst>
                        <a:ext uri="{28A0092B-C50C-407E-A947-70E740481C1C}">
                          <a14:useLocalDpi xmlns:a14="http://schemas.microsoft.com/office/drawing/2010/main" val="0"/>
                        </a:ext>
                      </a:extLst>
                    </a:blip>
                    <a:stretch>
                      <a:fillRect/>
                    </a:stretch>
                  </pic:blipFill>
                  <pic:spPr>
                    <a:xfrm>
                      <a:off x="0" y="0"/>
                      <a:ext cx="6343650" cy="345440"/>
                    </a:xfrm>
                    <a:prstGeom prst="rect">
                      <a:avLst/>
                    </a:prstGeom>
                  </pic:spPr>
                </pic:pic>
              </a:graphicData>
            </a:graphic>
          </wp:inline>
        </w:drawing>
      </w:r>
    </w:p>
    <w:p w14:paraId="0D7C3F6F" w14:textId="0070A501" w:rsidR="00D348B0" w:rsidRPr="00D0236F" w:rsidRDefault="00641B2E" w:rsidP="008D184F">
      <w:pPr>
        <w:pStyle w:val="BodyText"/>
        <w:spacing w:line="276" w:lineRule="auto"/>
        <w:rPr>
          <w:rFonts w:eastAsiaTheme="minorEastAsia"/>
          <w:sz w:val="22"/>
          <w:szCs w:val="22"/>
          <w:highlight w:val="yellow"/>
          <w:lang w:eastAsia="zh-CN"/>
        </w:rPr>
      </w:pPr>
      <w:r w:rsidRPr="00D0236F">
        <w:rPr>
          <w:rFonts w:eastAsiaTheme="minorEastAsia"/>
          <w:sz w:val="22"/>
          <w:szCs w:val="22"/>
          <w:highlight w:val="yellow"/>
          <w:lang w:eastAsia="zh-CN"/>
        </w:rPr>
        <w:t xml:space="preserve">And the equations of mixed effects logistic regression are as follows: </w:t>
      </w:r>
    </w:p>
    <w:p w14:paraId="5D56A504" w14:textId="458A6B25" w:rsidR="00641B2E" w:rsidRPr="00D0236F" w:rsidRDefault="00CB603B" w:rsidP="00641B2E">
      <w:pPr>
        <w:pStyle w:val="BodyText"/>
        <w:spacing w:line="276" w:lineRule="auto"/>
        <w:rPr>
          <w:rFonts w:eastAsiaTheme="minorEastAsia"/>
          <w:sz w:val="22"/>
          <w:szCs w:val="22"/>
          <w:lang w:eastAsia="zh-CN"/>
        </w:rPr>
      </w:pPr>
      <w:r w:rsidRPr="00D0236F">
        <w:rPr>
          <w:rFonts w:eastAsiaTheme="minorEastAsia"/>
          <w:noProof/>
          <w:sz w:val="22"/>
          <w:szCs w:val="22"/>
          <w:lang w:eastAsia="zh-CN"/>
          <w14:ligatures w14:val="standardContextual"/>
        </w:rPr>
        <w:drawing>
          <wp:inline distT="0" distB="0" distL="0" distR="0" wp14:anchorId="6A3D43FA" wp14:editId="7CE89554">
            <wp:extent cx="6343650" cy="1016635"/>
            <wp:effectExtent l="0" t="0" r="6350" b="0"/>
            <wp:docPr id="1312503766" name="Picture 2"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766" name="Picture 2" descr="A table with black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43650" cy="1016635"/>
                    </a:xfrm>
                    <a:prstGeom prst="rect">
                      <a:avLst/>
                    </a:prstGeom>
                  </pic:spPr>
                </pic:pic>
              </a:graphicData>
            </a:graphic>
          </wp:inline>
        </w:drawing>
      </w:r>
    </w:p>
    <w:p w14:paraId="4801881C" w14:textId="15B07D50" w:rsidR="00641B2E" w:rsidRPr="00D0236F" w:rsidRDefault="00CB603B" w:rsidP="00E84F8E">
      <w:pPr>
        <w:pStyle w:val="BodyText"/>
        <w:spacing w:line="276" w:lineRule="auto"/>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2EC41126" wp14:editId="2B238EC3">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208E4303" w14:textId="77777777" w:rsidR="00641B2E" w:rsidRPr="00D0236F" w:rsidRDefault="00641B2E" w:rsidP="00E84F8E">
      <w:pPr>
        <w:pStyle w:val="BodyText"/>
        <w:spacing w:line="276" w:lineRule="auto"/>
        <w:rPr>
          <w:rFonts w:eastAsiaTheme="minorEastAsia"/>
          <w:sz w:val="22"/>
          <w:szCs w:val="22"/>
          <w:lang w:eastAsia="ko-KR"/>
        </w:rPr>
      </w:pP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lastRenderedPageBreak/>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433641">
      <w:pgSz w:w="11910" w:h="16840"/>
      <w:pgMar w:top="1300" w:right="620" w:bottom="1040" w:left="130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19T14:03:00Z" w:initials="YJ">
    <w:p w14:paraId="0C943133" w14:textId="77777777" w:rsidR="005C5BA9" w:rsidRDefault="005C5BA9" w:rsidP="005C5BA9">
      <w:pPr>
        <w:pStyle w:val="CommentText"/>
      </w:pPr>
      <w:r>
        <w:rPr>
          <w:rStyle w:val="CommentReference"/>
        </w:rPr>
        <w:annotationRef/>
      </w:r>
      <w:r>
        <w:t>Long-term effectiveness of COVID-19 vaccines against infections, hospitalisations, and mortality in adults: findings from a rapid living systematic evidence synthesis and metaanalysis up to December, 2022 Nana Wu, Keven Joyal-Desmarais, Paula A B Ribeiro, Ariany Marques Vieira, Jovana Stojanovic, Comfort Sanuade, Doro Yip, Simon L Bacon</w:t>
      </w:r>
    </w:p>
  </w:comment>
  <w:comment w:id="1" w:author="Youngji Jo" w:date="2024-08-21T14:31:00Z" w:initials="YJ">
    <w:p w14:paraId="47AE06BD" w14:textId="77777777" w:rsidR="001A568B" w:rsidRDefault="001A568B" w:rsidP="001A568B">
      <w:pPr>
        <w:pStyle w:val="CommentText"/>
      </w:pPr>
      <w:r>
        <w:rPr>
          <w:rStyle w:val="CommentReference"/>
        </w:rPr>
        <w:annotationRef/>
      </w:r>
      <w:r>
        <w:rPr>
          <w:color w:val="222222"/>
          <w:highlight w:val="white"/>
        </w:rPr>
        <w:t>Pallett, S. J. C., Heskin, J., Mazzella, A., Groppelli, E. &amp; Moore L. S. P. Neutralising antibody titres as predictors of protection against SARS-CoV-2 variants. </w:t>
      </w:r>
      <w:r>
        <w:rPr>
          <w:i/>
          <w:iCs/>
          <w:color w:val="222222"/>
          <w:highlight w:val="white"/>
        </w:rPr>
        <w:t>Lancet Microbe</w:t>
      </w:r>
      <w:r>
        <w:rPr>
          <w:color w:val="222222"/>
          <w:highlight w:val="white"/>
        </w:rPr>
        <w:t> </w:t>
      </w:r>
      <w:r>
        <w:rPr>
          <w:b/>
          <w:bCs/>
          <w:color w:val="222222"/>
          <w:highlight w:val="white"/>
        </w:rPr>
        <w:t>3</w:t>
      </w:r>
      <w:r>
        <w:rPr>
          <w:color w:val="222222"/>
          <w:highlight w:val="white"/>
        </w:rPr>
        <w:t>, e167 (2022).</w:t>
      </w:r>
      <w:r>
        <w:t xml:space="preserve"> </w:t>
      </w:r>
    </w:p>
  </w:comment>
  <w:comment w:id="2" w:author="Youngji Jo" w:date="2024-08-19T11:42:00Z" w:initials="YJ">
    <w:p w14:paraId="5ABFB21F" w14:textId="6EA6C437" w:rsidR="00A42CCC" w:rsidRDefault="00A42CCC" w:rsidP="00A42CCC">
      <w:pPr>
        <w:pStyle w:val="CommentText"/>
      </w:pPr>
      <w:r>
        <w:rPr>
          <w:rStyle w:val="CommentReference"/>
        </w:rPr>
        <w:annotationRef/>
      </w:r>
      <w:r>
        <w:rPr>
          <w:color w:val="212121"/>
          <w:highlight w:val="white"/>
        </w:rPr>
        <w:t>1. Ward H, Whitaker M, Flower B, Tang SN, Atchison C, Darzi A, et al. Population antibody responses following COVID-19 vaccination in 212,102 individuals. </w:t>
      </w:r>
      <w:r>
        <w:rPr>
          <w:i/>
          <w:iCs/>
          <w:color w:val="212121"/>
          <w:highlight w:val="white"/>
        </w:rPr>
        <w:t>Nat Commun. </w:t>
      </w:r>
      <w:r>
        <w:rPr>
          <w:color w:val="212121"/>
          <w:highlight w:val="white"/>
        </w:rPr>
        <w:t>2022;</w:t>
      </w:r>
      <w:r>
        <w:rPr>
          <w:b/>
          <w:bCs/>
          <w:color w:val="212121"/>
          <w:highlight w:val="white"/>
        </w:rPr>
        <w:t>13</w:t>
      </w:r>
      <w:r>
        <w:rPr>
          <w:color w:val="212121"/>
          <w:highlight w:val="white"/>
        </w:rPr>
        <w:t>:907. doi: 10.1038/s41467-022-28527-x. [</w:t>
      </w:r>
      <w:hyperlink r:id="rId1" w:history="1">
        <w:r w:rsidRPr="00F45B1C">
          <w:rPr>
            <w:rStyle w:val="Hyperlink"/>
            <w:highlight w:val="white"/>
          </w:rPr>
          <w:t>PMC free article</w:t>
        </w:r>
      </w:hyperlink>
      <w:r>
        <w:rPr>
          <w:color w:val="212121"/>
          <w:highlight w:val="white"/>
        </w:rPr>
        <w:t>] [</w:t>
      </w:r>
      <w:hyperlink r:id="rId2" w:history="1">
        <w:r w:rsidRPr="00F45B1C">
          <w:rPr>
            <w:rStyle w:val="Hyperlink"/>
            <w:highlight w:val="white"/>
          </w:rPr>
          <w:t>PubMed</w:t>
        </w:r>
      </w:hyperlink>
      <w:r>
        <w:rPr>
          <w:color w:val="212121"/>
          <w:highlight w:val="white"/>
        </w:rPr>
        <w:t>] [</w:t>
      </w:r>
      <w:hyperlink r:id="rId3" w:history="1">
        <w:r w:rsidRPr="00F45B1C">
          <w:rPr>
            <w:rStyle w:val="Hyperlink"/>
            <w:highlight w:val="white"/>
          </w:rPr>
          <w:t>CrossRef</w:t>
        </w:r>
      </w:hyperlink>
      <w:r>
        <w:rPr>
          <w:color w:val="212121"/>
          <w:highlight w:val="white"/>
        </w:rPr>
        <w:t>] [</w:t>
      </w:r>
      <w:hyperlink r:id="rId4" w:history="1">
        <w:r w:rsidRPr="00F45B1C">
          <w:rPr>
            <w:rStyle w:val="Hyperlink"/>
            <w:highlight w:val="white"/>
          </w:rPr>
          <w:t>Google Scholar</w:t>
        </w:r>
      </w:hyperlink>
      <w:r>
        <w:rPr>
          <w:color w:val="212121"/>
          <w:highlight w:val="white"/>
        </w:rPr>
        <w:t>]</w:t>
      </w:r>
    </w:p>
    <w:p w14:paraId="10C31092" w14:textId="77777777" w:rsidR="00A42CCC" w:rsidRDefault="00A42CCC" w:rsidP="00A42CCC">
      <w:pPr>
        <w:pStyle w:val="CommentText"/>
      </w:pPr>
      <w:r>
        <w:rPr>
          <w:color w:val="212121"/>
          <w:highlight w:val="white"/>
        </w:rPr>
        <w:t>2. Moncunill G, Aguilar R, Ribes M, Ortega N, Rubio R, Salmerón G, et al. Determinants of early antibody responses to COVID-19 mRNA vaccines in a cohort of exposed and naïve healthcare workers. </w:t>
      </w:r>
      <w:r>
        <w:rPr>
          <w:i/>
          <w:iCs/>
          <w:color w:val="212121"/>
          <w:highlight w:val="white"/>
        </w:rPr>
        <w:t>EBioMedicine. </w:t>
      </w:r>
      <w:r>
        <w:rPr>
          <w:color w:val="212121"/>
          <w:highlight w:val="white"/>
        </w:rPr>
        <w:t>2022;</w:t>
      </w:r>
      <w:r>
        <w:rPr>
          <w:b/>
          <w:bCs/>
          <w:color w:val="212121"/>
          <w:highlight w:val="white"/>
        </w:rPr>
        <w:t>75</w:t>
      </w:r>
      <w:r>
        <w:rPr>
          <w:color w:val="212121"/>
          <w:highlight w:val="white"/>
        </w:rPr>
        <w:t>:103805. doi: 10.1016/j.ebiom.2021.103805. [</w:t>
      </w:r>
      <w:hyperlink r:id="rId5" w:history="1">
        <w:r w:rsidRPr="00F45B1C">
          <w:rPr>
            <w:rStyle w:val="Hyperlink"/>
            <w:highlight w:val="white"/>
          </w:rPr>
          <w:t>PMC free article</w:t>
        </w:r>
      </w:hyperlink>
      <w:r>
        <w:rPr>
          <w:color w:val="212121"/>
          <w:highlight w:val="white"/>
        </w:rPr>
        <w:t>] [</w:t>
      </w:r>
      <w:hyperlink r:id="rId6" w:history="1">
        <w:r w:rsidRPr="00F45B1C">
          <w:rPr>
            <w:rStyle w:val="Hyperlink"/>
            <w:highlight w:val="white"/>
          </w:rPr>
          <w:t>PubMed</w:t>
        </w:r>
      </w:hyperlink>
      <w:r>
        <w:rPr>
          <w:color w:val="212121"/>
          <w:highlight w:val="white"/>
        </w:rPr>
        <w:t>] [</w:t>
      </w:r>
      <w:hyperlink r:id="rId7" w:history="1">
        <w:r w:rsidRPr="00F45B1C">
          <w:rPr>
            <w:rStyle w:val="Hyperlink"/>
            <w:highlight w:val="white"/>
          </w:rPr>
          <w:t>CrossRef</w:t>
        </w:r>
      </w:hyperlink>
      <w:r>
        <w:rPr>
          <w:color w:val="212121"/>
          <w:highlight w:val="white"/>
        </w:rPr>
        <w:t>] [</w:t>
      </w:r>
      <w:hyperlink r:id="rId8" w:history="1">
        <w:r w:rsidRPr="00F45B1C">
          <w:rPr>
            <w:rStyle w:val="Hyperlink"/>
            <w:highlight w:val="white"/>
          </w:rPr>
          <w:t>Google Scholar</w:t>
        </w:r>
      </w:hyperlink>
      <w:r>
        <w:rPr>
          <w:color w:val="212121"/>
          <w:highlight w:val="white"/>
        </w:rPr>
        <w:t>]</w:t>
      </w:r>
    </w:p>
  </w:comment>
  <w:comment w:id="3" w:author="Youngji Jo" w:date="2024-08-19T14:39:00Z" w:initials="YJ">
    <w:p w14:paraId="0577DB21" w14:textId="77777777" w:rsidR="002B5470" w:rsidRDefault="002B5470" w:rsidP="002B5470">
      <w:pPr>
        <w:pStyle w:val="CommentText"/>
      </w:pPr>
      <w:r>
        <w:rPr>
          <w:rStyle w:val="CommentReference"/>
        </w:rPr>
        <w:annotationRef/>
      </w:r>
      <w:r>
        <w:t xml:space="preserve">WHO Interim statement on hybrid immunity and increasing population seroprevalence rates. World Health Organization. </w:t>
      </w:r>
      <w:hyperlink r:id="rId9" w:history="1">
        <w:r w:rsidRPr="00E41877">
          <w:rPr>
            <w:rStyle w:val="Hyperlink"/>
          </w:rPr>
          <w:t>https://www.who.int/news/item/01-06-2022-interim-statement-onhybrid-immunity-and-increasing-population-seroprevalence-rates</w:t>
        </w:r>
      </w:hyperlink>
      <w:r>
        <w:t xml:space="preserve"> (accessed Oct 9, 2022).</w:t>
      </w:r>
    </w:p>
  </w:comment>
  <w:comment w:id="4" w:author="Youngji Jo" w:date="2024-08-22T13:54:00Z" w:initials="YJ">
    <w:p w14:paraId="0D593280" w14:textId="77777777" w:rsidR="00A150A5" w:rsidRDefault="00A150A5" w:rsidP="00A150A5">
      <w:pPr>
        <w:pStyle w:val="CommentText"/>
      </w:pPr>
      <w:r>
        <w:rPr>
          <w:rStyle w:val="CommentReference"/>
        </w:rPr>
        <w:annotationRef/>
      </w:r>
      <w:hyperlink r:id="rId10" w:history="1">
        <w:r w:rsidRPr="00FB232A">
          <w:rPr>
            <w:rStyle w:val="Hyperlink"/>
          </w:rPr>
          <w:t>https://www.who.int/news/item/01-06-2022-interim-statement-on-hybrid-immunity-and-increasing-population-seroprevalence-rates</w:t>
        </w:r>
      </w:hyperlink>
    </w:p>
  </w:comment>
  <w:comment w:id="5" w:author="Youngji Jo" w:date="2024-08-23T10:10:00Z" w:initials="YJ">
    <w:p w14:paraId="7DEC4FAB" w14:textId="77777777" w:rsidR="00E74379" w:rsidRDefault="00E74379" w:rsidP="00E74379">
      <w:pPr>
        <w:pStyle w:val="CommentText"/>
      </w:pPr>
      <w:r>
        <w:rPr>
          <w:rStyle w:val="CommentReference"/>
        </w:rPr>
        <w:annotationRef/>
      </w:r>
      <w:hyperlink r:id="rId11" w:history="1">
        <w:r w:rsidRPr="00434008">
          <w:rPr>
            <w:rStyle w:val="Hyperlink"/>
          </w:rPr>
          <w:t>https://www.nature.com/articles/s41598-023-45718-8</w:t>
        </w:r>
      </w:hyperlink>
    </w:p>
  </w:comment>
  <w:comment w:id="7" w:author="Youngji Jo" w:date="2024-08-23T10:18:00Z" w:initials="YJ">
    <w:p w14:paraId="79FD16F8" w14:textId="77777777" w:rsidR="00923F27" w:rsidRDefault="00E74379" w:rsidP="00923F27">
      <w:pPr>
        <w:pStyle w:val="CommentText"/>
      </w:pPr>
      <w:r>
        <w:rPr>
          <w:rStyle w:val="CommentReference"/>
        </w:rPr>
        <w:annotationRef/>
      </w:r>
      <w:r w:rsidR="00923F27">
        <w:t xml:space="preserve">Add one sentence how the 9945 study sample are selected </w:t>
      </w:r>
    </w:p>
    <w:p w14:paraId="7D671F00" w14:textId="77777777" w:rsidR="00923F27" w:rsidRDefault="00923F27" w:rsidP="00923F27">
      <w:pPr>
        <w:pStyle w:val="CommentText"/>
      </w:pPr>
    </w:p>
    <w:p w14:paraId="02BEB91A" w14:textId="77777777" w:rsidR="00923F27" w:rsidRDefault="00923F27" w:rsidP="00923F27">
      <w:pPr>
        <w:pStyle w:val="CommentText"/>
      </w:pPr>
      <w:r>
        <w:t>Also add one sentence why 3259 population were excluded. Is it only based on no record? I think the follow up rate was quite high as &gt;80%. I think this exclusion is only based on those who just do NOT have S ab record in the second survey (not necessarily do did not participate in the 2</w:t>
      </w:r>
      <w:r>
        <w:rPr>
          <w:vertAlign w:val="superscript"/>
        </w:rPr>
        <w:t>nd</w:t>
      </w:r>
      <w:r>
        <w:t xml:space="preserve"> survey at all), correct??</w:t>
      </w:r>
    </w:p>
  </w:comment>
  <w:comment w:id="8" w:author="Youngji Jo" w:date="2024-08-23T10:19:00Z" w:initials="YJ">
    <w:p w14:paraId="6458171E" w14:textId="172EE20D" w:rsidR="00E74379" w:rsidRDefault="00E74379" w:rsidP="00E74379">
      <w:pPr>
        <w:pStyle w:val="CommentText"/>
      </w:pPr>
      <w:r>
        <w:rPr>
          <w:rStyle w:val="CommentReference"/>
        </w:rPr>
        <w:annotationRef/>
      </w:r>
      <w:r>
        <w:t>Simiarly, add one sentence why those with vaccination between 1</w:t>
      </w:r>
      <w:r>
        <w:rPr>
          <w:vertAlign w:val="superscript"/>
        </w:rPr>
        <w:t>st</w:t>
      </w:r>
      <w:r>
        <w:t xml:space="preserve"> and 2</w:t>
      </w:r>
      <w:r>
        <w:rPr>
          <w:vertAlign w:val="superscript"/>
        </w:rPr>
        <w:t>nd</w:t>
      </w:r>
      <w:r>
        <w:t xml:space="preserve"> surveillance was exclued. </w:t>
      </w:r>
    </w:p>
  </w:comment>
  <w:comment w:id="9" w:author="Youngji Jo" w:date="2024-08-23T10:21:00Z" w:initials="YJ">
    <w:p w14:paraId="384BBFC0" w14:textId="77777777" w:rsidR="00923F27" w:rsidRDefault="00923F27" w:rsidP="00923F27">
      <w:pPr>
        <w:pStyle w:val="CommentText"/>
      </w:pPr>
      <w:r>
        <w:rPr>
          <w:rStyle w:val="CommentReference"/>
        </w:rPr>
        <w:annotationRef/>
      </w:r>
      <w:r>
        <w:t>Define and add one sentence how the infection event was defined between 1</w:t>
      </w:r>
      <w:r>
        <w:rPr>
          <w:vertAlign w:val="superscript"/>
        </w:rPr>
        <w:t>st</w:t>
      </w:r>
      <w:r>
        <w:t xml:space="preserve"> and 2</w:t>
      </w:r>
      <w:r>
        <w:rPr>
          <w:vertAlign w:val="superscript"/>
        </w:rPr>
        <w:t>nd</w:t>
      </w:r>
      <w:r>
        <w:t xml:space="preserve"> survey. Is it only based on the self-report and confirmed diagnosis? </w:t>
      </w:r>
    </w:p>
    <w:p w14:paraId="4D0803DD" w14:textId="77777777" w:rsidR="00923F27" w:rsidRDefault="00923F27" w:rsidP="00923F27">
      <w:pPr>
        <w:pStyle w:val="CommentText"/>
      </w:pPr>
    </w:p>
    <w:p w14:paraId="14E85FD4" w14:textId="77777777" w:rsidR="00923F27" w:rsidRDefault="00923F27" w:rsidP="00923F27">
      <w:pPr>
        <w:pStyle w:val="CommentText"/>
      </w:pPr>
      <w:r>
        <w:t xml:space="preserve">By this definition, think who are we potentially missing and address that point in the limitation. </w:t>
      </w:r>
    </w:p>
  </w:comment>
  <w:comment w:id="10" w:author="Youngji Jo" w:date="2024-08-19T15:18:00Z" w:initials="YJ">
    <w:p w14:paraId="21054B53" w14:textId="6F5E1892" w:rsidR="00AC19CD" w:rsidRDefault="00AC19CD" w:rsidP="00AC19CD">
      <w:pPr>
        <w:pStyle w:val="CommentText"/>
      </w:pPr>
      <w:r>
        <w:rPr>
          <w:rStyle w:val="CommentReference"/>
        </w:rPr>
        <w:annotationRef/>
      </w:r>
      <w:hyperlink r:id="rId12" w:history="1">
        <w:r w:rsidRPr="006C24ED">
          <w:rPr>
            <w:rStyle w:val="Hyperlink"/>
          </w:rPr>
          <w:t>https://www.ncbi.nlm.nih.gov/pmc/articles/PMC10728614/</w:t>
        </w:r>
      </w:hyperlink>
    </w:p>
  </w:comment>
  <w:comment w:id="12" w:author="Youngji Jo" w:date="2024-08-21T16:51:00Z" w:initials="YJ">
    <w:p w14:paraId="42A2D167" w14:textId="77777777" w:rsidR="006D6499" w:rsidRDefault="006D6499" w:rsidP="006D6499">
      <w:pPr>
        <w:pStyle w:val="CommentText"/>
      </w:pPr>
      <w:r>
        <w:rPr>
          <w:rStyle w:val="CommentReference"/>
        </w:rPr>
        <w:annotationRef/>
      </w:r>
      <w:r>
        <w:t>Did we use 3 different statistical models here?  Logistic regression (Appendix Fig) / cox proportional hazard /mixed effect logistic regression..?</w:t>
      </w:r>
    </w:p>
    <w:p w14:paraId="7B4830A2" w14:textId="77777777" w:rsidR="006D6499" w:rsidRDefault="006D6499" w:rsidP="006D6499">
      <w:pPr>
        <w:pStyle w:val="CommentText"/>
      </w:pPr>
    </w:p>
    <w:p w14:paraId="1B7EBD5A" w14:textId="77777777" w:rsidR="006D6499" w:rsidRDefault="006D6499" w:rsidP="006D6499">
      <w:pPr>
        <w:pStyle w:val="CommentText"/>
      </w:pPr>
    </w:p>
    <w:p w14:paraId="6832DAF8" w14:textId="77777777" w:rsidR="006D6499" w:rsidRDefault="006D6499" w:rsidP="006D6499">
      <w:pPr>
        <w:pStyle w:val="CommentText"/>
      </w:pPr>
      <w:r>
        <w:t>Logistic regression - association with individual characteristics within hyb/vac group to event</w:t>
      </w:r>
    </w:p>
    <w:p w14:paraId="02073B8E" w14:textId="77777777" w:rsidR="006D6499" w:rsidRDefault="006D6499" w:rsidP="006D6499">
      <w:pPr>
        <w:pStyle w:val="CommentText"/>
      </w:pPr>
      <w:r>
        <w:t>Cox model - time to event</w:t>
      </w:r>
    </w:p>
    <w:p w14:paraId="6A8479CB" w14:textId="77777777" w:rsidR="006D6499" w:rsidRDefault="006D6499" w:rsidP="006D6499">
      <w:pPr>
        <w:pStyle w:val="CommentText"/>
      </w:pPr>
      <w:r>
        <w:t>Mixed effect - association with S ab to event</w:t>
      </w:r>
    </w:p>
    <w:p w14:paraId="77415E53" w14:textId="77777777" w:rsidR="006D6499" w:rsidRDefault="006D6499" w:rsidP="006D6499">
      <w:pPr>
        <w:pStyle w:val="CommentText"/>
      </w:pPr>
    </w:p>
    <w:p w14:paraId="58ACF3E2" w14:textId="77777777" w:rsidR="006D6499" w:rsidRDefault="006D6499" w:rsidP="006D6499">
      <w:pPr>
        <w:pStyle w:val="CommentText"/>
      </w:pPr>
      <w:r>
        <w:t>So did we use the logistic model to identify the confounding factors and the results/findings are used to build the cox model and mixed effect model?</w:t>
      </w:r>
    </w:p>
  </w:comment>
  <w:comment w:id="13" w:author="Youngji Jo" w:date="2024-08-21T16:52:00Z" w:initials="YJ">
    <w:p w14:paraId="66AD89FF" w14:textId="77777777" w:rsidR="006D6499" w:rsidRDefault="006D6499" w:rsidP="006D6499">
      <w:pPr>
        <w:pStyle w:val="CommentText"/>
      </w:pPr>
      <w:r>
        <w:rPr>
          <w:rStyle w:val="CommentReference"/>
        </w:rPr>
        <w:annotationRef/>
      </w:r>
      <w:r>
        <w:t>We may better clarify why and what the 3 different methods we used in this paragraph.</w:t>
      </w:r>
    </w:p>
  </w:comment>
  <w:comment w:id="15" w:author="Jo,Youngji" w:date="2024-09-10T15:21:00Z" w:initials="YJ">
    <w:p w14:paraId="39DC6B08" w14:textId="77777777" w:rsidR="00B3651A" w:rsidRDefault="00B3651A" w:rsidP="00B3651A">
      <w:pPr>
        <w:pStyle w:val="CommentText"/>
      </w:pPr>
      <w:r>
        <w:rPr>
          <w:rStyle w:val="CommentReference"/>
        </w:rPr>
        <w:annotationRef/>
      </w:r>
      <w:r>
        <w:t xml:space="preserve">Please confirm---Is this definition applied all same across the following analyses? </w:t>
      </w:r>
    </w:p>
  </w:comment>
  <w:comment w:id="17" w:author="Youngji Jo" w:date="2024-08-21T15:01:00Z" w:initials="YJ">
    <w:p w14:paraId="68471DB7" w14:textId="0D49D24F" w:rsidR="00E95EF0" w:rsidRDefault="00E95EF0" w:rsidP="00E95EF0">
      <w:pPr>
        <w:pStyle w:val="CommentText"/>
      </w:pPr>
      <w:r>
        <w:rPr>
          <w:rStyle w:val="CommentReference"/>
        </w:rPr>
        <w:annotationRef/>
      </w:r>
      <w:r>
        <w:t>Specify which confounding variables did you adjusted for NCC</w:t>
      </w:r>
    </w:p>
  </w:comment>
  <w:comment w:id="16" w:author="Youngji Jo" w:date="2024-08-19T10:29:00Z" w:initials="YJ">
    <w:p w14:paraId="0B4BE2BB" w14:textId="77777777" w:rsidR="00E95EF0" w:rsidRDefault="00E95EF0" w:rsidP="00E95EF0">
      <w:pPr>
        <w:pStyle w:val="CommentText"/>
      </w:pPr>
      <w:r>
        <w:rPr>
          <w:rStyle w:val="CommentReference"/>
        </w:rPr>
        <w:annotationRef/>
      </w:r>
      <w:r>
        <w:t>The NCC was done before the KM survival analyses?</w:t>
      </w:r>
    </w:p>
  </w:comment>
  <w:comment w:id="18" w:author="Youngji Jo" w:date="2024-08-21T15:02:00Z" w:initials="YJ">
    <w:p w14:paraId="29C5AA52" w14:textId="77777777" w:rsidR="00452713" w:rsidRDefault="00452713" w:rsidP="00452713">
      <w:pPr>
        <w:pStyle w:val="CommentText"/>
      </w:pPr>
      <w:r>
        <w:rPr>
          <w:rStyle w:val="CommentReference"/>
        </w:rPr>
        <w:annotationRef/>
      </w:r>
      <w:r>
        <w:t>Again, specify which confouders did you adjust for Cox regression. We may also need to define the statistical formula/equation in the appendix?</w:t>
      </w:r>
    </w:p>
  </w:comment>
  <w:comment w:id="20" w:author="Jo,Youngji" w:date="2024-09-11T14:44:00Z" w:initials="YJ">
    <w:p w14:paraId="6C00063C" w14:textId="77777777" w:rsidR="00171EB7" w:rsidRDefault="00171EB7" w:rsidP="00171EB7">
      <w:pPr>
        <w:pStyle w:val="CommentText"/>
      </w:pPr>
      <w:r>
        <w:rPr>
          <w:rStyle w:val="CommentReference"/>
        </w:rPr>
        <w:annotationRef/>
      </w:r>
      <w:r>
        <w:t>Can you change the Y axis title into more informatively like “probability of protective effectiveness against infection” - instead of “overall survival probability”</w:t>
      </w:r>
    </w:p>
  </w:comment>
  <w:comment w:id="22" w:author="Jo,Youngji" w:date="2024-09-10T12:30:00Z" w:initials="YJ">
    <w:p w14:paraId="03223C18" w14:textId="34EAF05E" w:rsidR="001D07B1" w:rsidRDefault="001D07B1" w:rsidP="001D07B1">
      <w:pPr>
        <w:pStyle w:val="CommentText"/>
      </w:pPr>
      <w:r>
        <w:rPr>
          <w:rStyle w:val="CommentReference"/>
        </w:rPr>
        <w:annotationRef/>
      </w:r>
      <w:r>
        <w:t>Do we also need to adjust “time since immunological event” in this model?</w:t>
      </w:r>
    </w:p>
  </w:comment>
  <w:comment w:id="23" w:author="Jo,Youngji" w:date="2024-09-10T12:31:00Z" w:initials="YJ">
    <w:p w14:paraId="0D529A15" w14:textId="77777777" w:rsidR="001D07B1" w:rsidRDefault="001D07B1" w:rsidP="001D07B1">
      <w:pPr>
        <w:pStyle w:val="CommentText"/>
      </w:pPr>
      <w:r>
        <w:rPr>
          <w:rStyle w:val="CommentReference"/>
        </w:rPr>
        <w:annotationRef/>
      </w:r>
      <w:r>
        <w:t>Or Cox hazard is already adjusting this aspect?</w:t>
      </w:r>
    </w:p>
  </w:comment>
  <w:comment w:id="24" w:author="Youngji Jo" w:date="2024-08-23T09:41:00Z" w:initials="YJ">
    <w:p w14:paraId="157E0233" w14:textId="3C0C5F62" w:rsidR="001F5E3E" w:rsidRDefault="001F5E3E" w:rsidP="001F5E3E">
      <w:pPr>
        <w:pStyle w:val="CommentText"/>
      </w:pPr>
      <w:r>
        <w:rPr>
          <w:rStyle w:val="CommentReference"/>
        </w:rPr>
        <w:annotationRef/>
      </w:r>
      <w:r>
        <w:t>Change “S ab from !st survey” to “S antibody from the 1</w:t>
      </w:r>
      <w:r>
        <w:rPr>
          <w:vertAlign w:val="superscript"/>
        </w:rPr>
        <w:t>st</w:t>
      </w:r>
      <w:r>
        <w:t xml:space="preserve"> surveillance” in the X asis</w:t>
      </w:r>
    </w:p>
  </w:comment>
  <w:comment w:id="25" w:author="Youngji Jo" w:date="2024-08-23T16:34:00Z" w:initials="YJ">
    <w:p w14:paraId="6589A96A" w14:textId="77777777" w:rsidR="00110837" w:rsidRDefault="00110837" w:rsidP="00110837">
      <w:pPr>
        <w:pStyle w:val="CommentText"/>
      </w:pPr>
      <w:r>
        <w:rPr>
          <w:rStyle w:val="CommentReference"/>
        </w:rPr>
        <w:annotationRef/>
      </w:r>
      <w:r>
        <w:t>Define “infection index” more specifically: Is this probability of remaining infection free?</w:t>
      </w:r>
    </w:p>
  </w:comment>
  <w:comment w:id="27" w:author="Youngji Jo" w:date="2024-08-19T15:22:00Z" w:initials="YJ">
    <w:p w14:paraId="3C175F5C" w14:textId="427072B8" w:rsidR="00107EC3" w:rsidRDefault="00107EC3" w:rsidP="00107EC3">
      <w:pPr>
        <w:pStyle w:val="CommentText"/>
      </w:pPr>
      <w:r>
        <w:rPr>
          <w:rStyle w:val="CommentReference"/>
        </w:rPr>
        <w:annotationRef/>
      </w:r>
      <w:hyperlink r:id="rId13" w:history="1">
        <w:r w:rsidRPr="00D2117F">
          <w:rPr>
            <w:rStyle w:val="Hyperlink"/>
          </w:rPr>
          <w:t>https://www.e-epih.org/journal/view.php?number=1276</w:t>
        </w:r>
      </w:hyperlink>
    </w:p>
  </w:comment>
  <w:comment w:id="28" w:author="Jo,Youngji" w:date="2024-09-10T12:55:00Z" w:initials="YJ">
    <w:p w14:paraId="79A98734" w14:textId="77777777" w:rsidR="001A5699" w:rsidRDefault="001A5699" w:rsidP="001A5699">
      <w:pPr>
        <w:pStyle w:val="CommentText"/>
      </w:pPr>
      <w:r>
        <w:rPr>
          <w:rStyle w:val="CommentReference"/>
        </w:rPr>
        <w:annotationRef/>
      </w:r>
      <w:hyperlink r:id="rId14" w:history="1">
        <w:r w:rsidRPr="00002E67">
          <w:rPr>
            <w:rStyle w:val="Hyperlink"/>
          </w:rPr>
          <w:t>https://www.thelancet.com/journals/lanmic/article/PIIS2666-5247(23)00103-9/fulltext</w:t>
        </w:r>
      </w:hyperlink>
    </w:p>
  </w:comment>
  <w:comment w:id="29" w:author="Jo,Youngji" w:date="2024-09-11T13:15:00Z" w:initials="YJ">
    <w:p w14:paraId="196E8323" w14:textId="77777777" w:rsidR="00BB49FF" w:rsidRDefault="00BB49FF" w:rsidP="00BB49FF">
      <w:pPr>
        <w:pStyle w:val="CommentText"/>
      </w:pPr>
      <w:r>
        <w:rPr>
          <w:rStyle w:val="CommentReference"/>
        </w:rPr>
        <w:annotationRef/>
      </w:r>
      <w:hyperlink r:id="rId15" w:history="1">
        <w:r w:rsidRPr="00767A2C">
          <w:rPr>
            <w:rStyle w:val="Hyperlink"/>
          </w:rPr>
          <w:t>https://www.thelancet.com/journals/lanmic/article/PIIS2666-5247(23)00103-9/fulltext</w:t>
        </w:r>
      </w:hyperlink>
    </w:p>
  </w:comment>
  <w:comment w:id="30" w:author="Youngji Jo" w:date="2024-08-23T11:54:00Z" w:initials="YJ">
    <w:p w14:paraId="4FE12F44" w14:textId="77777777" w:rsidR="002C3E27" w:rsidRDefault="002C3E27" w:rsidP="002C3E27">
      <w:pPr>
        <w:pStyle w:val="CommentText"/>
      </w:pPr>
      <w:r>
        <w:rPr>
          <w:rStyle w:val="CommentReference"/>
        </w:rPr>
        <w:annotationRef/>
      </w:r>
      <w:hyperlink r:id="rId16" w:history="1">
        <w:r w:rsidRPr="000B7341">
          <w:rPr>
            <w:rStyle w:val="Hyperlink"/>
          </w:rPr>
          <w:t>https://www.frontiersin.org/journals/public-health/articles/10.3389/fpubh.2023.1146059/full</w:t>
        </w:r>
      </w:hyperlink>
    </w:p>
  </w:comment>
  <w:comment w:id="31" w:author="Jo,Youngji" w:date="2024-09-09T16:43:00Z" w:initials="YJ">
    <w:p w14:paraId="7AD2B1AB" w14:textId="77777777" w:rsidR="000D623E" w:rsidRDefault="000D623E" w:rsidP="000D623E">
      <w:pPr>
        <w:pStyle w:val="CommentText"/>
        <w:ind w:left="100"/>
      </w:pPr>
      <w:r>
        <w:rPr>
          <w:rStyle w:val="CommentReference"/>
        </w:rPr>
        <w:annotationRef/>
      </w:r>
      <w:r>
        <w:rPr>
          <w:color w:val="FF0000"/>
          <w:highlight w:val="white"/>
        </w:rPr>
        <w:t xml:space="preserve">Hybrid group—by vaccine type, timing, infection sequence, </w:t>
      </w:r>
    </w:p>
    <w:p w14:paraId="7FF6D93D" w14:textId="77777777" w:rsidR="000D623E" w:rsidRDefault="000D623E" w:rsidP="000D623E">
      <w:pPr>
        <w:pStyle w:val="CommentText"/>
        <w:ind w:left="100"/>
      </w:pPr>
    </w:p>
    <w:p w14:paraId="3BF8FD8F" w14:textId="77777777" w:rsidR="000D623E" w:rsidRDefault="000D623E" w:rsidP="000D623E">
      <w:pPr>
        <w:pStyle w:val="CommentText"/>
        <w:ind w:left="100"/>
      </w:pPr>
      <w:r>
        <w:rPr>
          <w:color w:val="FF0000"/>
          <w:highlight w:val="white"/>
        </w:rPr>
        <w:t xml:space="preserve">The study time period is after omicron wave so the event numbers are small. </w:t>
      </w:r>
    </w:p>
    <w:p w14:paraId="5A242F4A" w14:textId="77777777" w:rsidR="000D623E" w:rsidRDefault="000D623E" w:rsidP="000D623E">
      <w:pPr>
        <w:pStyle w:val="CommentText"/>
        <w:ind w:left="100"/>
      </w:pPr>
    </w:p>
    <w:p w14:paraId="393709A4" w14:textId="77777777" w:rsidR="000D623E" w:rsidRDefault="000D623E" w:rsidP="000D623E">
      <w:pPr>
        <w:pStyle w:val="CommentText"/>
        <w:ind w:left="100"/>
      </w:pPr>
      <w:r>
        <w:rPr>
          <w:color w:val="FF0000"/>
          <w:highlight w:val="white"/>
        </w:rPr>
        <w:t xml:space="preserve">Our result also shows that with high young age infection, hybrid group become more younger distribution than vaccine group. </w:t>
      </w:r>
    </w:p>
    <w:p w14:paraId="0F79B7AA" w14:textId="77777777" w:rsidR="000D623E" w:rsidRDefault="000D623E" w:rsidP="000D623E">
      <w:pPr>
        <w:pStyle w:val="CommentText"/>
        <w:ind w:left="100"/>
      </w:pPr>
    </w:p>
    <w:p w14:paraId="4B87BB7D" w14:textId="77777777" w:rsidR="000D623E" w:rsidRDefault="000D623E" w:rsidP="000D623E">
      <w:pPr>
        <w:pStyle w:val="CommentText"/>
      </w:pPr>
      <w:r>
        <w:rPr>
          <w:color w:val="505050"/>
          <w:highlight w:val="white"/>
        </w:rPr>
        <w:t>Fourth, because no deaths and few hospitalisations due to COVID-19 were reported during the study period, we could not evaluate hybrid immunity against severe disease. </w:t>
      </w:r>
    </w:p>
    <w:p w14:paraId="3130963C" w14:textId="77777777" w:rsidR="000D623E" w:rsidRDefault="000D623E" w:rsidP="000D623E">
      <w:pPr>
        <w:pStyle w:val="CommentText"/>
      </w:pPr>
    </w:p>
    <w:p w14:paraId="2E19B996" w14:textId="77777777" w:rsidR="000D623E" w:rsidRDefault="000D623E" w:rsidP="000D623E">
      <w:pPr>
        <w:pStyle w:val="CommentText"/>
      </w:pPr>
      <w:r>
        <w:rPr>
          <w:color w:val="505050"/>
          <w:highlight w:val="white"/>
        </w:rPr>
        <w:t xml:space="preserve">Increasing heterogeneity within the hybrid and vaccine groups. – in terms of vaccine types, does, infection sequence etc. </w:t>
      </w:r>
    </w:p>
  </w:comment>
  <w:comment w:id="32" w:author="Jo,Youngji" w:date="2024-09-09T16:51:00Z" w:initials="YJ">
    <w:p w14:paraId="5F2CFDBB" w14:textId="77777777" w:rsidR="00E32CBF" w:rsidRDefault="00E32CBF" w:rsidP="00E32CBF">
      <w:pPr>
        <w:pStyle w:val="CommentText"/>
      </w:pPr>
      <w:r>
        <w:rPr>
          <w:rStyle w:val="CommentReference"/>
        </w:rPr>
        <w:annotationRef/>
      </w:r>
    </w:p>
    <w:p w14:paraId="5C0EE312" w14:textId="77777777" w:rsidR="00E32CBF" w:rsidRDefault="00E32CBF" w:rsidP="00E32CBF">
      <w:pPr>
        <w:pStyle w:val="CommentText"/>
      </w:pPr>
      <w:r>
        <w:rPr>
          <w:color w:val="222222"/>
          <w:highlight w:val="white"/>
        </w:rPr>
        <w:t> First, infections not directly adjacent to a retrospective antibody measurement to determine the infection, may be missed, e.g. due to antibody waning as described for N</w:t>
      </w:r>
      <w:hyperlink r:id="rId17" w:anchor="ref-CR11" w:history="1">
        <w:r w:rsidRPr="009F6F9D">
          <w:rPr>
            <w:rStyle w:val="Hyperlink"/>
          </w:rPr>
          <w:t>11</w:t>
        </w:r>
      </w:hyperlink>
      <w:r>
        <w:rPr>
          <w:color w:val="222222"/>
          <w:highlight w:val="white"/>
        </w:rPr>
        <w:t xml:space="preserve">. Therefore, this leaves the possibility for an earlier infection to have occurred unnoticed [21]. – vaccinated group may be those who got infection long time ago. </w:t>
      </w:r>
    </w:p>
    <w:p w14:paraId="422A1835" w14:textId="77777777" w:rsidR="00E32CBF" w:rsidRDefault="00E32CBF" w:rsidP="00E32CBF">
      <w:pPr>
        <w:pStyle w:val="CommentText"/>
      </w:pPr>
    </w:p>
    <w:p w14:paraId="63EF8DF5" w14:textId="77777777" w:rsidR="00E32CBF" w:rsidRDefault="00E32CBF" w:rsidP="00E32CBF">
      <w:pPr>
        <w:pStyle w:val="CommentText"/>
      </w:pPr>
    </w:p>
    <w:p w14:paraId="7825CEA3" w14:textId="77777777" w:rsidR="00E32CBF" w:rsidRDefault="00E32CBF" w:rsidP="00E32CBF">
      <w:pPr>
        <w:pStyle w:val="CommentText"/>
      </w:pPr>
      <w:r>
        <w:rPr>
          <w:color w:val="222222"/>
          <w:highlight w:val="white"/>
        </w:rPr>
        <w:t xml:space="preserve">Secondly,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vaccination.—calendar time with variant and vaccination. Event after omicron – most recent infection provide high immunity to subsequent omicron variants. small events for hybrid. </w:t>
      </w:r>
    </w:p>
    <w:p w14:paraId="5D752CDD" w14:textId="77777777" w:rsidR="00E32CBF" w:rsidRDefault="00E32CBF" w:rsidP="00E32CBF">
      <w:pPr>
        <w:pStyle w:val="CommentText"/>
      </w:pPr>
    </w:p>
    <w:p w14:paraId="7346F89E" w14:textId="77777777" w:rsidR="00E32CBF" w:rsidRDefault="00E32CBF" w:rsidP="00E32CBF">
      <w:pPr>
        <w:pStyle w:val="CommentText"/>
      </w:pPr>
    </w:p>
    <w:p w14:paraId="04BCB98B" w14:textId="77777777" w:rsidR="00E32CBF" w:rsidRDefault="00E32CBF" w:rsidP="00E32CBF">
      <w:pPr>
        <w:pStyle w:val="CommentText"/>
      </w:pPr>
    </w:p>
    <w:p w14:paraId="5726AB96" w14:textId="77777777" w:rsidR="00E32CBF" w:rsidRDefault="00E32CBF" w:rsidP="00E32CBF">
      <w:pPr>
        <w:pStyle w:val="CommentText"/>
      </w:pPr>
    </w:p>
    <w:p w14:paraId="01918C23" w14:textId="77777777" w:rsidR="00E32CBF" w:rsidRDefault="00E32CBF" w:rsidP="00E32CBF">
      <w:pPr>
        <w:pStyle w:val="CommentText"/>
      </w:pPr>
      <w:r>
        <w:rPr>
          <w:color w:val="282828"/>
          <w:highlight w:val="white"/>
        </w:rPr>
        <w:t>As evidence supporting the protective role of hybrid immunity over either natural or vaccine-acquired immunity alone continues to arise (</w:t>
      </w:r>
      <w:hyperlink r:id="rId18" w:anchor="ref18" w:history="1">
        <w:r w:rsidRPr="009F6F9D">
          <w:rPr>
            <w:rStyle w:val="Hyperlink"/>
            <w:highlight w:val="white"/>
          </w:rPr>
          <w:t>18</w:t>
        </w:r>
      </w:hyperlink>
      <w:r>
        <w:rPr>
          <w:color w:val="282828"/>
          <w:highlight w:val="white"/>
        </w:rPr>
        <w:t>–</w:t>
      </w:r>
      <w:hyperlink r:id="rId19" w:anchor="ref21" w:history="1">
        <w:r w:rsidRPr="009F6F9D">
          <w:rPr>
            <w:rStyle w:val="Hyperlink"/>
            <w:highlight w:val="white"/>
          </w:rPr>
          <w:t>21</w:t>
        </w:r>
      </w:hyperlink>
      <w:r>
        <w:rPr>
          <w:color w:val="282828"/>
          <w:highlight w:val="white"/>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20" w:anchor="ref22" w:history="1">
        <w:r w:rsidRPr="009F6F9D">
          <w:rPr>
            <w:rStyle w:val="Hyperlink"/>
            <w:highlight w:val="white"/>
          </w:rPr>
          <w:t>22</w:t>
        </w:r>
      </w:hyperlink>
      <w:r>
        <w:rPr>
          <w:color w:val="282828"/>
          <w:highlight w:val="white"/>
        </w:rPr>
        <w:t>–</w:t>
      </w:r>
      <w:hyperlink r:id="rId21" w:anchor="ref28" w:history="1">
        <w:r w:rsidRPr="009F6F9D">
          <w:rPr>
            <w:rStyle w:val="Hyperlink"/>
            <w:highlight w:val="white"/>
          </w:rPr>
          <w:t>28</w:t>
        </w:r>
      </w:hyperlink>
      <w:r>
        <w:rPr>
          <w:color w:val="282828"/>
          <w:highlight w:val="white"/>
        </w:rPr>
        <w:t>). </w:t>
      </w:r>
    </w:p>
    <w:p w14:paraId="47B9CABE" w14:textId="77777777" w:rsidR="00E32CBF" w:rsidRDefault="00E32CBF" w:rsidP="00E32CBF">
      <w:pPr>
        <w:pStyle w:val="CommentText"/>
      </w:pPr>
    </w:p>
    <w:p w14:paraId="2C226A9D" w14:textId="77777777" w:rsidR="00E32CBF" w:rsidRDefault="00E32CBF" w:rsidP="00E32CBF">
      <w:pPr>
        <w:pStyle w:val="CommentText"/>
      </w:pPr>
      <w:r>
        <w:rPr>
          <w:color w:val="282828"/>
          <w:highlight w:val="white"/>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22" w:anchor="ref10" w:history="1">
        <w:r w:rsidRPr="009F6F9D">
          <w:rPr>
            <w:rStyle w:val="Hyperlink"/>
            <w:highlight w:val="white"/>
          </w:rPr>
          <w:t>10</w:t>
        </w:r>
      </w:hyperlink>
      <w:r>
        <w:rPr>
          <w:color w:val="282828"/>
          <w:highlight w:val="white"/>
        </w:rPr>
        <w:t>, </w:t>
      </w:r>
      <w:hyperlink r:id="rId23" w:anchor="ref29" w:history="1">
        <w:r w:rsidRPr="009F6F9D">
          <w:rPr>
            <w:rStyle w:val="Hyperlink"/>
            <w:highlight w:val="white"/>
          </w:rPr>
          <w:t>29</w:t>
        </w:r>
      </w:hyperlink>
      <w:r>
        <w:rPr>
          <w:color w:val="282828"/>
          <w:highlight w:val="white"/>
        </w:rPr>
        <w:t>, </w:t>
      </w:r>
      <w:hyperlink r:id="rId24" w:anchor="ref30" w:history="1">
        <w:r w:rsidRPr="009F6F9D">
          <w:rPr>
            <w:rStyle w:val="Hyperlink"/>
            <w:highlight w:val="white"/>
          </w:rPr>
          <w:t>30</w:t>
        </w:r>
      </w:hyperlink>
      <w:r>
        <w:rPr>
          <w:color w:val="282828"/>
          <w:highlight w:val="white"/>
        </w:rPr>
        <w:t>), studies have started to include the order in which immunity-generating events (vaccination and infection) occur as an additional factor to be considered in order to understand hybrid immunity better (</w:t>
      </w:r>
      <w:hyperlink r:id="rId25" w:anchor="ref31" w:history="1">
        <w:r w:rsidRPr="009F6F9D">
          <w:rPr>
            <w:rStyle w:val="Hyperlink"/>
            <w:highlight w:val="white"/>
          </w:rPr>
          <w:t>31</w:t>
        </w:r>
      </w:hyperlink>
      <w:r>
        <w:rPr>
          <w:color w:val="282828"/>
          <w:highlight w:val="white"/>
        </w:rPr>
        <w:t>–</w:t>
      </w:r>
      <w:hyperlink r:id="rId26" w:anchor="ref33" w:history="1">
        <w:r w:rsidRPr="009F6F9D">
          <w:rPr>
            <w:rStyle w:val="Hyperlink"/>
            <w:highlight w:val="white"/>
          </w:rPr>
          <w:t>33</w:t>
        </w:r>
      </w:hyperlink>
      <w:r>
        <w:rPr>
          <w:color w:val="282828"/>
          <w:highlight w:val="white"/>
        </w:rPr>
        <w:t>). Even though real-world evidence of hybrid-immunity protection continues to emerge, studies integrating the order of immunity-generating events are still scarce.</w:t>
      </w:r>
    </w:p>
  </w:comment>
  <w:comment w:id="33" w:author="Youngji Jo" w:date="2024-08-23T16:56:00Z" w:initials="YJ">
    <w:p w14:paraId="63A6DAAB" w14:textId="77777777" w:rsidR="00AB1483" w:rsidRDefault="00AB1483" w:rsidP="00AB1483">
      <w:pPr>
        <w:pStyle w:val="CommentText"/>
      </w:pPr>
      <w:r>
        <w:rPr>
          <w:rStyle w:val="CommentReference"/>
        </w:rPr>
        <w:annotationRef/>
      </w:r>
      <w:hyperlink r:id="rId27" w:history="1">
        <w:r w:rsidRPr="00726D5A">
          <w:rPr>
            <w:rStyle w:val="Hyperlink"/>
          </w:rPr>
          <w:t>https://www.nature.com/articles/s41577-021-00662-4</w:t>
        </w:r>
      </w:hyperlink>
    </w:p>
  </w:comment>
  <w:comment w:id="34" w:author="Youngji Jo" w:date="2024-08-23T16:34:00Z" w:initials="YJ">
    <w:p w14:paraId="29964527" w14:textId="77777777" w:rsidR="006644B1" w:rsidRDefault="006644B1" w:rsidP="006644B1">
      <w:pPr>
        <w:pStyle w:val="CommentText"/>
      </w:pPr>
      <w:r>
        <w:rPr>
          <w:rStyle w:val="CommentReference"/>
        </w:rPr>
        <w:annotationRef/>
      </w:r>
      <w:hyperlink r:id="rId28" w:history="1">
        <w:r w:rsidRPr="00CA360C">
          <w:rPr>
            <w:rStyle w:val="Hyperlink"/>
          </w:rPr>
          <w:t>https://www.nature.com/articles/s41577-021-00662-4</w:t>
        </w:r>
      </w:hyperlink>
    </w:p>
  </w:comment>
  <w:comment w:id="35" w:author="Youngji Jo" w:date="2024-08-20T13:40:00Z" w:initials="YJ">
    <w:p w14:paraId="2CB96947" w14:textId="76076996" w:rsidR="0036748A" w:rsidRDefault="0036748A" w:rsidP="0036748A">
      <w:pPr>
        <w:pStyle w:val="CommentText"/>
      </w:pPr>
      <w:r>
        <w:rPr>
          <w:rStyle w:val="CommentReference"/>
        </w:rPr>
        <w:annotationRef/>
      </w:r>
      <w:r>
        <w:t>Add the X axix units</w:t>
      </w:r>
    </w:p>
  </w:comment>
  <w:comment w:id="36"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37"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38"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 w:id="39" w:author="Jo,Youngji" w:date="2024-09-10T12:31:00Z" w:initials="YJ">
    <w:p w14:paraId="593813FA" w14:textId="77777777" w:rsidR="001D07B1" w:rsidRDefault="001D07B1" w:rsidP="001D07B1">
      <w:pPr>
        <w:pStyle w:val="CommentText"/>
      </w:pPr>
      <w:r>
        <w:rPr>
          <w:rStyle w:val="CommentReference"/>
        </w:rPr>
        <w:annotationRef/>
      </w:r>
      <w:r>
        <w:t>Do we also need to adjust “time since last immunological event”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943133" w15:done="0"/>
  <w15:commentEx w15:paraId="47AE06BD" w15:done="0"/>
  <w15:commentEx w15:paraId="10C31092" w15:done="0"/>
  <w15:commentEx w15:paraId="0577DB21" w15:done="0"/>
  <w15:commentEx w15:paraId="0D593280" w15:done="0"/>
  <w15:commentEx w15:paraId="7DEC4FAB" w15:done="0"/>
  <w15:commentEx w15:paraId="02BEB91A" w15:done="0"/>
  <w15:commentEx w15:paraId="6458171E" w15:paraIdParent="02BEB91A" w15:done="0"/>
  <w15:commentEx w15:paraId="14E85FD4" w15:paraIdParent="02BEB91A" w15:done="0"/>
  <w15:commentEx w15:paraId="21054B53" w15:done="0"/>
  <w15:commentEx w15:paraId="58ACF3E2" w15:done="0"/>
  <w15:commentEx w15:paraId="66AD89FF" w15:paraIdParent="58ACF3E2" w15:done="0"/>
  <w15:commentEx w15:paraId="39DC6B08" w15:done="0"/>
  <w15:commentEx w15:paraId="68471DB7" w15:done="1"/>
  <w15:commentEx w15:paraId="0B4BE2BB" w15:done="0"/>
  <w15:commentEx w15:paraId="29C5AA52" w15:done="0"/>
  <w15:commentEx w15:paraId="6C00063C" w15:done="0"/>
  <w15:commentEx w15:paraId="03223C18" w15:done="0"/>
  <w15:commentEx w15:paraId="0D529A15" w15:paraIdParent="03223C18" w15:done="0"/>
  <w15:commentEx w15:paraId="157E0233" w15:done="0"/>
  <w15:commentEx w15:paraId="6589A96A" w15:paraIdParent="157E0233" w15:done="0"/>
  <w15:commentEx w15:paraId="3C175F5C" w15:done="0"/>
  <w15:commentEx w15:paraId="79A98734" w15:done="0"/>
  <w15:commentEx w15:paraId="196E8323" w15:paraIdParent="79A98734" w15:done="0"/>
  <w15:commentEx w15:paraId="4FE12F44" w15:done="0"/>
  <w15:commentEx w15:paraId="2E19B996" w15:done="0"/>
  <w15:commentEx w15:paraId="2C226A9D" w15:paraIdParent="2E19B996" w15:done="0"/>
  <w15:commentEx w15:paraId="63A6DAAB" w15:done="0"/>
  <w15:commentEx w15:paraId="29964527" w15:done="0"/>
  <w15:commentEx w15:paraId="2CB96947" w15:done="0"/>
  <w15:commentEx w15:paraId="7DDA2BE1" w15:paraIdParent="2CB96947" w15:done="0"/>
  <w15:commentEx w15:paraId="22BCA00D" w15:done="0"/>
  <w15:commentEx w15:paraId="0D8E9356" w15:paraIdParent="22BCA00D" w15:done="0"/>
  <w15:commentEx w15:paraId="59381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45E815" w16cex:dateUtc="2024-08-19T18:03:00Z">
    <w16cex:extLst>
      <w16:ext w16:uri="{CE6994B0-6A32-4C9F-8C6B-6E91EDA988CE}">
        <cr:reactions xmlns:cr="http://schemas.microsoft.com/office/comments/2020/reactions">
          <cr:reaction reactionType="1">
            <cr:reactionInfo dateUtc="2024-09-04T10:20:15Z">
              <cr:user userId="S::zfranky6@uconn.edu::6ce4719b-7f4a-4549-8832-a74568dd27a3" userProvider="AD" userName="Zhang, Franky"/>
            </cr:reactionInfo>
          </cr:reaction>
        </cr:reactions>
      </w16:ext>
    </w16cex:extLst>
  </w16cex:commentExtensible>
  <w16cex:commentExtensible w16cex:durableId="296CB5E8" w16cex:dateUtc="2024-08-21T18:31:00Z">
    <w16cex:extLst>
      <w16:ext w16:uri="{CE6994B0-6A32-4C9F-8C6B-6E91EDA988CE}">
        <cr:reactions xmlns:cr="http://schemas.microsoft.com/office/comments/2020/reactions">
          <cr:reaction reactionType="1">
            <cr:reactionInfo dateUtc="2024-09-04T10:22:53Z">
              <cr:user userId="S::zfranky6@uconn.edu::6ce4719b-7f4a-4549-8832-a74568dd27a3" userProvider="AD" userName="Zhang, Franky"/>
            </cr:reactionInfo>
          </cr:reaction>
        </cr:reactions>
      </w16:ext>
    </w16cex:extLst>
  </w16cex:commentExtensible>
  <w16cex:commentExtensible w16cex:durableId="54FB8C30" w16cex:dateUtc="2024-08-19T15:42:00Z">
    <w16cex:extLst>
      <w16:ext w16:uri="{CE6994B0-6A32-4C9F-8C6B-6E91EDA988CE}">
        <cr:reactions xmlns:cr="http://schemas.microsoft.com/office/comments/2020/reactions">
          <cr:reaction reactionType="1">
            <cr:reactionInfo dateUtc="2024-09-04T10:23:43Z">
              <cr:user userId="S::zfranky6@uconn.edu::6ce4719b-7f4a-4549-8832-a74568dd27a3" userProvider="AD" userName="Zhang, Franky"/>
            </cr:reactionInfo>
          </cr:reaction>
        </cr:reactions>
      </w16:ext>
    </w16cex:extLst>
  </w16cex:commentExtensible>
  <w16cex:commentExtensible w16cex:durableId="162CB634" w16cex:dateUtc="2024-08-19T18:39:00Z">
    <w16cex:extLst>
      <w16:ext w16:uri="{CE6994B0-6A32-4C9F-8C6B-6E91EDA988CE}">
        <cr:reactions xmlns:cr="http://schemas.microsoft.com/office/comments/2020/reactions">
          <cr:reaction reactionType="1">
            <cr:reactionInfo dateUtc="2024-09-04T10:24:46Z">
              <cr:user userId="S::zfranky6@uconn.edu::6ce4719b-7f4a-4549-8832-a74568dd27a3" userProvider="AD" userName="Zhang, Franky"/>
            </cr:reactionInfo>
          </cr:reaction>
        </cr:reactions>
      </w16:ext>
    </w16cex:extLst>
  </w16cex:commentExtensible>
  <w16cex:commentExtensible w16cex:durableId="2D57D4C5" w16cex:dateUtc="2024-08-22T17:54:00Z"/>
  <w16cex:commentExtensible w16cex:durableId="2EA63D2F" w16cex:dateUtc="2024-08-23T14:10:00Z">
    <w16cex:extLst>
      <w16:ext w16:uri="{CE6994B0-6A32-4C9F-8C6B-6E91EDA988CE}">
        <cr:reactions xmlns:cr="http://schemas.microsoft.com/office/comments/2020/reactions">
          <cr:reaction reactionType="1">
            <cr:reactionInfo dateUtc="2024-09-18T12:09:19Z">
              <cr:user userId="S::zfranky6@uconn.edu::6ce4719b-7f4a-4549-8832-a74568dd27a3" userProvider="AD" userName="Zhang, Franky"/>
            </cr:reactionInfo>
          </cr:reaction>
        </cr:reactions>
      </w16:ext>
    </w16cex:extLst>
  </w16cex:commentExtensible>
  <w16cex:commentExtensible w16cex:durableId="428A0FF4" w16cex:dateUtc="2024-08-23T14:18:00Z"/>
  <w16cex:commentExtensible w16cex:durableId="07BE196A" w16cex:dateUtc="2024-08-23T14:19:00Z"/>
  <w16cex:commentExtensible w16cex:durableId="53FCE679" w16cex:dateUtc="2024-08-23T14:21:00Z"/>
  <w16cex:commentExtensible w16cex:durableId="0F5E5A65" w16cex:dateUtc="2024-08-19T19:18:00Z"/>
  <w16cex:commentExtensible w16cex:durableId="47553233" w16cex:dateUtc="2024-08-21T20:51:00Z"/>
  <w16cex:commentExtensible w16cex:durableId="548ED081" w16cex:dateUtc="2024-08-21T20:52:00Z"/>
  <w16cex:commentExtensible w16cex:durableId="56F972E6" w16cex:dateUtc="2024-09-10T19:21:00Z"/>
  <w16cex:commentExtensible w16cex:durableId="6B3F04A7" w16cex:dateUtc="2024-08-21T19:01:00Z"/>
  <w16cex:commentExtensible w16cex:durableId="3A6659A8" w16cex:dateUtc="2024-08-19T14:29:00Z"/>
  <w16cex:commentExtensible w16cex:durableId="1ED475A5" w16cex:dateUtc="2024-08-21T19:02:00Z"/>
  <w16cex:commentExtensible w16cex:durableId="459AE21A" w16cex:dateUtc="2024-09-11T18:44:00Z"/>
  <w16cex:commentExtensible w16cex:durableId="7CEA79CB" w16cex:dateUtc="2024-09-10T16:30:00Z"/>
  <w16cex:commentExtensible w16cex:durableId="293F2C64" w16cex:dateUtc="2024-09-10T16:31:00Z"/>
  <w16cex:commentExtensible w16cex:durableId="734B026C" w16cex:dateUtc="2024-08-23T13:41:00Z"/>
  <w16cex:commentExtensible w16cex:durableId="610CDA39" w16cex:dateUtc="2024-08-23T20:34:00Z"/>
  <w16cex:commentExtensible w16cex:durableId="2B010ECC" w16cex:dateUtc="2024-08-19T19:22:00Z">
    <w16cex:extLst>
      <w16:ext w16:uri="{CE6994B0-6A32-4C9F-8C6B-6E91EDA988CE}">
        <cr:reactions xmlns:cr="http://schemas.microsoft.com/office/comments/2020/reactions">
          <cr:reaction reactionType="1">
            <cr:reactionInfo dateUtc="2024-09-18T12:28:19Z">
              <cr:user userId="S::zfranky6@uconn.edu::6ce4719b-7f4a-4549-8832-a74568dd27a3" userProvider="AD" userName="Zhang, Franky"/>
            </cr:reactionInfo>
          </cr:reaction>
        </cr:reactions>
      </w16:ext>
    </w16cex:extLst>
  </w16cex:commentExtensible>
  <w16cex:commentExtensible w16cex:durableId="6051ABDF" w16cex:dateUtc="2024-09-10T16:55:00Z">
    <w16cex:extLst>
      <w16:ext w16:uri="{CE6994B0-6A32-4C9F-8C6B-6E91EDA988CE}">
        <cr:reactions xmlns:cr="http://schemas.microsoft.com/office/comments/2020/reactions">
          <cr:reaction reactionType="1">
            <cr:reactionInfo dateUtc="2024-09-18T12:28:23Z">
              <cr:user userId="S::zfranky6@uconn.edu::6ce4719b-7f4a-4549-8832-a74568dd27a3" userProvider="AD" userName="Zhang, Franky"/>
            </cr:reactionInfo>
          </cr:reaction>
        </cr:reactions>
      </w16:ext>
    </w16cex:extLst>
  </w16cex:commentExtensible>
  <w16cex:commentExtensible w16cex:durableId="0E126B57" w16cex:dateUtc="2024-09-11T17:15:00Z">
    <w16cex:extLst>
      <w16:ext w16:uri="{CE6994B0-6A32-4C9F-8C6B-6E91EDA988CE}">
        <cr:reactions xmlns:cr="http://schemas.microsoft.com/office/comments/2020/reactions">
          <cr:reaction reactionType="1">
            <cr:reactionInfo dateUtc="2024-09-18T12:28:27Z">
              <cr:user userId="S::zfranky6@uconn.edu::6ce4719b-7f4a-4549-8832-a74568dd27a3" userProvider="AD" userName="Zhang, Franky"/>
            </cr:reactionInfo>
          </cr:reaction>
        </cr:reactions>
      </w16:ext>
    </w16cex:extLst>
  </w16cex:commentExtensible>
  <w16cex:commentExtensible w16cex:durableId="6C8488BE" w16cex:dateUtc="2024-08-23T15:54:00Z">
    <w16cex:extLst>
      <w16:ext w16:uri="{CE6994B0-6A32-4C9F-8C6B-6E91EDA988CE}">
        <cr:reactions xmlns:cr="http://schemas.microsoft.com/office/comments/2020/reactions">
          <cr:reaction reactionType="1">
            <cr:reactionInfo dateUtc="2024-09-18T12:28:29Z">
              <cr:user userId="S::zfranky6@uconn.edu::6ce4719b-7f4a-4549-8832-a74568dd27a3" userProvider="AD" userName="Zhang, Franky"/>
            </cr:reactionInfo>
          </cr:reaction>
        </cr:reactions>
      </w16:ext>
    </w16cex:extLst>
  </w16cex:commentExtensible>
  <w16cex:commentExtensible w16cex:durableId="61F2E624" w16cex:dateUtc="2024-09-09T20:43:00Z"/>
  <w16cex:commentExtensible w16cex:durableId="37ACD4E2" w16cex:dateUtc="2024-09-09T20:51:00Z"/>
  <w16cex:commentExtensible w16cex:durableId="7AA664A9" w16cex:dateUtc="2024-08-23T20:56:00Z"/>
  <w16cex:commentExtensible w16cex:durableId="247C4E2C" w16cex:dateUtc="2024-08-23T20:34: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Extensible w16cex:durableId="75358C98" w16cex:dateUtc="2024-09-1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943133" w16cid:durableId="2045E815"/>
  <w16cid:commentId w16cid:paraId="47AE06BD" w16cid:durableId="296CB5E8"/>
  <w16cid:commentId w16cid:paraId="10C31092" w16cid:durableId="54FB8C30"/>
  <w16cid:commentId w16cid:paraId="0577DB21" w16cid:durableId="162CB634"/>
  <w16cid:commentId w16cid:paraId="0D593280" w16cid:durableId="2D57D4C5"/>
  <w16cid:commentId w16cid:paraId="7DEC4FAB" w16cid:durableId="2EA63D2F"/>
  <w16cid:commentId w16cid:paraId="02BEB91A" w16cid:durableId="428A0FF4"/>
  <w16cid:commentId w16cid:paraId="6458171E" w16cid:durableId="07BE196A"/>
  <w16cid:commentId w16cid:paraId="14E85FD4" w16cid:durableId="53FCE679"/>
  <w16cid:commentId w16cid:paraId="21054B53" w16cid:durableId="0F5E5A65"/>
  <w16cid:commentId w16cid:paraId="58ACF3E2" w16cid:durableId="47553233"/>
  <w16cid:commentId w16cid:paraId="66AD89FF" w16cid:durableId="548ED081"/>
  <w16cid:commentId w16cid:paraId="39DC6B08" w16cid:durableId="56F972E6"/>
  <w16cid:commentId w16cid:paraId="68471DB7" w16cid:durableId="6B3F04A7"/>
  <w16cid:commentId w16cid:paraId="0B4BE2BB" w16cid:durableId="3A6659A8"/>
  <w16cid:commentId w16cid:paraId="29C5AA52" w16cid:durableId="1ED475A5"/>
  <w16cid:commentId w16cid:paraId="6C00063C" w16cid:durableId="459AE21A"/>
  <w16cid:commentId w16cid:paraId="03223C18" w16cid:durableId="7CEA79CB"/>
  <w16cid:commentId w16cid:paraId="0D529A15" w16cid:durableId="293F2C64"/>
  <w16cid:commentId w16cid:paraId="157E0233" w16cid:durableId="734B026C"/>
  <w16cid:commentId w16cid:paraId="6589A96A" w16cid:durableId="610CDA39"/>
  <w16cid:commentId w16cid:paraId="3C175F5C" w16cid:durableId="2B010ECC"/>
  <w16cid:commentId w16cid:paraId="79A98734" w16cid:durableId="6051ABDF"/>
  <w16cid:commentId w16cid:paraId="196E8323" w16cid:durableId="0E126B57"/>
  <w16cid:commentId w16cid:paraId="4FE12F44" w16cid:durableId="6C8488BE"/>
  <w16cid:commentId w16cid:paraId="2E19B996" w16cid:durableId="61F2E624"/>
  <w16cid:commentId w16cid:paraId="2C226A9D" w16cid:durableId="37ACD4E2"/>
  <w16cid:commentId w16cid:paraId="63A6DAAB" w16cid:durableId="7AA664A9"/>
  <w16cid:commentId w16cid:paraId="29964527" w16cid:durableId="247C4E2C"/>
  <w16cid:commentId w16cid:paraId="2CB96947" w16cid:durableId="10CD7CD1"/>
  <w16cid:commentId w16cid:paraId="7DDA2BE1" w16cid:durableId="45EF0CC4"/>
  <w16cid:commentId w16cid:paraId="22BCA00D" w16cid:durableId="04D6C236"/>
  <w16cid:commentId w16cid:paraId="0D8E9356" w16cid:durableId="033C2AF0"/>
  <w16cid:commentId w16cid:paraId="593813FA" w16cid:durableId="75358C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6D835" w14:textId="77777777" w:rsidR="0052736C" w:rsidRDefault="0052736C" w:rsidP="00D3651D">
      <w:r>
        <w:separator/>
      </w:r>
    </w:p>
  </w:endnote>
  <w:endnote w:type="continuationSeparator" w:id="0">
    <w:p w14:paraId="39B0B633" w14:textId="77777777" w:rsidR="0052736C" w:rsidRDefault="0052736C"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CED2B" w14:textId="77777777" w:rsidR="0052736C" w:rsidRDefault="0052736C" w:rsidP="00D3651D">
      <w:r>
        <w:separator/>
      </w:r>
    </w:p>
  </w:footnote>
  <w:footnote w:type="continuationSeparator" w:id="0">
    <w:p w14:paraId="033E0651" w14:textId="77777777" w:rsidR="0052736C" w:rsidRDefault="0052736C"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2"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1"/>
  </w:num>
  <w:num w:numId="3" w16cid:durableId="2057578860">
    <w:abstractNumId w:val="3"/>
  </w:num>
  <w:num w:numId="4" w16cid:durableId="914169778">
    <w:abstractNumId w:val="2"/>
  </w:num>
  <w:num w:numId="5" w16cid:durableId="18403872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4FAPHusA4tAAAA"/>
  </w:docVars>
  <w:rsids>
    <w:rsidRoot w:val="00D3651D"/>
    <w:rsid w:val="00000905"/>
    <w:rsid w:val="0000182A"/>
    <w:rsid w:val="00031BE9"/>
    <w:rsid w:val="00055229"/>
    <w:rsid w:val="00064B0A"/>
    <w:rsid w:val="000777C9"/>
    <w:rsid w:val="00080B5E"/>
    <w:rsid w:val="0009354D"/>
    <w:rsid w:val="000A2145"/>
    <w:rsid w:val="000B4CFA"/>
    <w:rsid w:val="000C5051"/>
    <w:rsid w:val="000D0737"/>
    <w:rsid w:val="000D623E"/>
    <w:rsid w:val="000D7ADB"/>
    <w:rsid w:val="000E1AF9"/>
    <w:rsid w:val="000F4222"/>
    <w:rsid w:val="000F7E0B"/>
    <w:rsid w:val="00101F2E"/>
    <w:rsid w:val="00103A85"/>
    <w:rsid w:val="00106AA9"/>
    <w:rsid w:val="00107495"/>
    <w:rsid w:val="0010784D"/>
    <w:rsid w:val="00107AC1"/>
    <w:rsid w:val="00107EC3"/>
    <w:rsid w:val="00110837"/>
    <w:rsid w:val="00114BF9"/>
    <w:rsid w:val="00126760"/>
    <w:rsid w:val="001329AD"/>
    <w:rsid w:val="00132FFC"/>
    <w:rsid w:val="001335A5"/>
    <w:rsid w:val="001363CD"/>
    <w:rsid w:val="0014174E"/>
    <w:rsid w:val="0015512C"/>
    <w:rsid w:val="001708E2"/>
    <w:rsid w:val="00171EB7"/>
    <w:rsid w:val="001724BD"/>
    <w:rsid w:val="001724C1"/>
    <w:rsid w:val="001867B5"/>
    <w:rsid w:val="001A4394"/>
    <w:rsid w:val="001A5193"/>
    <w:rsid w:val="001A568B"/>
    <w:rsid w:val="001A5699"/>
    <w:rsid w:val="001B0213"/>
    <w:rsid w:val="001D07B1"/>
    <w:rsid w:val="001F2D1B"/>
    <w:rsid w:val="001F5CCC"/>
    <w:rsid w:val="001F5E3E"/>
    <w:rsid w:val="0021246D"/>
    <w:rsid w:val="00220517"/>
    <w:rsid w:val="00221611"/>
    <w:rsid w:val="00224C5A"/>
    <w:rsid w:val="00231E9E"/>
    <w:rsid w:val="00234576"/>
    <w:rsid w:val="002405EA"/>
    <w:rsid w:val="002454D0"/>
    <w:rsid w:val="00246C34"/>
    <w:rsid w:val="002533E9"/>
    <w:rsid w:val="002655EA"/>
    <w:rsid w:val="00265E0F"/>
    <w:rsid w:val="002A2763"/>
    <w:rsid w:val="002B2723"/>
    <w:rsid w:val="002B5470"/>
    <w:rsid w:val="002C334B"/>
    <w:rsid w:val="002C3E27"/>
    <w:rsid w:val="002C43D3"/>
    <w:rsid w:val="002D196E"/>
    <w:rsid w:val="002D77BA"/>
    <w:rsid w:val="002E2F3B"/>
    <w:rsid w:val="002E3DDD"/>
    <w:rsid w:val="002E3FA6"/>
    <w:rsid w:val="002F0C3B"/>
    <w:rsid w:val="002F660F"/>
    <w:rsid w:val="00313EFA"/>
    <w:rsid w:val="003234E7"/>
    <w:rsid w:val="00330BCF"/>
    <w:rsid w:val="00337CD2"/>
    <w:rsid w:val="0034613C"/>
    <w:rsid w:val="003465FF"/>
    <w:rsid w:val="00362F40"/>
    <w:rsid w:val="00365F91"/>
    <w:rsid w:val="0036748A"/>
    <w:rsid w:val="00371C56"/>
    <w:rsid w:val="003723A5"/>
    <w:rsid w:val="00373DE4"/>
    <w:rsid w:val="00381385"/>
    <w:rsid w:val="00391116"/>
    <w:rsid w:val="003A2DFC"/>
    <w:rsid w:val="003A7085"/>
    <w:rsid w:val="003B359E"/>
    <w:rsid w:val="003B4DAE"/>
    <w:rsid w:val="003E19B5"/>
    <w:rsid w:val="003E7D75"/>
    <w:rsid w:val="003F5D49"/>
    <w:rsid w:val="003F7F48"/>
    <w:rsid w:val="00410703"/>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84037"/>
    <w:rsid w:val="004A03B0"/>
    <w:rsid w:val="004A57B0"/>
    <w:rsid w:val="004D118C"/>
    <w:rsid w:val="004D6B1E"/>
    <w:rsid w:val="004D72BB"/>
    <w:rsid w:val="004E4F4F"/>
    <w:rsid w:val="004F6852"/>
    <w:rsid w:val="004F6A66"/>
    <w:rsid w:val="00522A49"/>
    <w:rsid w:val="0052736C"/>
    <w:rsid w:val="005447EA"/>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4BEA"/>
    <w:rsid w:val="005F7B31"/>
    <w:rsid w:val="00611A3B"/>
    <w:rsid w:val="006228B0"/>
    <w:rsid w:val="00623C0D"/>
    <w:rsid w:val="00640A37"/>
    <w:rsid w:val="00641B2E"/>
    <w:rsid w:val="00642DD1"/>
    <w:rsid w:val="00645A14"/>
    <w:rsid w:val="006500D0"/>
    <w:rsid w:val="0065058D"/>
    <w:rsid w:val="006644B1"/>
    <w:rsid w:val="00667F47"/>
    <w:rsid w:val="006821C4"/>
    <w:rsid w:val="00692FDA"/>
    <w:rsid w:val="006A08D9"/>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66C7"/>
    <w:rsid w:val="006F6D85"/>
    <w:rsid w:val="007034C2"/>
    <w:rsid w:val="00707EE0"/>
    <w:rsid w:val="0072734B"/>
    <w:rsid w:val="007341B9"/>
    <w:rsid w:val="0073762E"/>
    <w:rsid w:val="007500F2"/>
    <w:rsid w:val="007509F0"/>
    <w:rsid w:val="00757D34"/>
    <w:rsid w:val="00760687"/>
    <w:rsid w:val="00776B42"/>
    <w:rsid w:val="00786B0E"/>
    <w:rsid w:val="00793A5D"/>
    <w:rsid w:val="007978EA"/>
    <w:rsid w:val="007A1CD7"/>
    <w:rsid w:val="007A2D8F"/>
    <w:rsid w:val="007A54FF"/>
    <w:rsid w:val="007A5C98"/>
    <w:rsid w:val="007B4FC3"/>
    <w:rsid w:val="007C2579"/>
    <w:rsid w:val="007C6646"/>
    <w:rsid w:val="007D4587"/>
    <w:rsid w:val="007D4A34"/>
    <w:rsid w:val="007F03F8"/>
    <w:rsid w:val="007F618F"/>
    <w:rsid w:val="0080072C"/>
    <w:rsid w:val="00845750"/>
    <w:rsid w:val="00856875"/>
    <w:rsid w:val="008651B7"/>
    <w:rsid w:val="00865A99"/>
    <w:rsid w:val="00873033"/>
    <w:rsid w:val="008737AA"/>
    <w:rsid w:val="00874608"/>
    <w:rsid w:val="00882470"/>
    <w:rsid w:val="0089195C"/>
    <w:rsid w:val="008936AB"/>
    <w:rsid w:val="00896C34"/>
    <w:rsid w:val="008A3BB1"/>
    <w:rsid w:val="008A43BA"/>
    <w:rsid w:val="008B3373"/>
    <w:rsid w:val="008B7B1F"/>
    <w:rsid w:val="008C393D"/>
    <w:rsid w:val="008D0179"/>
    <w:rsid w:val="008D184F"/>
    <w:rsid w:val="008D460F"/>
    <w:rsid w:val="008D5C18"/>
    <w:rsid w:val="008E0F0E"/>
    <w:rsid w:val="008E55C0"/>
    <w:rsid w:val="008F5DD1"/>
    <w:rsid w:val="00901120"/>
    <w:rsid w:val="0090700F"/>
    <w:rsid w:val="00910970"/>
    <w:rsid w:val="009206CF"/>
    <w:rsid w:val="00923F27"/>
    <w:rsid w:val="00937ED7"/>
    <w:rsid w:val="009529AD"/>
    <w:rsid w:val="009607EA"/>
    <w:rsid w:val="00960A1D"/>
    <w:rsid w:val="00963F77"/>
    <w:rsid w:val="00967D36"/>
    <w:rsid w:val="00970A5C"/>
    <w:rsid w:val="009732E2"/>
    <w:rsid w:val="00976DDF"/>
    <w:rsid w:val="00977021"/>
    <w:rsid w:val="00987FDD"/>
    <w:rsid w:val="009951A5"/>
    <w:rsid w:val="00997D3F"/>
    <w:rsid w:val="009A4689"/>
    <w:rsid w:val="009B3A5F"/>
    <w:rsid w:val="009D2CEB"/>
    <w:rsid w:val="009E6050"/>
    <w:rsid w:val="009F78DF"/>
    <w:rsid w:val="00A04B29"/>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70E9B"/>
    <w:rsid w:val="00A72734"/>
    <w:rsid w:val="00A7332E"/>
    <w:rsid w:val="00A829A1"/>
    <w:rsid w:val="00A83728"/>
    <w:rsid w:val="00A843F8"/>
    <w:rsid w:val="00A8758A"/>
    <w:rsid w:val="00AA4AF2"/>
    <w:rsid w:val="00AB1483"/>
    <w:rsid w:val="00AB3A98"/>
    <w:rsid w:val="00AB76A2"/>
    <w:rsid w:val="00AC19CD"/>
    <w:rsid w:val="00AD0318"/>
    <w:rsid w:val="00AD1CBC"/>
    <w:rsid w:val="00AD3921"/>
    <w:rsid w:val="00AE157C"/>
    <w:rsid w:val="00B102AA"/>
    <w:rsid w:val="00B13BB1"/>
    <w:rsid w:val="00B17DFC"/>
    <w:rsid w:val="00B22FE8"/>
    <w:rsid w:val="00B3651A"/>
    <w:rsid w:val="00B478D4"/>
    <w:rsid w:val="00B52C20"/>
    <w:rsid w:val="00B61119"/>
    <w:rsid w:val="00B7010D"/>
    <w:rsid w:val="00B73E9A"/>
    <w:rsid w:val="00B7689E"/>
    <w:rsid w:val="00B8340E"/>
    <w:rsid w:val="00B900F8"/>
    <w:rsid w:val="00B94146"/>
    <w:rsid w:val="00BA05ED"/>
    <w:rsid w:val="00BA27FE"/>
    <w:rsid w:val="00BA3C67"/>
    <w:rsid w:val="00BA4FF4"/>
    <w:rsid w:val="00BB49FF"/>
    <w:rsid w:val="00BC5365"/>
    <w:rsid w:val="00BC63FF"/>
    <w:rsid w:val="00BD3A2A"/>
    <w:rsid w:val="00BD4A38"/>
    <w:rsid w:val="00BD7835"/>
    <w:rsid w:val="00BE097F"/>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94D5C"/>
    <w:rsid w:val="00C9745D"/>
    <w:rsid w:val="00CA429D"/>
    <w:rsid w:val="00CA51AD"/>
    <w:rsid w:val="00CB1739"/>
    <w:rsid w:val="00CB2F15"/>
    <w:rsid w:val="00CB603B"/>
    <w:rsid w:val="00CD0829"/>
    <w:rsid w:val="00CD62BF"/>
    <w:rsid w:val="00CE2F18"/>
    <w:rsid w:val="00CF2B0B"/>
    <w:rsid w:val="00CF33D9"/>
    <w:rsid w:val="00CF5B0B"/>
    <w:rsid w:val="00D0236F"/>
    <w:rsid w:val="00D042B0"/>
    <w:rsid w:val="00D114D9"/>
    <w:rsid w:val="00D15278"/>
    <w:rsid w:val="00D239E0"/>
    <w:rsid w:val="00D348B0"/>
    <w:rsid w:val="00D3651D"/>
    <w:rsid w:val="00D37ED3"/>
    <w:rsid w:val="00D405E3"/>
    <w:rsid w:val="00D46A30"/>
    <w:rsid w:val="00D536EF"/>
    <w:rsid w:val="00D5728E"/>
    <w:rsid w:val="00D67BFA"/>
    <w:rsid w:val="00D85F29"/>
    <w:rsid w:val="00D97490"/>
    <w:rsid w:val="00DA20F2"/>
    <w:rsid w:val="00DB23C0"/>
    <w:rsid w:val="00DC5B0B"/>
    <w:rsid w:val="00DC69D6"/>
    <w:rsid w:val="00DD4FA9"/>
    <w:rsid w:val="00DD6957"/>
    <w:rsid w:val="00DD7423"/>
    <w:rsid w:val="00DE29D0"/>
    <w:rsid w:val="00DE3A12"/>
    <w:rsid w:val="00DE40A8"/>
    <w:rsid w:val="00DE44D7"/>
    <w:rsid w:val="00DF444E"/>
    <w:rsid w:val="00DF6085"/>
    <w:rsid w:val="00E04692"/>
    <w:rsid w:val="00E07017"/>
    <w:rsid w:val="00E1541D"/>
    <w:rsid w:val="00E2284B"/>
    <w:rsid w:val="00E25F3A"/>
    <w:rsid w:val="00E32CBF"/>
    <w:rsid w:val="00E35D16"/>
    <w:rsid w:val="00E411C7"/>
    <w:rsid w:val="00E45B77"/>
    <w:rsid w:val="00E552D0"/>
    <w:rsid w:val="00E74379"/>
    <w:rsid w:val="00E777A7"/>
    <w:rsid w:val="00E84F8E"/>
    <w:rsid w:val="00E85EE4"/>
    <w:rsid w:val="00E917EC"/>
    <w:rsid w:val="00E95EF0"/>
    <w:rsid w:val="00EA4FDE"/>
    <w:rsid w:val="00EB7371"/>
    <w:rsid w:val="00EC001C"/>
    <w:rsid w:val="00EC1596"/>
    <w:rsid w:val="00EC226C"/>
    <w:rsid w:val="00ED1E37"/>
    <w:rsid w:val="00EE2185"/>
    <w:rsid w:val="00EF1DAE"/>
    <w:rsid w:val="00F13588"/>
    <w:rsid w:val="00F14D4C"/>
    <w:rsid w:val="00F20D9D"/>
    <w:rsid w:val="00F33B47"/>
    <w:rsid w:val="00F526BA"/>
    <w:rsid w:val="00F57AB2"/>
    <w:rsid w:val="00F60B31"/>
    <w:rsid w:val="00F856E1"/>
    <w:rsid w:val="00FA1289"/>
    <w:rsid w:val="00FB45BE"/>
    <w:rsid w:val="00FB57F3"/>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cholar.google.com/scholar_lookup?journal=EBioMedicine.&amp;title=Determinants+of+early+antibody+responses+to+COVID-19+mRNA+vaccines+in+a+cohort+of+exposed+and+na%C3%AFve+healthcare+workers&amp;author=G+Moncunill&amp;author=R+Aguilar&amp;author=M+Ribes&amp;author=N+Ortega&amp;author=R+Rubio&amp;volume=75&amp;publication_year=2022&amp;pages=103805&amp;pmid=35032961&amp;doi=10.1016/j.ebiom.2021.103805&amp;" TargetMode="External"/><Relationship Id="rId13" Type="http://schemas.openxmlformats.org/officeDocument/2006/relationships/hyperlink" Target="https://www.e-epih.org/journal/view.php?number=1276" TargetMode="External"/><Relationship Id="rId18" Type="http://schemas.openxmlformats.org/officeDocument/2006/relationships/hyperlink" Target="https://www.frontiersin.org/journals/public-health/articles/10.3389/fpubh.2023.1146059/full" TargetMode="External"/><Relationship Id="rId26" Type="http://schemas.openxmlformats.org/officeDocument/2006/relationships/hyperlink" Target="https://www.frontiersin.org/journals/public-health/articles/10.3389/fpubh.2023.1146059/full" TargetMode="External"/><Relationship Id="rId3" Type="http://schemas.openxmlformats.org/officeDocument/2006/relationships/hyperlink" Target="https://doi.org/10.1038%2Fs41467-022-28527-x" TargetMode="External"/><Relationship Id="rId21" Type="http://schemas.openxmlformats.org/officeDocument/2006/relationships/hyperlink" Target="https://www.frontiersin.org/journals/public-health/articles/10.3389/fpubh.2023.1146059/full" TargetMode="External"/><Relationship Id="rId7" Type="http://schemas.openxmlformats.org/officeDocument/2006/relationships/hyperlink" Target="https://doi.org/10.1016%2Fj.ebiom.2021.103805" TargetMode="External"/><Relationship Id="rId12" Type="http://schemas.openxmlformats.org/officeDocument/2006/relationships/hyperlink" Target="https://www.ncbi.nlm.nih.gov/pmc/articles/PMC10728614/" TargetMode="External"/><Relationship Id="rId17" Type="http://schemas.openxmlformats.org/officeDocument/2006/relationships/hyperlink" Target="https://www.nature.com/articles/s41598-023-45718-8" TargetMode="External"/><Relationship Id="rId25" Type="http://schemas.openxmlformats.org/officeDocument/2006/relationships/hyperlink" Target="https://www.frontiersin.org/journals/public-health/articles/10.3389/fpubh.2023.1146059/full" TargetMode="External"/><Relationship Id="rId2" Type="http://schemas.openxmlformats.org/officeDocument/2006/relationships/hyperlink" Target="https://pubmed.ncbi.nlm.nih.gov/35173150" TargetMode="External"/><Relationship Id="rId16" Type="http://schemas.openxmlformats.org/officeDocument/2006/relationships/hyperlink" Target="https://www.frontiersin.org/journals/public-health/articles/10.3389/fpubh.2023.1146059/full" TargetMode="External"/><Relationship Id="rId20" Type="http://schemas.openxmlformats.org/officeDocument/2006/relationships/hyperlink" Target="https://www.frontiersin.org/journals/public-health/articles/10.3389/fpubh.2023.1146059/full" TargetMode="External"/><Relationship Id="rId1" Type="http://schemas.openxmlformats.org/officeDocument/2006/relationships/hyperlink" Target="https://www.ncbi.nlm.nih.gov/pmc/articles/PMC8850615/" TargetMode="External"/><Relationship Id="rId6" Type="http://schemas.openxmlformats.org/officeDocument/2006/relationships/hyperlink" Target="https://pubmed.ncbi.nlm.nih.gov/35032961" TargetMode="External"/><Relationship Id="rId11" Type="http://schemas.openxmlformats.org/officeDocument/2006/relationships/hyperlink" Target="https://www.nature.com/articles/s41598-023-45718-8" TargetMode="External"/><Relationship Id="rId24" Type="http://schemas.openxmlformats.org/officeDocument/2006/relationships/hyperlink" Target="https://www.frontiersin.org/journals/public-health/articles/10.3389/fpubh.2023.1146059/full" TargetMode="External"/><Relationship Id="rId5" Type="http://schemas.openxmlformats.org/officeDocument/2006/relationships/hyperlink" Target="https://www.ncbi.nlm.nih.gov/pmc/articles/PMC8752368/" TargetMode="External"/><Relationship Id="rId15" Type="http://schemas.openxmlformats.org/officeDocument/2006/relationships/hyperlink" Target="https://www.thelancet.com/journals/lanmic/article/PIIS2666-5247(23)00103-9/fulltext" TargetMode="External"/><Relationship Id="rId23" Type="http://schemas.openxmlformats.org/officeDocument/2006/relationships/hyperlink" Target="https://www.frontiersin.org/journals/public-health/articles/10.3389/fpubh.2023.1146059/full" TargetMode="External"/><Relationship Id="rId28" Type="http://schemas.openxmlformats.org/officeDocument/2006/relationships/hyperlink" Target="https://www.nature.com/articles/s41577-021-00662-4" TargetMode="External"/><Relationship Id="rId10" Type="http://schemas.openxmlformats.org/officeDocument/2006/relationships/hyperlink" Target="https://www.who.int/news/item/01-06-2022-interim-statement-on-hybrid-immunity-and-increasing-population-seroprevalence-rates" TargetMode="External"/><Relationship Id="rId19" Type="http://schemas.openxmlformats.org/officeDocument/2006/relationships/hyperlink" Target="https://www.frontiersin.org/journals/public-health/articles/10.3389/fpubh.2023.1146059/full" TargetMode="External"/><Relationship Id="rId4" Type="http://schemas.openxmlformats.org/officeDocument/2006/relationships/hyperlink" Target="https://scholar.google.com/scholar_lookup?journal=Nat+Commun&amp;title=Population+antibody+responses+following+COVID-19+vaccination+in+212,102+individuals&amp;author=H+Ward&amp;author=M+Whitaker&amp;author=B+Flower&amp;author=SN+Tang&amp;author=C+Atchison&amp;volume=13&amp;publication_year=2022&amp;pages=907&amp;pmid=35173150&amp;doi=10.1038/s41467-022-28527-x&amp;" TargetMode="External"/><Relationship Id="rId9" Type="http://schemas.openxmlformats.org/officeDocument/2006/relationships/hyperlink" Target="https://www.who.int/news/item/01-06-2022-interim-statement-onhybrid-immunity-and-increasing-population-seroprevalence-rates" TargetMode="External"/><Relationship Id="rId14" Type="http://schemas.openxmlformats.org/officeDocument/2006/relationships/hyperlink" Target="https://www.thelancet.com/journals/lanmic/article/PIIS2666-5247(23)00103-9/fulltext" TargetMode="External"/><Relationship Id="rId22" Type="http://schemas.openxmlformats.org/officeDocument/2006/relationships/hyperlink" Target="https://www.frontiersin.org/journals/public-health/articles/10.3389/fpubh.2023.1146059/full" TargetMode="External"/><Relationship Id="rId27" Type="http://schemas.openxmlformats.org/officeDocument/2006/relationships/hyperlink" Target="https://www.nature.com/articles/s41577-021-00662-4"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3-45718-8" TargetMode="External"/><Relationship Id="rId18" Type="http://schemas.openxmlformats.org/officeDocument/2006/relationships/image" Target="media/image2.png"/><Relationship Id="rId26" Type="http://schemas.openxmlformats.org/officeDocument/2006/relationships/hyperlink" Target="https://www.ncbi.nlm.nih.gov/pmc/articles/PMC9482842/"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hyperlink" Target="https://www.ncbi.nlm.nih.gov/pmc/articles/PMC9482842/"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nature.com/articles/s41598-023-45718-8"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pmc/articles/PMC948284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ature.com/articles/s41598-023-45718-8" TargetMode="External"/><Relationship Id="rId23" Type="http://schemas.openxmlformats.org/officeDocument/2006/relationships/hyperlink" Target="https://www.ncbi.nlm.nih.gov/pmc/articles/PMC9482842/" TargetMode="External"/><Relationship Id="rId28"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ature.com/articles/s41598-023-45718-8"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mailto:jo@uch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Pages>
  <Words>15994</Words>
  <Characters>95489</Characters>
  <Application>Microsoft Office Word</Application>
  <DocSecurity>0</DocSecurity>
  <Lines>1736</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57</cp:revision>
  <dcterms:created xsi:type="dcterms:W3CDTF">2024-09-10T18:34:00Z</dcterms:created>
  <dcterms:modified xsi:type="dcterms:W3CDTF">2024-09-23T18:54:00Z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id="qLtFGOFu"/&gt;&lt;style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