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58CF921C" w14:textId="77777777" w:rsidR="007042AB" w:rsidRPr="00B669B1" w:rsidRDefault="007042AB" w:rsidP="00B669B1">
      <w:pPr>
        <w:pStyle w:val="BodyText"/>
        <w:kinsoku w:val="0"/>
        <w:overflowPunct w:val="0"/>
        <w:ind w:left="0"/>
        <w:contextualSpacing/>
        <w:jc w:val="both"/>
        <w:rPr>
          <w:rFonts w:eastAsiaTheme="minorEastAsia"/>
          <w:color w:val="000000"/>
          <w:sz w:val="22"/>
          <w:szCs w:val="22"/>
          <w:lang w:eastAsia="ko-KR"/>
        </w:rPr>
      </w:pPr>
    </w:p>
    <w:p w14:paraId="06E03876" w14:textId="6A3B30E1" w:rsidR="00B669B1" w:rsidRDefault="00B669B1" w:rsidP="00B669B1">
      <w:pPr>
        <w:pStyle w:val="NormalWeb"/>
        <w:spacing w:before="0" w:beforeAutospacing="0" w:after="0" w:afterAutospacing="0"/>
        <w:contextualSpacing/>
        <w:rPr>
          <w:rFonts w:eastAsiaTheme="minorEastAsia"/>
          <w:sz w:val="22"/>
          <w:szCs w:val="22"/>
          <w:lang w:eastAsia="ko-KR"/>
        </w:rPr>
      </w:pPr>
      <w:r w:rsidRPr="00B669B1">
        <w:rPr>
          <w:rStyle w:val="Strong"/>
          <w:rFonts w:eastAsiaTheme="majorEastAsia"/>
          <w:sz w:val="22"/>
          <w:szCs w:val="22"/>
        </w:rPr>
        <w:t>Background.</w:t>
      </w:r>
      <w:r w:rsidRPr="00B669B1">
        <w:rPr>
          <w:sz w:val="22"/>
          <w:szCs w:val="22"/>
        </w:rPr>
        <w:t xml:space="preserve"> Effective surveillance of SARS-CoV-2 variants is crucial for timely public health responses. This study develops a two-stage early-warning framework to forecast a variant’s peak prevalence and time-to-dominance (TTD</w:t>
      </w:r>
      <w:r w:rsidR="00562811">
        <w:rPr>
          <w:rFonts w:eastAsiaTheme="minorEastAsia" w:hint="eastAsia"/>
          <w:sz w:val="22"/>
          <w:szCs w:val="22"/>
          <w:lang w:eastAsia="ko-KR"/>
        </w:rPr>
        <w:t>)</w:t>
      </w:r>
      <w:r w:rsidRPr="00B669B1">
        <w:rPr>
          <w:sz w:val="22"/>
          <w:szCs w:val="22"/>
        </w:rPr>
        <w:t>, the interval from 1% to 50% domestic share) using GISAID lineage-share data from 15 high-coverage countries.</w:t>
      </w:r>
    </w:p>
    <w:p w14:paraId="3105774E" w14:textId="77777777" w:rsidR="00B669B1" w:rsidRPr="00B669B1" w:rsidRDefault="00B669B1" w:rsidP="00B669B1">
      <w:pPr>
        <w:pStyle w:val="NormalWeb"/>
        <w:spacing w:before="0" w:beforeAutospacing="0" w:after="0" w:afterAutospacing="0"/>
        <w:contextualSpacing/>
        <w:rPr>
          <w:rFonts w:eastAsiaTheme="minorEastAsia"/>
          <w:sz w:val="22"/>
          <w:szCs w:val="22"/>
          <w:lang w:eastAsia="ko-KR"/>
        </w:rPr>
      </w:pPr>
    </w:p>
    <w:p w14:paraId="62E2C32F" w14:textId="70091650" w:rsidR="00B669B1" w:rsidRDefault="00B669B1" w:rsidP="00B669B1">
      <w:pPr>
        <w:pStyle w:val="NormalWeb"/>
        <w:spacing w:before="0" w:beforeAutospacing="0" w:after="0" w:afterAutospacing="0"/>
        <w:contextualSpacing/>
        <w:rPr>
          <w:rFonts w:eastAsiaTheme="minorEastAsia"/>
          <w:sz w:val="22"/>
          <w:szCs w:val="22"/>
          <w:lang w:eastAsia="ko-KR"/>
        </w:rPr>
      </w:pPr>
      <w:r w:rsidRPr="00B669B1">
        <w:rPr>
          <w:rStyle w:val="Strong"/>
          <w:rFonts w:eastAsiaTheme="majorEastAsia"/>
          <w:sz w:val="22"/>
          <w:szCs w:val="22"/>
        </w:rPr>
        <w:t>Methods.</w:t>
      </w:r>
      <w:r w:rsidRPr="00B669B1">
        <w:rPr>
          <w:sz w:val="22"/>
          <w:szCs w:val="22"/>
        </w:rPr>
        <w:t xml:space="preserve"> </w:t>
      </w:r>
      <w:r w:rsidR="00562811">
        <w:rPr>
          <w:rFonts w:eastAsiaTheme="minorEastAsia" w:hint="eastAsia"/>
          <w:sz w:val="22"/>
          <w:szCs w:val="22"/>
          <w:lang w:eastAsia="ko-KR"/>
        </w:rPr>
        <w:t>First</w:t>
      </w:r>
      <w:r w:rsidRPr="00B669B1">
        <w:rPr>
          <w:sz w:val="22"/>
          <w:szCs w:val="22"/>
        </w:rPr>
        <w:t xml:space="preserve">, we extract 10 early-growth features (e.g., level, variability, acceleration, persistence) from the first 14, 21, or 28 days after a variant exceeds 1% share to predict peak prevalence. </w:t>
      </w:r>
      <w:r w:rsidR="00562811">
        <w:rPr>
          <w:rFonts w:eastAsiaTheme="minorEastAsia" w:hint="eastAsia"/>
          <w:sz w:val="22"/>
          <w:szCs w:val="22"/>
          <w:lang w:eastAsia="ko-KR"/>
        </w:rPr>
        <w:t>Second</w:t>
      </w:r>
      <w:r w:rsidRPr="00B669B1">
        <w:rPr>
          <w:sz w:val="22"/>
          <w:szCs w:val="22"/>
        </w:rPr>
        <w:t>, logistic growth curves estimate TTD for variants projected to exceed 50% share, optimizing input windows per country.</w:t>
      </w:r>
    </w:p>
    <w:p w14:paraId="1A19F2BD" w14:textId="77777777" w:rsidR="00B669B1" w:rsidRPr="00B669B1" w:rsidRDefault="00B669B1" w:rsidP="00B669B1">
      <w:pPr>
        <w:pStyle w:val="NormalWeb"/>
        <w:spacing w:before="0" w:beforeAutospacing="0" w:after="0" w:afterAutospacing="0"/>
        <w:contextualSpacing/>
        <w:rPr>
          <w:rFonts w:eastAsiaTheme="minorEastAsia"/>
          <w:sz w:val="22"/>
          <w:szCs w:val="22"/>
          <w:lang w:eastAsia="ko-KR"/>
        </w:rPr>
      </w:pPr>
    </w:p>
    <w:p w14:paraId="3066C462" w14:textId="77777777" w:rsidR="00B669B1" w:rsidRDefault="00B669B1" w:rsidP="00B669B1">
      <w:pPr>
        <w:pStyle w:val="NormalWeb"/>
        <w:spacing w:before="0" w:beforeAutospacing="0" w:after="0" w:afterAutospacing="0"/>
        <w:contextualSpacing/>
        <w:rPr>
          <w:rFonts w:eastAsiaTheme="minorEastAsia"/>
          <w:sz w:val="22"/>
          <w:szCs w:val="22"/>
          <w:lang w:eastAsia="ko-KR"/>
        </w:rPr>
      </w:pPr>
      <w:r w:rsidRPr="00B669B1">
        <w:rPr>
          <w:rStyle w:val="Strong"/>
          <w:rFonts w:eastAsiaTheme="majorEastAsia"/>
          <w:sz w:val="22"/>
          <w:szCs w:val="22"/>
        </w:rPr>
        <w:t>Results.</w:t>
      </w:r>
      <w:r w:rsidRPr="00B669B1">
        <w:rPr>
          <w:sz w:val="22"/>
          <w:szCs w:val="22"/>
        </w:rPr>
        <w:t xml:space="preserve"> Tree-based models (Random Forest, </w:t>
      </w:r>
      <w:proofErr w:type="spellStart"/>
      <w:r w:rsidRPr="00B669B1">
        <w:rPr>
          <w:sz w:val="22"/>
          <w:szCs w:val="22"/>
        </w:rPr>
        <w:t>XGBoost</w:t>
      </w:r>
      <w:proofErr w:type="spellEnd"/>
      <w:r w:rsidRPr="00B669B1">
        <w:rPr>
          <w:sz w:val="22"/>
          <w:szCs w:val="22"/>
        </w:rPr>
        <w:t xml:space="preserve">) outperformed seven other algorithms, achieving R² values of 0.90 (US, 28-day Random Forest), 0.63 (UK, 28-day Random Forest), and 0.84 (South Korea, 28-day </w:t>
      </w:r>
      <w:proofErr w:type="spellStart"/>
      <w:r w:rsidRPr="00B669B1">
        <w:rPr>
          <w:sz w:val="22"/>
          <w:szCs w:val="22"/>
        </w:rPr>
        <w:t>XGBoost</w:t>
      </w:r>
      <w:proofErr w:type="spellEnd"/>
      <w:r w:rsidRPr="00B669B1">
        <w:rPr>
          <w:sz w:val="22"/>
          <w:szCs w:val="22"/>
        </w:rPr>
        <w:t>). TTD predictions yielded median absolute errors of approximately 7 days, with optimal input windows of 16 days (UK), 21 days (US), and 25 days (South Korea).</w:t>
      </w:r>
    </w:p>
    <w:p w14:paraId="17643D0F" w14:textId="77777777" w:rsidR="00B669B1" w:rsidRPr="00B669B1" w:rsidRDefault="00B669B1" w:rsidP="00B669B1">
      <w:pPr>
        <w:pStyle w:val="NormalWeb"/>
        <w:spacing w:before="0" w:beforeAutospacing="0" w:after="0" w:afterAutospacing="0"/>
        <w:contextualSpacing/>
        <w:rPr>
          <w:rFonts w:eastAsiaTheme="minorEastAsia"/>
          <w:sz w:val="22"/>
          <w:szCs w:val="22"/>
          <w:lang w:eastAsia="ko-KR"/>
        </w:rPr>
      </w:pPr>
    </w:p>
    <w:p w14:paraId="7188A310" w14:textId="77777777" w:rsidR="00B669B1" w:rsidRPr="00B669B1" w:rsidRDefault="00B669B1" w:rsidP="00B669B1">
      <w:pPr>
        <w:pStyle w:val="NormalWeb"/>
        <w:spacing w:before="0" w:beforeAutospacing="0" w:after="0" w:afterAutospacing="0"/>
        <w:contextualSpacing/>
        <w:rPr>
          <w:sz w:val="22"/>
          <w:szCs w:val="22"/>
        </w:rPr>
      </w:pPr>
      <w:r w:rsidRPr="00B669B1">
        <w:rPr>
          <w:rStyle w:val="Strong"/>
          <w:rFonts w:eastAsiaTheme="majorEastAsia"/>
          <w:sz w:val="22"/>
          <w:szCs w:val="22"/>
        </w:rPr>
        <w:t>Conclusion.</w:t>
      </w:r>
      <w:r w:rsidRPr="00B669B1">
        <w:rPr>
          <w:sz w:val="22"/>
          <w:szCs w:val="22"/>
        </w:rPr>
        <w:t xml:space="preserve"> This framework enables public health authorities to identify </w:t>
      </w:r>
      <w:proofErr w:type="gramStart"/>
      <w:r w:rsidRPr="00B669B1">
        <w:rPr>
          <w:sz w:val="22"/>
          <w:szCs w:val="22"/>
        </w:rPr>
        <w:t>dominant</w:t>
      </w:r>
      <w:proofErr w:type="gramEnd"/>
      <w:r w:rsidRPr="00B669B1">
        <w:rPr>
          <w:sz w:val="22"/>
          <w:szCs w:val="22"/>
        </w:rPr>
        <w:t xml:space="preserve"> SARS-CoV-2 variants approximately one month in advance and determine optimal surveillance windows for reliable TTD estimates. By facilitating proactive resource allocation and risk communication, it enhances pandemic preparedness and offers potential applications for broader respiratory pathogen surveillance.</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D079E1">
      <w:pPr>
        <w:pStyle w:val="BodyText"/>
        <w:kinsoku w:val="0"/>
        <w:overflowPunct w:val="0"/>
        <w:spacing w:line="276" w:lineRule="auto"/>
        <w:ind w:left="0"/>
        <w:jc w:val="both"/>
        <w:rPr>
          <w:rFonts w:eastAsiaTheme="minorEastAsia"/>
          <w:color w:val="000000"/>
          <w:sz w:val="22"/>
          <w:szCs w:val="22"/>
          <w:lang w:eastAsia="ko-KR"/>
        </w:rPr>
      </w:pPr>
    </w:p>
    <w:p w14:paraId="2CB8AAD6" w14:textId="77777777" w:rsidR="00EC5EF3" w:rsidRDefault="00EC5EF3" w:rsidP="00EC5EF3">
      <w:pPr>
        <w:pStyle w:val="NormalWeb"/>
        <w:rPr>
          <w:lang w:eastAsia="ko-KR"/>
        </w:rPr>
      </w:pPr>
      <w:r>
        <w:t>The surveillance of SARS-CoV-2 variants remains a critical priority for global health organizations like the Centers for Disease Control and Prevention (CDC) and the World Health Organization (WHO) to enhance pandemic preparedness. Despite experiencing multiple waves of infections across most countries, identifying variants likely to drive new waves in a timely manner remains a significant challenge. This study leverages over 9.0 million SARS-CoV-2 genetic sequences from 30 countries to develop an innovative machine-learning-based approach for predicting the spread of emerging variants. By quantitatively characterizing temporal patterns and genetic attributes of infectious variants, the model achieves robust predictive power, detecting potentially dominant variants within 1 to 2 weeks of their initial identification. Enhanced genomic surveillance provides the foundation for early warning systems to assess whether a newly detected variant will become widely circulating in a specific region, enabling proactive public health responses.</w:t>
      </w:r>
    </w:p>
    <w:p w14:paraId="437EAE41" w14:textId="77777777" w:rsidR="00EC5EF3" w:rsidRDefault="00EC5EF3" w:rsidP="00EC5EF3">
      <w:pPr>
        <w:pStyle w:val="NormalWeb"/>
      </w:pPr>
      <w:r>
        <w:t>The SARS-CoV-2 pandemic has offered a unique opportunity to study viral evolution and competition in real time, yielding insights applicable to broader respiratory pathogen surveillance. Variants have exhibited distinct patterns of emergence, dominance, and replacement, creating a natural experiment in viral ecological succession. Understanding early indicators that predict a variant’s dominance has profound implications for public health, including resource allocation, vaccination strategies, and healthcare system preparedness. While the CDC currently relies on short-term predictions of variant proportions (2 to 3 weeks ahead), this study introduces a longer-term predictive framework. By analyzing early growth characteristics before a variant reaches significant prevalence, the model forecasts its eventual dominance and persistence, enabling proactive rather than reactive interventions.</w:t>
      </w:r>
    </w:p>
    <w:p w14:paraId="6DEFDDA2" w14:textId="77777777" w:rsidR="00EC5EF3" w:rsidRDefault="00EC5EF3" w:rsidP="00EC5EF3">
      <w:pPr>
        <w:pStyle w:val="NormalWeb"/>
      </w:pPr>
      <w:r>
        <w:lastRenderedPageBreak/>
        <w:t>Using comprehensive genomic data from the Global Initiative on Sharing All Influenza Data (GISAID) repository, this study focuses on SARS-CoV-2 lineage dynamics across 30 high-burden countries from January 2020 to May 2024. Functional data analysis is employed to model the relationship between early growth rates and subsequent dominance patterns, evaluating both the maximum share a variant achieves and the duration of its epidemic wave. The machine-learning-enabled framework integrates data from multiple sources, including the Pango lineage nomenclature and over 9.0 million genetic sequences, to provide a descriptive analysis of temporal patterns within and between infection waves. This approach highlights the interplay between circulating variants and their genetic diversity, forming the basis for early detection of variants’ spread trajectories in each country.</w:t>
      </w:r>
    </w:p>
    <w:p w14:paraId="261690E1" w14:textId="77777777" w:rsidR="00EC5EF3" w:rsidRDefault="00EC5EF3" w:rsidP="00EC5EF3">
      <w:pPr>
        <w:pStyle w:val="NormalWeb"/>
      </w:pPr>
      <w:r>
        <w:t>The predictive model’s utility extends beyond SARS-CoV-2, offering potential applications for broader respiratory infection surveillance. By identifying early growth rate patterns that signal dominant variants, public health authorities can anticipate which pathogens—such as influenza, respiratory syncytial virus, or novel coronaviruses—may dominate in future seasonal waves. This capability enables more efficient resource allocation, targeted vaccination campaigns, and optimized public health messaging. By transforming epidemic intelligence and preparedness infrastructure, this data-driven approach represents a significant advancement in mitigating the impact of both seasonal and emerging respiratory infections, paving the way for more resilient public health systems.</w:t>
      </w:r>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51728D40" w14:textId="03B0369C" w:rsidR="001E3485" w:rsidRPr="009116A9" w:rsidRDefault="001E3485" w:rsidP="001E3485">
      <w:pPr>
        <w:pStyle w:val="BodyText"/>
        <w:kinsoku w:val="0"/>
        <w:overflowPunct w:val="0"/>
        <w:spacing w:line="276" w:lineRule="auto"/>
        <w:ind w:left="0"/>
        <w:jc w:val="both"/>
        <w:rPr>
          <w:rFonts w:eastAsiaTheme="minorEastAsia"/>
          <w:b/>
          <w:bCs/>
          <w:color w:val="FF0000"/>
          <w:sz w:val="22"/>
          <w:szCs w:val="22"/>
          <w:lang w:eastAsia="ko-KR"/>
        </w:rPr>
      </w:pPr>
      <w:r>
        <w:rPr>
          <w:rFonts w:eastAsiaTheme="minorEastAsia" w:hint="eastAsia"/>
          <w:b/>
          <w:bCs/>
          <w:color w:val="000000" w:themeColor="text1"/>
          <w:lang w:eastAsia="ko-KR"/>
        </w:rPr>
        <w:t xml:space="preserve">Data. </w:t>
      </w:r>
      <w:r w:rsidRPr="009116A9">
        <w:rPr>
          <w:color w:val="FF0000"/>
          <w:sz w:val="22"/>
          <w:szCs w:val="22"/>
        </w:rPr>
        <w:t xml:space="preserve">This study focuses on 30 countries that have reported the highest number of SARS-CoV-2 genetic sequences throughout 2022 March 19. Among these countries, the United States has the highest number with 2.9 million reported sequences, and Luxembourg has the smallest number with 25,000 reported sequences. Overall, these </w:t>
      </w:r>
      <w:r w:rsidR="00EC5EF3">
        <w:rPr>
          <w:rFonts w:eastAsiaTheme="minorEastAsia" w:hint="eastAsia"/>
          <w:color w:val="FF0000"/>
          <w:sz w:val="22"/>
          <w:szCs w:val="22"/>
          <w:lang w:eastAsia="ko-KR"/>
        </w:rPr>
        <w:t>15</w:t>
      </w:r>
      <w:r w:rsidRPr="009116A9">
        <w:rPr>
          <w:color w:val="FF0000"/>
          <w:sz w:val="22"/>
          <w:szCs w:val="22"/>
        </w:rPr>
        <w:t xml:space="preserve"> countries capture 9.0 million of total 9.5 million genetic sequences reported in GISAID (1) since the beginning of the pandemic. The Pango lineage is commonly used by the WHO, CDC, and other public health agencies in Europe to classify variants and their evolution (20). Following this nomenclature, by 2022 March 19, there are 1,151 distinct variants consistently identified in the countries under study, with a median of 72 (25% quantile [q1]: 57, 75% quantile [q3]: 121) detected variants per country since the beginning of the pandemic (see Table S1for the count of variants in every country).</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lastRenderedPageBreak/>
        <w:drawing>
          <wp:inline distT="0" distB="0" distL="0" distR="0" wp14:anchorId="5EA9D70A" wp14:editId="5B95048B">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w:t>
      </w:r>
      <w:r w:rsidRPr="00D50964">
        <w:rPr>
          <w:sz w:val="22"/>
          <w:szCs w:val="22"/>
          <w:lang w:eastAsia="zh-CN"/>
        </w:rPr>
        <w:lastRenderedPageBreak/>
        <w:t>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0F71D428" w:rsidR="007C32E6" w:rsidRDefault="00DC0B3C" w:rsidP="0062317D">
      <w:pPr>
        <w:pStyle w:val="BodyText"/>
        <w:spacing w:line="276" w:lineRule="auto"/>
        <w:jc w:val="both"/>
        <w:rPr>
          <w:sz w:val="22"/>
          <w:szCs w:val="22"/>
          <w:lang w:eastAsia="zh-CN"/>
        </w:rPr>
      </w:pPr>
      <w:r w:rsidRPr="00DC0B3C">
        <w:rPr>
          <w:sz w:val="22"/>
          <w:szCs w:val="22"/>
          <w:lang w:eastAsia="zh-CN"/>
        </w:rPr>
        <w:t xml:space="preserve">Our two‐stage modeling framework proved highly effective at forecasting both a variant’s eventual market </w:t>
      </w:r>
      <w:r w:rsidRPr="00DC0B3C">
        <w:rPr>
          <w:sz w:val="22"/>
          <w:szCs w:val="22"/>
          <w:lang w:eastAsia="zh-CN"/>
        </w:rPr>
        <w:lastRenderedPageBreak/>
        <w:t>share and its takeover timing. By fitting country‐specific logistic‐growth curves to early domestic‐share data, we predicted each variant’s peak prevalence with mean absolute errors below 5 %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From each variant’s first N days of share data, we derive ten summary features capturing its early growth 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7C287D">
      <w:pPr>
        <w:pStyle w:val="BodyText"/>
        <w:spacing w:line="276" w:lineRule="auto"/>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w:t>
      </w:r>
      <w:proofErr w:type="spellStart"/>
      <w:r w:rsidRPr="00243C06">
        <w:rPr>
          <w:sz w:val="22"/>
          <w:szCs w:val="22"/>
          <w:lang w:eastAsia="zh-CN"/>
        </w:rPr>
        <w:t>XGBoost</w:t>
      </w:r>
      <w:proofErr w:type="spellEnd"/>
      <w:r w:rsidRPr="00243C06">
        <w:rPr>
          <w:sz w:val="22"/>
          <w:szCs w:val="22"/>
          <w:lang w:eastAsia="zh-CN"/>
        </w:rPr>
        <w:t xml:space="preserve">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w:t>
      </w:r>
      <w:proofErr w:type="spellStart"/>
      <w:r w:rsidRPr="00243C06">
        <w:rPr>
          <w:sz w:val="22"/>
          <w:szCs w:val="22"/>
          <w:lang w:eastAsia="zh-CN"/>
        </w:rPr>
        <w:t>LightGBM</w:t>
      </w:r>
      <w:proofErr w:type="spellEnd"/>
      <w:r w:rsidRPr="00243C06">
        <w:rPr>
          <w:sz w:val="22"/>
          <w:szCs w:val="22"/>
          <w:lang w:eastAsia="zh-CN"/>
        </w:rPr>
        <w:t xml:space="preserve">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 xml:space="preserve">and penalized regressions (Ridge, Lasso, </w:t>
      </w:r>
      <w:proofErr w:type="spellStart"/>
      <w:r w:rsidRPr="00243C06">
        <w:rPr>
          <w:sz w:val="22"/>
          <w:szCs w:val="22"/>
          <w:lang w:eastAsia="zh-CN"/>
        </w:rPr>
        <w:t>ElasticNet</w:t>
      </w:r>
      <w:proofErr w:type="spellEnd"/>
      <w:r w:rsidRPr="00243C06">
        <w:rPr>
          <w:sz w:val="22"/>
          <w:szCs w:val="22"/>
          <w:lang w:eastAsia="zh-CN"/>
        </w:rPr>
        <w: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7C287D">
      <w:pPr>
        <w:pStyle w:val="BodyText"/>
        <w:spacing w:line="276" w:lineRule="auto"/>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580117">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w:t>
      </w:r>
      <w:r w:rsidRPr="00967612">
        <w:rPr>
          <w:sz w:val="22"/>
          <w:szCs w:val="22"/>
          <w:lang w:eastAsia="zh-CN"/>
        </w:rPr>
        <w:lastRenderedPageBreak/>
        <w:t xml:space="preserve">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B30C89">
        <w:trPr>
          <w:trHeight w:val="100"/>
        </w:trPr>
        <w:tc>
          <w:tcPr>
            <w:tcW w:w="1300" w:type="dxa"/>
            <w:tcBorders>
              <w:top w:val="nil"/>
              <w:left w:val="nil"/>
              <w:bottom w:val="nil"/>
              <w:right w:val="nil"/>
            </w:tcBorders>
            <w:shd w:val="clear" w:color="auto" w:fill="auto"/>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shd w:val="clear" w:color="auto" w:fill="auto"/>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shd w:val="clear" w:color="auto" w:fill="auto"/>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shd w:val="clear" w:color="auto" w:fill="auto"/>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B30C89">
        <w:rPr>
          <w:rFonts w:eastAsiaTheme="minorEastAsia"/>
          <w:sz w:val="22"/>
          <w:szCs w:val="22"/>
          <w:lang w:eastAsia="ko-KR"/>
        </w:rPr>
        <w:t>XGBoost</w:t>
      </w:r>
      <w:proofErr w:type="spellEnd"/>
      <w:r w:rsidRPr="00B30C89">
        <w:rPr>
          <w:rFonts w:eastAsiaTheme="minorEastAsia"/>
          <w:sz w:val="22"/>
          <w:szCs w:val="22"/>
          <w:lang w:eastAsia="ko-KR"/>
        </w:rPr>
        <w:t xml:space="preserve">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proofErr w:type="gramStart"/>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proofErr w:type="gramEnd"/>
      <w:r w:rsidRPr="000C7544">
        <w:rPr>
          <w:rFonts w:eastAsiaTheme="minorEastAsia"/>
          <w:sz w:val="22"/>
          <w:szCs w:val="22"/>
          <w:lang w:eastAsia="ko-KR"/>
        </w:rPr>
        <w:t xml:space="preserve"> variants (e.g., B.1 and Q/B.1.1.7) and recent Omicron </w:t>
      </w:r>
      <w:proofErr w:type="spellStart"/>
      <w:r w:rsidRPr="000C7544">
        <w:rPr>
          <w:rFonts w:eastAsiaTheme="minorEastAsia"/>
          <w:sz w:val="22"/>
          <w:szCs w:val="22"/>
          <w:lang w:eastAsia="ko-KR"/>
        </w:rPr>
        <w:t>sublineages</w:t>
      </w:r>
      <w:proofErr w:type="spellEnd"/>
      <w:r w:rsidRPr="000C7544">
        <w:rPr>
          <w:rFonts w:eastAsiaTheme="minorEastAsia"/>
          <w:sz w:val="22"/>
          <w:szCs w:val="22"/>
          <w:lang w:eastAsia="ko-KR"/>
        </w:rPr>
        <w:t xml:space="preserve"> (e.g., JN.1 and XBB.1.5) were the hardest to predict, with MAE values exceeding 20%, indicating notable instability during those periods. By contrast, in South Korea, </w:t>
      </w:r>
      <w:proofErr w:type="spellStart"/>
      <w:r w:rsidRPr="000C7544">
        <w:rPr>
          <w:rFonts w:eastAsiaTheme="minorEastAsia"/>
          <w:sz w:val="22"/>
          <w:szCs w:val="22"/>
          <w:lang w:eastAsia="ko-KR"/>
        </w:rPr>
        <w:t>XGBoost</w:t>
      </w:r>
      <w:proofErr w:type="spellEnd"/>
      <w:r w:rsidRPr="000C7544">
        <w:rPr>
          <w:rFonts w:eastAsiaTheme="minorEastAsia"/>
          <w:sz w:val="22"/>
          <w:szCs w:val="22"/>
          <w:lang w:eastAsia="ko-KR"/>
        </w:rPr>
        <w:t xml:space="preserve">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3EE7269" w:rsidR="00D25F77" w:rsidRDefault="00D25F7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ko-KR"/>
          <w14:ligatures w14:val="standardContextual"/>
        </w:rPr>
        <w:lastRenderedPageBreak/>
        <w:drawing>
          <wp:inline distT="0" distB="0" distL="0" distR="0" wp14:anchorId="04ADC064" wp14:editId="5D81E758">
            <wp:extent cx="5156200" cy="3800252"/>
            <wp:effectExtent l="0" t="0" r="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6855" cy="3808105"/>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r w:rsidRPr="00860F1C">
        <w:rPr>
          <w:rFonts w:eastAsiaTheme="minorEastAsia"/>
          <w:sz w:val="22"/>
          <w:szCs w:val="22"/>
          <w:lang w:eastAsia="ko-KR"/>
        </w:rPr>
        <w:t xml:space="preserve">Figure 3. Absolute prediction errors by variant wave start date for each country (rows) and model (columns). Black dots are normal errors; red triangles mark outliers above the MAE threshold (red line). Vertical dashed lines denote successive waves. Models shown: </w:t>
      </w:r>
      <w:proofErr w:type="spellStart"/>
      <w:r w:rsidRPr="00860F1C">
        <w:rPr>
          <w:rFonts w:eastAsiaTheme="minorEastAsia"/>
          <w:sz w:val="22"/>
          <w:szCs w:val="22"/>
          <w:lang w:eastAsia="ko-KR"/>
        </w:rPr>
        <w:t>LightGBM</w:t>
      </w:r>
      <w:proofErr w:type="spellEnd"/>
      <w:r w:rsidRPr="00860F1C">
        <w:rPr>
          <w:rFonts w:eastAsiaTheme="minorEastAsia"/>
          <w:sz w:val="22"/>
          <w:szCs w:val="22"/>
          <w:lang w:eastAsia="ko-KR"/>
        </w:rPr>
        <w:t xml:space="preserve">, Random Forest, and </w:t>
      </w:r>
      <w:proofErr w:type="spellStart"/>
      <w:r w:rsidRPr="00860F1C">
        <w:rPr>
          <w:rFonts w:eastAsiaTheme="minorEastAsia"/>
          <w:sz w:val="22"/>
          <w:szCs w:val="22"/>
          <w:lang w:eastAsia="ko-KR"/>
        </w:rPr>
        <w:t>XGBoost</w:t>
      </w:r>
      <w:proofErr w:type="spellEnd"/>
      <w:r w:rsidRPr="00860F1C">
        <w:rPr>
          <w:rFonts w:eastAsiaTheme="minorEastAsia"/>
          <w:sz w:val="22"/>
          <w:szCs w:val="22"/>
          <w:lang w:eastAsia="ko-KR"/>
        </w:rPr>
        <w:t xml:space="preserve"> for South Korea (top), the United Kingdom (middle), and the United States (bottom).</w:t>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lastRenderedPageBreak/>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Default="006E1488" w:rsidP="009C0DFF">
      <w:pPr>
        <w:pStyle w:val="BodyText"/>
        <w:spacing w:line="276" w:lineRule="auto"/>
        <w:ind w:left="0"/>
        <w:jc w:val="both"/>
        <w:rPr>
          <w:rFonts w:eastAsiaTheme="minorEastAsia"/>
          <w:b/>
          <w:bCs/>
          <w:sz w:val="22"/>
          <w:szCs w:val="22"/>
          <w:lang w:eastAsia="ko-KR"/>
        </w:rPr>
      </w:pPr>
      <w:r>
        <w:rPr>
          <w:b/>
          <w:bCs/>
          <w:sz w:val="22"/>
          <w:szCs w:val="22"/>
        </w:rPr>
        <w:lastRenderedPageBreak/>
        <w:t>Discussion</w:t>
      </w:r>
    </w:p>
    <w:p w14:paraId="70C8255A" w14:textId="77777777" w:rsidR="004D48EF" w:rsidRPr="004D48EF" w:rsidRDefault="004D48EF" w:rsidP="009C0DFF">
      <w:pPr>
        <w:pStyle w:val="BodyText"/>
        <w:spacing w:line="276" w:lineRule="auto"/>
        <w:ind w:left="0"/>
        <w:jc w:val="both"/>
        <w:rPr>
          <w:rFonts w:eastAsiaTheme="minorEastAsia" w:hint="eastAsia"/>
          <w:b/>
          <w:bCs/>
          <w:sz w:val="22"/>
          <w:szCs w:val="22"/>
          <w:lang w:eastAsia="ko-KR"/>
        </w:rPr>
      </w:pPr>
    </w:p>
    <w:p w14:paraId="13532CB9" w14:textId="6309E50C" w:rsidR="009C0DFF" w:rsidRPr="00B374F0" w:rsidRDefault="00AF4886" w:rsidP="00372EFC">
      <w:pPr>
        <w:pStyle w:val="BodyText"/>
        <w:spacing w:line="276" w:lineRule="auto"/>
        <w:ind w:left="0"/>
        <w:jc w:val="both"/>
        <w:rPr>
          <w:sz w:val="22"/>
          <w:szCs w:val="22"/>
          <w:lang w:eastAsia="zh-CN"/>
        </w:rPr>
      </w:pPr>
      <w:r w:rsidRPr="00B374F0">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Pr>
          <w:sz w:val="22"/>
          <w:szCs w:val="22"/>
          <w:lang w:eastAsia="zh-CN"/>
        </w:rPr>
        <w:fldChar w:fldCharType="begin"/>
      </w:r>
      <w:r w:rsidR="004540D4">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Pr>
          <w:sz w:val="22"/>
          <w:szCs w:val="22"/>
          <w:lang w:eastAsia="zh-CN"/>
        </w:rPr>
        <w:fldChar w:fldCharType="separate"/>
      </w:r>
      <w:r w:rsidR="004540D4">
        <w:rPr>
          <w:noProof/>
          <w:sz w:val="22"/>
          <w:szCs w:val="22"/>
          <w:lang w:eastAsia="zh-CN"/>
        </w:rPr>
        <w:t>[20], [21]</w:t>
      </w:r>
      <w:r w:rsidR="00EE2561">
        <w:rPr>
          <w:sz w:val="22"/>
          <w:szCs w:val="22"/>
          <w:lang w:eastAsia="zh-CN"/>
        </w:rPr>
        <w:fldChar w:fldCharType="end"/>
      </w:r>
      <w:r w:rsidRPr="00B374F0">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Pr>
          <w:sz w:val="22"/>
          <w:szCs w:val="22"/>
          <w:lang w:eastAsia="zh-CN"/>
        </w:rPr>
        <w:fldChar w:fldCharType="separate"/>
      </w:r>
      <w:r w:rsidR="0099248C">
        <w:rPr>
          <w:noProof/>
          <w:sz w:val="22"/>
          <w:szCs w:val="22"/>
          <w:lang w:eastAsia="zh-CN"/>
        </w:rPr>
        <w:t>[22]</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B374F0">
        <w:rPr>
          <w:sz w:val="22"/>
          <w:szCs w:val="22"/>
          <w:lang w:eastAsia="zh-CN"/>
        </w:rPr>
        <w:t xml:space="preserve"> </w:t>
      </w:r>
    </w:p>
    <w:p w14:paraId="57EB4844" w14:textId="77777777" w:rsidR="002C36C5" w:rsidRPr="00B374F0" w:rsidRDefault="002C36C5" w:rsidP="00372EFC">
      <w:pPr>
        <w:pStyle w:val="BodyText"/>
        <w:spacing w:line="276" w:lineRule="auto"/>
        <w:ind w:left="0"/>
        <w:jc w:val="both"/>
        <w:rPr>
          <w:sz w:val="22"/>
          <w:szCs w:val="22"/>
          <w:lang w:eastAsia="zh-CN"/>
        </w:rPr>
      </w:pPr>
    </w:p>
    <w:p w14:paraId="428D3A94" w14:textId="3E6182D4" w:rsidR="002C36C5" w:rsidRPr="00B374F0" w:rsidRDefault="002C36C5" w:rsidP="00372EFC">
      <w:pPr>
        <w:pStyle w:val="BodyText"/>
        <w:spacing w:line="276" w:lineRule="auto"/>
        <w:ind w:left="0"/>
        <w:jc w:val="both"/>
        <w:rPr>
          <w:sz w:val="22"/>
          <w:szCs w:val="22"/>
          <w:lang w:eastAsia="zh-CN"/>
        </w:rPr>
      </w:pPr>
      <w:r w:rsidRPr="00B374F0">
        <w:rPr>
          <w:sz w:val="22"/>
          <w:szCs w:val="22"/>
          <w:lang w:eastAsia="zh-CN"/>
        </w:rPr>
        <w:t xml:space="preserve">Our systematic model comparison also demonstrated that tree-based methods—namely Random Forest and </w:t>
      </w:r>
      <w:proofErr w:type="spellStart"/>
      <w:r w:rsidRPr="00B374F0">
        <w:rPr>
          <w:sz w:val="22"/>
          <w:szCs w:val="22"/>
          <w:lang w:eastAsia="zh-CN"/>
        </w:rPr>
        <w:t>XGBoost</w:t>
      </w:r>
      <w:proofErr w:type="spellEnd"/>
      <w:r w:rsidRPr="00B374F0">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B374F0">
        <w:rPr>
          <w:sz w:val="22"/>
          <w:szCs w:val="22"/>
          <w:lang w:eastAsia="zh-CN"/>
        </w:rPr>
        <w:t>ten-summary</w:t>
      </w:r>
      <w:r w:rsidRPr="00B374F0">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Pr>
          <w:sz w:val="22"/>
          <w:szCs w:val="22"/>
          <w:lang w:eastAsia="zh-CN"/>
        </w:rPr>
        <w:fldChar w:fldCharType="separate"/>
      </w:r>
      <w:r w:rsidR="0099248C">
        <w:rPr>
          <w:noProof/>
          <w:sz w:val="22"/>
          <w:szCs w:val="22"/>
          <w:lang w:eastAsia="zh-CN"/>
        </w:rPr>
        <w:t>[23]</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B374F0" w:rsidRDefault="00E255D2" w:rsidP="00372EFC">
      <w:pPr>
        <w:pStyle w:val="BodyText"/>
        <w:spacing w:line="276" w:lineRule="auto"/>
        <w:ind w:left="0"/>
        <w:jc w:val="both"/>
        <w:rPr>
          <w:sz w:val="22"/>
          <w:szCs w:val="22"/>
          <w:lang w:eastAsia="zh-CN"/>
        </w:rPr>
      </w:pPr>
    </w:p>
    <w:p w14:paraId="684AA85E" w14:textId="220CE069" w:rsidR="00E255D2" w:rsidRPr="00B374F0" w:rsidRDefault="00640949" w:rsidP="00372EFC">
      <w:pPr>
        <w:pStyle w:val="BodyText"/>
        <w:spacing w:line="276" w:lineRule="auto"/>
        <w:ind w:left="0"/>
        <w:jc w:val="both"/>
        <w:rPr>
          <w:sz w:val="22"/>
          <w:szCs w:val="22"/>
          <w:lang w:eastAsia="zh-CN"/>
        </w:rPr>
      </w:pPr>
      <w:r w:rsidRPr="00B374F0">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Pr>
          <w:sz w:val="22"/>
          <w:szCs w:val="22"/>
          <w:lang w:eastAsia="zh-CN"/>
        </w:rPr>
        <w:fldChar w:fldCharType="begin"/>
      </w:r>
      <w:r w:rsidR="004540D4">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Pr>
          <w:sz w:val="22"/>
          <w:szCs w:val="22"/>
          <w:lang w:eastAsia="zh-CN"/>
        </w:rPr>
        <w:fldChar w:fldCharType="separate"/>
      </w:r>
      <w:r w:rsidR="004540D4">
        <w:rPr>
          <w:noProof/>
          <w:sz w:val="22"/>
          <w:szCs w:val="22"/>
          <w:lang w:eastAsia="zh-CN"/>
        </w:rPr>
        <w:t>[24], [25]</w:t>
      </w:r>
      <w:r w:rsidR="0099248C">
        <w:rPr>
          <w:sz w:val="22"/>
          <w:szCs w:val="22"/>
          <w:lang w:eastAsia="zh-CN"/>
        </w:rPr>
        <w:fldChar w:fldCharType="end"/>
      </w:r>
      <w:r w:rsidRPr="00B374F0">
        <w:rPr>
          <w:sz w:val="22"/>
          <w:szCs w:val="22"/>
          <w:lang w:eastAsia="zh-CN"/>
        </w:rPr>
        <w:t>.  In the SARS-CoV-2 context, Volz et al.</w:t>
      </w:r>
      <w:r w:rsidR="0099248C">
        <w:rPr>
          <w:sz w:val="22"/>
          <w:szCs w:val="22"/>
          <w:lang w:eastAsia="zh-CN"/>
        </w:rPr>
        <w:t xml:space="preserve"> </w:t>
      </w:r>
      <w:r w:rsidR="0099248C">
        <w:rPr>
          <w:sz w:val="22"/>
          <w:szCs w:val="22"/>
          <w:lang w:eastAsia="zh-CN"/>
        </w:rPr>
        <w:fldChar w:fldCharType="begin"/>
      </w:r>
      <w:r w:rsidR="0099248C">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and Davies et al. </w:t>
      </w:r>
      <w:r w:rsidR="0099248C">
        <w:rPr>
          <w:sz w:val="22"/>
          <w:szCs w:val="22"/>
          <w:lang w:eastAsia="zh-CN"/>
        </w:rPr>
        <w:fldChar w:fldCharType="begin"/>
      </w:r>
      <w:r w:rsidR="0099248C">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Pr>
          <w:sz w:val="22"/>
          <w:szCs w:val="22"/>
          <w:lang w:eastAsia="zh-CN"/>
        </w:rPr>
        <w:fldChar w:fldCharType="separate"/>
      </w:r>
      <w:r w:rsidR="0099248C">
        <w:rPr>
          <w:noProof/>
          <w:sz w:val="22"/>
          <w:szCs w:val="22"/>
          <w:lang w:eastAsia="zh-CN"/>
        </w:rPr>
        <w:t>[8]</w:t>
      </w:r>
      <w:r w:rsidR="0099248C">
        <w:rPr>
          <w:sz w:val="22"/>
          <w:szCs w:val="22"/>
          <w:lang w:eastAsia="zh-CN"/>
        </w:rPr>
        <w:fldChar w:fldCharType="end"/>
      </w:r>
      <w:r w:rsidRPr="00B374F0">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B374F0" w:rsidRDefault="00640949" w:rsidP="00372EFC">
      <w:pPr>
        <w:pStyle w:val="BodyText"/>
        <w:spacing w:line="276" w:lineRule="auto"/>
        <w:ind w:left="0"/>
        <w:jc w:val="both"/>
        <w:rPr>
          <w:sz w:val="22"/>
          <w:szCs w:val="22"/>
          <w:lang w:eastAsia="zh-CN"/>
        </w:rPr>
      </w:pPr>
    </w:p>
    <w:p w14:paraId="32ABB5FE" w14:textId="42D93682" w:rsidR="005646E8" w:rsidRDefault="005646E8" w:rsidP="00372EFC">
      <w:pPr>
        <w:pStyle w:val="BodyText"/>
        <w:spacing w:line="276" w:lineRule="auto"/>
        <w:ind w:left="0"/>
        <w:jc w:val="both"/>
        <w:rPr>
          <w:rFonts w:eastAsiaTheme="minorEastAsia"/>
          <w:sz w:val="22"/>
          <w:szCs w:val="22"/>
          <w:lang w:eastAsia="ko-KR"/>
        </w:rPr>
      </w:pPr>
      <w:r w:rsidRPr="00B374F0">
        <w:rPr>
          <w:sz w:val="22"/>
          <w:szCs w:val="22"/>
          <w:lang w:eastAsia="zh-CN"/>
        </w:rPr>
        <w:t xml:space="preserve">Additional studies corroborate how surveillance intensity and sampling strategies influence early‐trajectory stability.  For example, the COVID‐19 Genomics UK (COG-UK) Consortium’s analyses demonstrated that rapid, high‐density sequencing in England captured fine‐scale shifts between Alpha and Delta variants, yielding volatile prevalence estimates in the first two weeks that only stabilized after three to four weeks of data accumulation </w:t>
      </w:r>
      <w:r w:rsidR="0099248C">
        <w:rPr>
          <w:sz w:val="22"/>
          <w:szCs w:val="22"/>
          <w:lang w:eastAsia="zh-CN"/>
        </w:rPr>
        <w:fldChar w:fldCharType="begin"/>
      </w:r>
      <w:r w:rsidR="0099248C">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Pr>
          <w:sz w:val="22"/>
          <w:szCs w:val="22"/>
          <w:lang w:eastAsia="zh-CN"/>
        </w:rPr>
        <w:fldChar w:fldCharType="separate"/>
      </w:r>
      <w:r w:rsidR="0099248C">
        <w:rPr>
          <w:noProof/>
          <w:sz w:val="22"/>
          <w:szCs w:val="22"/>
          <w:lang w:eastAsia="zh-CN"/>
        </w:rPr>
        <w:t>[1]</w:t>
      </w:r>
      <w:r w:rsidR="0099248C">
        <w:rPr>
          <w:sz w:val="22"/>
          <w:szCs w:val="22"/>
          <w:lang w:eastAsia="zh-CN"/>
        </w:rPr>
        <w:fldChar w:fldCharType="end"/>
      </w:r>
      <w:r w:rsidR="0099248C">
        <w:rPr>
          <w:sz w:val="22"/>
          <w:szCs w:val="22"/>
          <w:lang w:eastAsia="zh-CN"/>
        </w:rPr>
        <w:t xml:space="preserve">. </w:t>
      </w:r>
      <w:r w:rsidRPr="00B374F0">
        <w:rPr>
          <w:sz w:val="22"/>
          <w:szCs w:val="22"/>
          <w:lang w:eastAsia="zh-CN"/>
        </w:rPr>
        <w:t>In contrast, national‐scale genomic surveys in the United States—while broader in scope—tended to smooth out local surges, enabling reliable logistic midpoints within two weeks</w:t>
      </w:r>
      <w:r w:rsidR="0099248C">
        <w:rPr>
          <w:sz w:val="22"/>
          <w:szCs w:val="22"/>
          <w:lang w:eastAsia="zh-CN"/>
        </w:rPr>
        <w:t xml:space="preserve"> </w:t>
      </w:r>
      <w:r w:rsidR="0099248C">
        <w:rPr>
          <w:sz w:val="22"/>
          <w:szCs w:val="22"/>
          <w:lang w:eastAsia="zh-CN"/>
        </w:rPr>
        <w:fldChar w:fldCharType="begin"/>
      </w:r>
      <w:r w:rsidR="004540D4">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Pr>
          <w:sz w:val="22"/>
          <w:szCs w:val="22"/>
          <w:lang w:eastAsia="zh-CN"/>
        </w:rPr>
        <w:fldChar w:fldCharType="separate"/>
      </w:r>
      <w:r w:rsidR="004540D4">
        <w:rPr>
          <w:noProof/>
          <w:sz w:val="22"/>
          <w:szCs w:val="22"/>
          <w:lang w:eastAsia="zh-CN"/>
        </w:rPr>
        <w:t>[26], [27]</w:t>
      </w:r>
      <w:r w:rsidR="0099248C">
        <w:rPr>
          <w:sz w:val="22"/>
          <w:szCs w:val="22"/>
          <w:lang w:eastAsia="zh-CN"/>
        </w:rPr>
        <w:fldChar w:fldCharType="end"/>
      </w:r>
      <w:r w:rsidR="0099248C">
        <w:rPr>
          <w:sz w:val="22"/>
          <w:szCs w:val="22"/>
          <w:lang w:eastAsia="zh-CN"/>
        </w:rPr>
        <w:t>.</w:t>
      </w:r>
      <w:r w:rsidRPr="00B374F0">
        <w:rPr>
          <w:sz w:val="22"/>
          <w:szCs w:val="22"/>
          <w:lang w:eastAsia="zh-CN"/>
        </w:rPr>
        <w:t xml:space="preserve"> Moreover, Volz et al.</w:t>
      </w:r>
      <w:r w:rsidR="0099248C">
        <w:rPr>
          <w:sz w:val="22"/>
          <w:szCs w:val="22"/>
          <w:lang w:eastAsia="zh-CN"/>
        </w:rPr>
        <w:fldChar w:fldCharType="begin"/>
      </w:r>
      <w:r w:rsidR="0099248C">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Pr>
          <w:sz w:val="22"/>
          <w:szCs w:val="22"/>
          <w:lang w:eastAsia="zh-CN"/>
        </w:rPr>
        <w:fldChar w:fldCharType="separate"/>
      </w:r>
      <w:r w:rsidR="0099248C">
        <w:rPr>
          <w:noProof/>
          <w:sz w:val="22"/>
          <w:szCs w:val="22"/>
          <w:lang w:eastAsia="zh-CN"/>
        </w:rPr>
        <w:t>[12]</w:t>
      </w:r>
      <w:r w:rsidR="0099248C">
        <w:rPr>
          <w:sz w:val="22"/>
          <w:szCs w:val="22"/>
          <w:lang w:eastAsia="zh-CN"/>
        </w:rPr>
        <w:fldChar w:fldCharType="end"/>
      </w:r>
      <w:r w:rsidRPr="00B374F0">
        <w:rPr>
          <w:sz w:val="22"/>
          <w:szCs w:val="22"/>
          <w:lang w:eastAsia="zh-CN"/>
        </w:rPr>
        <w:t xml:space="preserve"> showed that denser sampling grids reduce uncertainty in growth‐rate estimates, explaining why the U.K.’s punctuated sequencing cadence temporarily increased variance.  Together, these findings reinforce </w:t>
      </w:r>
      <w:r w:rsidRPr="00B374F0">
        <w:rPr>
          <w:sz w:val="22"/>
          <w:szCs w:val="22"/>
          <w:lang w:eastAsia="zh-CN"/>
        </w:rPr>
        <w:lastRenderedPageBreak/>
        <w:t>our observation that the U.K. requires a slightly longer early window—three weeks versus two—to average out its more jagged variant signals before achieving stable time‐to‐dominance forecasts.</w:t>
      </w:r>
      <w:r w:rsidR="00D628CF" w:rsidRPr="00B374F0">
        <w:rPr>
          <w:sz w:val="22"/>
          <w:szCs w:val="22"/>
          <w:lang w:eastAsia="zh-CN"/>
        </w:rPr>
        <w:t xml:space="preserve"> </w:t>
      </w:r>
    </w:p>
    <w:p w14:paraId="56EBB97C" w14:textId="77777777" w:rsidR="005A0381" w:rsidRDefault="005A0381" w:rsidP="00372EFC">
      <w:pPr>
        <w:pStyle w:val="BodyText"/>
        <w:spacing w:line="276" w:lineRule="auto"/>
        <w:ind w:left="0"/>
        <w:jc w:val="both"/>
        <w:rPr>
          <w:rFonts w:eastAsiaTheme="minorEastAsia"/>
          <w:sz w:val="22"/>
          <w:szCs w:val="22"/>
          <w:lang w:eastAsia="ko-KR"/>
        </w:rPr>
      </w:pPr>
    </w:p>
    <w:p w14:paraId="4DB5AFE9" w14:textId="0A2DB366" w:rsidR="005A0381" w:rsidRPr="00E54223" w:rsidRDefault="00E54223" w:rsidP="00372EFC">
      <w:pPr>
        <w:pStyle w:val="BodyText"/>
        <w:spacing w:line="276" w:lineRule="auto"/>
        <w:ind w:left="0"/>
        <w:jc w:val="both"/>
        <w:rPr>
          <w:rFonts w:eastAsiaTheme="minorEastAsia"/>
          <w:sz w:val="20"/>
          <w:szCs w:val="20"/>
          <w:lang w:eastAsia="ko-KR"/>
        </w:rPr>
      </w:pPr>
      <w:r w:rsidRPr="00E54223">
        <w:rPr>
          <w:sz w:val="22"/>
          <w:szCs w:val="22"/>
        </w:rPr>
        <w:t>Several limitations should be acknowledged in interpreting these results. First, our analysis relies heavily on the quality and representativeness of GISAID sequencing data, which varies significantly across countries and time periods, potentially introducing sampling bias that could affect the generalizability of our predictions. The requirement for sustained high-coverage sequencing (at least 100 sequences per week with four non-zero sampling days) led to the exclusion of several variant-country combinations, particularly during early pandemic periods when surveillance infrastructure was still developing. Additionally, our feature extraction approach, while systematic, may not capture all relevant epidemiological factors that influence variant dominance, such as population immunity levels, vaccination coverage, public health interventions, or cross-variant interactions that could affect competitive dynamics. The model's performance varied notably across countries, with substantially lower R² values in the United Kingdom (0.63) compared to the United States (0.90) and South Korea (0.84), suggesting that country-specific factors—including differences in surveillance strategies, population density, and social mixing patterns—may limit the universal applicability of our approach. Finally, our framework focuses primarily on domestic variant share trajectories and may not fully account for international travel patterns or importation events that could significantly alter local variant dynamics, particularly for smaller countries with high connectivity to global transportation networks.</w:t>
      </w:r>
    </w:p>
    <w:p w14:paraId="7A85CCD8" w14:textId="77777777" w:rsidR="005A0381" w:rsidRDefault="005A0381" w:rsidP="00372EFC">
      <w:pPr>
        <w:pStyle w:val="BodyText"/>
        <w:spacing w:line="276" w:lineRule="auto"/>
        <w:ind w:left="0"/>
        <w:jc w:val="both"/>
        <w:rPr>
          <w:rFonts w:eastAsiaTheme="minorEastAsia"/>
          <w:sz w:val="22"/>
          <w:szCs w:val="22"/>
          <w:lang w:eastAsia="ko-KR"/>
        </w:rPr>
      </w:pPr>
    </w:p>
    <w:p w14:paraId="0DBB0C10" w14:textId="0C761060" w:rsidR="005A0381" w:rsidRPr="00E70D17" w:rsidRDefault="005A0381" w:rsidP="00372EFC">
      <w:pPr>
        <w:pStyle w:val="BodyText"/>
        <w:spacing w:line="276" w:lineRule="auto"/>
        <w:ind w:left="0"/>
        <w:jc w:val="both"/>
        <w:rPr>
          <w:rFonts w:eastAsiaTheme="minorEastAsia"/>
          <w:b/>
          <w:bCs/>
          <w:sz w:val="22"/>
          <w:szCs w:val="22"/>
          <w:lang w:eastAsia="ko-KR"/>
        </w:rPr>
      </w:pPr>
      <w:r w:rsidRPr="00E70D17">
        <w:rPr>
          <w:rFonts w:eastAsiaTheme="minorEastAsia" w:hint="eastAsia"/>
          <w:b/>
          <w:bCs/>
          <w:sz w:val="22"/>
          <w:szCs w:val="22"/>
          <w:lang w:eastAsia="ko-KR"/>
        </w:rPr>
        <w:t>Conclusion</w:t>
      </w:r>
    </w:p>
    <w:p w14:paraId="289C8C33" w14:textId="2978B3E4" w:rsidR="005A0381" w:rsidRDefault="00E70D17" w:rsidP="00372EFC">
      <w:pPr>
        <w:pStyle w:val="BodyText"/>
        <w:spacing w:line="276" w:lineRule="auto"/>
        <w:ind w:left="0"/>
        <w:jc w:val="both"/>
        <w:rPr>
          <w:rFonts w:eastAsiaTheme="minorEastAsia"/>
          <w:sz w:val="22"/>
          <w:szCs w:val="22"/>
          <w:lang w:eastAsia="ko-KR"/>
        </w:rPr>
      </w:pPr>
      <w:r w:rsidRPr="00E70D1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0.90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 xml:space="preserve">Virus </w:t>
      </w:r>
      <w:r w:rsidRPr="004540D4">
        <w:rPr>
          <w:rFonts w:eastAsiaTheme="minorEastAsia"/>
          <w:i/>
          <w:iCs/>
          <w:sz w:val="20"/>
          <w:lang w:eastAsia="ko-KR"/>
        </w:rPr>
        <w:lastRenderedPageBreak/>
        <w:t>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Pr="009D7D44" w:rsidRDefault="00B374F0" w:rsidP="004540D4">
      <w:pPr>
        <w:pStyle w:val="Bibliography"/>
        <w:rPr>
          <w:sz w:val="20"/>
          <w:szCs w:val="20"/>
          <w:lang w:eastAsia="zh-CN"/>
        </w:rPr>
      </w:pPr>
      <w:r>
        <w:rPr>
          <w:sz w:val="20"/>
          <w:szCs w:val="20"/>
          <w:lang w:eastAsia="zh-CN"/>
        </w:rPr>
        <w:fldChar w:fldCharType="end"/>
      </w:r>
    </w:p>
    <w:sectPr w:rsidR="00B374F0" w:rsidRPr="009D7D44"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901BC" w14:textId="77777777" w:rsidR="00E567CC" w:rsidRDefault="00E567CC" w:rsidP="00D3651D">
      <w:r>
        <w:separator/>
      </w:r>
    </w:p>
  </w:endnote>
  <w:endnote w:type="continuationSeparator" w:id="0">
    <w:p w14:paraId="6408B58A" w14:textId="77777777" w:rsidR="00E567CC" w:rsidRDefault="00E567CC" w:rsidP="00D3651D">
      <w:r>
        <w:continuationSeparator/>
      </w:r>
    </w:p>
  </w:endnote>
  <w:endnote w:type="continuationNotice" w:id="1">
    <w:p w14:paraId="74D2BF43" w14:textId="77777777" w:rsidR="00E567CC" w:rsidRDefault="00E567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64EC5" w14:textId="77777777" w:rsidR="00E567CC" w:rsidRDefault="00E567CC" w:rsidP="00D3651D">
      <w:r>
        <w:separator/>
      </w:r>
    </w:p>
  </w:footnote>
  <w:footnote w:type="continuationSeparator" w:id="0">
    <w:p w14:paraId="3DCAB571" w14:textId="77777777" w:rsidR="00E567CC" w:rsidRDefault="00E567CC" w:rsidP="00D3651D">
      <w:r>
        <w:continuationSeparator/>
      </w:r>
    </w:p>
  </w:footnote>
  <w:footnote w:type="continuationNotice" w:id="1">
    <w:p w14:paraId="189EF450" w14:textId="77777777" w:rsidR="00E567CC" w:rsidRDefault="00E567C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Nq4FAJ86NA0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55E9"/>
    <w:rsid w:val="00005F9C"/>
    <w:rsid w:val="00007C9A"/>
    <w:rsid w:val="00011F6A"/>
    <w:rsid w:val="00012339"/>
    <w:rsid w:val="00013595"/>
    <w:rsid w:val="0001394A"/>
    <w:rsid w:val="000153B5"/>
    <w:rsid w:val="00015853"/>
    <w:rsid w:val="00016151"/>
    <w:rsid w:val="000163E7"/>
    <w:rsid w:val="0002007F"/>
    <w:rsid w:val="0002700B"/>
    <w:rsid w:val="00031BE9"/>
    <w:rsid w:val="000327AB"/>
    <w:rsid w:val="00035343"/>
    <w:rsid w:val="0003732D"/>
    <w:rsid w:val="000403BE"/>
    <w:rsid w:val="00044391"/>
    <w:rsid w:val="000478C2"/>
    <w:rsid w:val="00047B70"/>
    <w:rsid w:val="00047BB5"/>
    <w:rsid w:val="000504BA"/>
    <w:rsid w:val="00052C70"/>
    <w:rsid w:val="00055229"/>
    <w:rsid w:val="00056424"/>
    <w:rsid w:val="00056D19"/>
    <w:rsid w:val="00056EB5"/>
    <w:rsid w:val="00060A34"/>
    <w:rsid w:val="00061552"/>
    <w:rsid w:val="00063192"/>
    <w:rsid w:val="00064590"/>
    <w:rsid w:val="00064AA8"/>
    <w:rsid w:val="00064B0A"/>
    <w:rsid w:val="00064CEB"/>
    <w:rsid w:val="00065C4D"/>
    <w:rsid w:val="0006614D"/>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3D3"/>
    <w:rsid w:val="001305B3"/>
    <w:rsid w:val="00132071"/>
    <w:rsid w:val="001329AD"/>
    <w:rsid w:val="00132FFC"/>
    <w:rsid w:val="00133223"/>
    <w:rsid w:val="001335A5"/>
    <w:rsid w:val="001363CD"/>
    <w:rsid w:val="001408C9"/>
    <w:rsid w:val="0014174E"/>
    <w:rsid w:val="00141E6F"/>
    <w:rsid w:val="00143368"/>
    <w:rsid w:val="00143948"/>
    <w:rsid w:val="00145879"/>
    <w:rsid w:val="00147C6C"/>
    <w:rsid w:val="0015016F"/>
    <w:rsid w:val="00150359"/>
    <w:rsid w:val="00150B56"/>
    <w:rsid w:val="001545F2"/>
    <w:rsid w:val="00154A6E"/>
    <w:rsid w:val="0015512C"/>
    <w:rsid w:val="001556DF"/>
    <w:rsid w:val="0015573B"/>
    <w:rsid w:val="00155A81"/>
    <w:rsid w:val="00156057"/>
    <w:rsid w:val="001562A5"/>
    <w:rsid w:val="00157DA8"/>
    <w:rsid w:val="001603D3"/>
    <w:rsid w:val="001622B9"/>
    <w:rsid w:val="00163036"/>
    <w:rsid w:val="00164B33"/>
    <w:rsid w:val="00166C1B"/>
    <w:rsid w:val="00167E91"/>
    <w:rsid w:val="001708E2"/>
    <w:rsid w:val="00171A1E"/>
    <w:rsid w:val="00171EB7"/>
    <w:rsid w:val="001724BD"/>
    <w:rsid w:val="001724C1"/>
    <w:rsid w:val="001732D0"/>
    <w:rsid w:val="001761EF"/>
    <w:rsid w:val="001779FF"/>
    <w:rsid w:val="00177DF7"/>
    <w:rsid w:val="0018035E"/>
    <w:rsid w:val="00180463"/>
    <w:rsid w:val="001823BB"/>
    <w:rsid w:val="00182C4F"/>
    <w:rsid w:val="00182DD7"/>
    <w:rsid w:val="00183555"/>
    <w:rsid w:val="001847E3"/>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E3485"/>
    <w:rsid w:val="001F14B9"/>
    <w:rsid w:val="001F1A57"/>
    <w:rsid w:val="001F2D1B"/>
    <w:rsid w:val="001F5972"/>
    <w:rsid w:val="001F5CCC"/>
    <w:rsid w:val="001F5E3E"/>
    <w:rsid w:val="001F7722"/>
    <w:rsid w:val="00200539"/>
    <w:rsid w:val="00204DB5"/>
    <w:rsid w:val="0020548E"/>
    <w:rsid w:val="0020770B"/>
    <w:rsid w:val="0021060E"/>
    <w:rsid w:val="0021246D"/>
    <w:rsid w:val="002130E0"/>
    <w:rsid w:val="00213C1F"/>
    <w:rsid w:val="002145D9"/>
    <w:rsid w:val="00216908"/>
    <w:rsid w:val="0021721F"/>
    <w:rsid w:val="002200A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B18"/>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2756"/>
    <w:rsid w:val="00337CD2"/>
    <w:rsid w:val="00340897"/>
    <w:rsid w:val="00342CA7"/>
    <w:rsid w:val="00344153"/>
    <w:rsid w:val="0034613C"/>
    <w:rsid w:val="0034616C"/>
    <w:rsid w:val="003465FF"/>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2154"/>
    <w:rsid w:val="00382677"/>
    <w:rsid w:val="00382752"/>
    <w:rsid w:val="00382B27"/>
    <w:rsid w:val="00385151"/>
    <w:rsid w:val="00385C63"/>
    <w:rsid w:val="003860CC"/>
    <w:rsid w:val="003864F8"/>
    <w:rsid w:val="00387A87"/>
    <w:rsid w:val="00391116"/>
    <w:rsid w:val="00392E2B"/>
    <w:rsid w:val="0039391B"/>
    <w:rsid w:val="003946BD"/>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359E"/>
    <w:rsid w:val="003B39AD"/>
    <w:rsid w:val="003B4747"/>
    <w:rsid w:val="003B4D5B"/>
    <w:rsid w:val="003B4DAE"/>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DCC"/>
    <w:rsid w:val="003E7D75"/>
    <w:rsid w:val="003F18C8"/>
    <w:rsid w:val="003F2FAB"/>
    <w:rsid w:val="003F4E7F"/>
    <w:rsid w:val="003F5D49"/>
    <w:rsid w:val="003F79EC"/>
    <w:rsid w:val="003F7F46"/>
    <w:rsid w:val="003F7F48"/>
    <w:rsid w:val="00400DB8"/>
    <w:rsid w:val="004026AD"/>
    <w:rsid w:val="00403BBB"/>
    <w:rsid w:val="0040465B"/>
    <w:rsid w:val="00406147"/>
    <w:rsid w:val="00406FE2"/>
    <w:rsid w:val="00410703"/>
    <w:rsid w:val="00411D22"/>
    <w:rsid w:val="00412BE7"/>
    <w:rsid w:val="004141A6"/>
    <w:rsid w:val="00414941"/>
    <w:rsid w:val="00414ADF"/>
    <w:rsid w:val="00415AE6"/>
    <w:rsid w:val="004167DB"/>
    <w:rsid w:val="00417907"/>
    <w:rsid w:val="00420D2D"/>
    <w:rsid w:val="00420EBA"/>
    <w:rsid w:val="00423939"/>
    <w:rsid w:val="004239BB"/>
    <w:rsid w:val="00423F43"/>
    <w:rsid w:val="00424BD0"/>
    <w:rsid w:val="00424E8B"/>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232A"/>
    <w:rsid w:val="00483F2C"/>
    <w:rsid w:val="00484037"/>
    <w:rsid w:val="00487E20"/>
    <w:rsid w:val="0049103E"/>
    <w:rsid w:val="00491AD5"/>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1340"/>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8EF"/>
    <w:rsid w:val="00502378"/>
    <w:rsid w:val="00504D34"/>
    <w:rsid w:val="00510515"/>
    <w:rsid w:val="00510776"/>
    <w:rsid w:val="005113A3"/>
    <w:rsid w:val="00513AA3"/>
    <w:rsid w:val="00513BB3"/>
    <w:rsid w:val="00514A53"/>
    <w:rsid w:val="00514C05"/>
    <w:rsid w:val="005165D0"/>
    <w:rsid w:val="00516683"/>
    <w:rsid w:val="005166C0"/>
    <w:rsid w:val="00517755"/>
    <w:rsid w:val="00517BC0"/>
    <w:rsid w:val="0052192E"/>
    <w:rsid w:val="00522079"/>
    <w:rsid w:val="005223FC"/>
    <w:rsid w:val="00522A49"/>
    <w:rsid w:val="0052565C"/>
    <w:rsid w:val="00526753"/>
    <w:rsid w:val="00526F7E"/>
    <w:rsid w:val="005277CA"/>
    <w:rsid w:val="005301A4"/>
    <w:rsid w:val="005306BE"/>
    <w:rsid w:val="00531CA6"/>
    <w:rsid w:val="00531D9A"/>
    <w:rsid w:val="00532104"/>
    <w:rsid w:val="0053429E"/>
    <w:rsid w:val="00534FC1"/>
    <w:rsid w:val="00536B72"/>
    <w:rsid w:val="00537A33"/>
    <w:rsid w:val="00544577"/>
    <w:rsid w:val="005447EA"/>
    <w:rsid w:val="00544BA9"/>
    <w:rsid w:val="00545322"/>
    <w:rsid w:val="005468BE"/>
    <w:rsid w:val="00546FB1"/>
    <w:rsid w:val="005475D1"/>
    <w:rsid w:val="00550201"/>
    <w:rsid w:val="00550F85"/>
    <w:rsid w:val="005520DA"/>
    <w:rsid w:val="005553A5"/>
    <w:rsid w:val="005569BA"/>
    <w:rsid w:val="00557BD0"/>
    <w:rsid w:val="00560211"/>
    <w:rsid w:val="00560814"/>
    <w:rsid w:val="00560A59"/>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9058B"/>
    <w:rsid w:val="00591AC7"/>
    <w:rsid w:val="00593BA1"/>
    <w:rsid w:val="0059710B"/>
    <w:rsid w:val="005A0381"/>
    <w:rsid w:val="005A1BBB"/>
    <w:rsid w:val="005A210E"/>
    <w:rsid w:val="005A3146"/>
    <w:rsid w:val="005A5581"/>
    <w:rsid w:val="005A7D81"/>
    <w:rsid w:val="005A7F0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577C"/>
    <w:rsid w:val="00615C42"/>
    <w:rsid w:val="006167CD"/>
    <w:rsid w:val="00617F1F"/>
    <w:rsid w:val="006206DD"/>
    <w:rsid w:val="006208DF"/>
    <w:rsid w:val="006228B0"/>
    <w:rsid w:val="0062317D"/>
    <w:rsid w:val="00623C0D"/>
    <w:rsid w:val="006243A4"/>
    <w:rsid w:val="006267BF"/>
    <w:rsid w:val="006311D8"/>
    <w:rsid w:val="006317FB"/>
    <w:rsid w:val="00631D3B"/>
    <w:rsid w:val="00635A4E"/>
    <w:rsid w:val="00636098"/>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6008C"/>
    <w:rsid w:val="00660D96"/>
    <w:rsid w:val="00661694"/>
    <w:rsid w:val="00662910"/>
    <w:rsid w:val="006644B1"/>
    <w:rsid w:val="0066524B"/>
    <w:rsid w:val="00666738"/>
    <w:rsid w:val="00666EF0"/>
    <w:rsid w:val="00667F47"/>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D8D"/>
    <w:rsid w:val="00715F7C"/>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500F2"/>
    <w:rsid w:val="00750294"/>
    <w:rsid w:val="007509F0"/>
    <w:rsid w:val="00750D29"/>
    <w:rsid w:val="00751669"/>
    <w:rsid w:val="0075171F"/>
    <w:rsid w:val="007527D9"/>
    <w:rsid w:val="00754A10"/>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C772F"/>
    <w:rsid w:val="007D0C5A"/>
    <w:rsid w:val="007D0F75"/>
    <w:rsid w:val="007D20D9"/>
    <w:rsid w:val="007D2BD0"/>
    <w:rsid w:val="007D39CC"/>
    <w:rsid w:val="007D4587"/>
    <w:rsid w:val="007D4A34"/>
    <w:rsid w:val="007D4D74"/>
    <w:rsid w:val="007D639C"/>
    <w:rsid w:val="007E196E"/>
    <w:rsid w:val="007E1A03"/>
    <w:rsid w:val="007E367D"/>
    <w:rsid w:val="007E46EA"/>
    <w:rsid w:val="007E4721"/>
    <w:rsid w:val="007E5FFC"/>
    <w:rsid w:val="007E6683"/>
    <w:rsid w:val="007E67BF"/>
    <w:rsid w:val="007F03F8"/>
    <w:rsid w:val="007F064D"/>
    <w:rsid w:val="007F0C91"/>
    <w:rsid w:val="007F15B8"/>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61C3"/>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6D2E"/>
    <w:rsid w:val="008A7006"/>
    <w:rsid w:val="008B1F6C"/>
    <w:rsid w:val="008B3373"/>
    <w:rsid w:val="008B69E7"/>
    <w:rsid w:val="008B7B1F"/>
    <w:rsid w:val="008C0311"/>
    <w:rsid w:val="008C2FC1"/>
    <w:rsid w:val="008C393D"/>
    <w:rsid w:val="008C4CFD"/>
    <w:rsid w:val="008D0179"/>
    <w:rsid w:val="008D184F"/>
    <w:rsid w:val="008D1AEA"/>
    <w:rsid w:val="008D2C0F"/>
    <w:rsid w:val="008D460F"/>
    <w:rsid w:val="008D4D0F"/>
    <w:rsid w:val="008D4E2B"/>
    <w:rsid w:val="008D5959"/>
    <w:rsid w:val="008D5C18"/>
    <w:rsid w:val="008D64BA"/>
    <w:rsid w:val="008E0F0E"/>
    <w:rsid w:val="008E3801"/>
    <w:rsid w:val="008E55C0"/>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5F"/>
    <w:rsid w:val="009B3C87"/>
    <w:rsid w:val="009B43E6"/>
    <w:rsid w:val="009B5FE5"/>
    <w:rsid w:val="009B6516"/>
    <w:rsid w:val="009C0DFF"/>
    <w:rsid w:val="009C6E3B"/>
    <w:rsid w:val="009C6EF7"/>
    <w:rsid w:val="009D0503"/>
    <w:rsid w:val="009D2636"/>
    <w:rsid w:val="009D2CEB"/>
    <w:rsid w:val="009D403A"/>
    <w:rsid w:val="009D546C"/>
    <w:rsid w:val="009D57D3"/>
    <w:rsid w:val="009D6666"/>
    <w:rsid w:val="009D66F9"/>
    <w:rsid w:val="009D787E"/>
    <w:rsid w:val="009D7D44"/>
    <w:rsid w:val="009E02F7"/>
    <w:rsid w:val="009E0AD7"/>
    <w:rsid w:val="009E3D48"/>
    <w:rsid w:val="009E6050"/>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A5"/>
    <w:rsid w:val="00A64F38"/>
    <w:rsid w:val="00A65198"/>
    <w:rsid w:val="00A654FA"/>
    <w:rsid w:val="00A65DF0"/>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ACE"/>
    <w:rsid w:val="00B16B45"/>
    <w:rsid w:val="00B17DFC"/>
    <w:rsid w:val="00B2077A"/>
    <w:rsid w:val="00B21274"/>
    <w:rsid w:val="00B215A1"/>
    <w:rsid w:val="00B21D9A"/>
    <w:rsid w:val="00B22FE8"/>
    <w:rsid w:val="00B24377"/>
    <w:rsid w:val="00B24706"/>
    <w:rsid w:val="00B24DA0"/>
    <w:rsid w:val="00B2573D"/>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69B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2399"/>
    <w:rsid w:val="00BA27FE"/>
    <w:rsid w:val="00BA2D99"/>
    <w:rsid w:val="00BA3C67"/>
    <w:rsid w:val="00BA3EA1"/>
    <w:rsid w:val="00BA4FF4"/>
    <w:rsid w:val="00BA632D"/>
    <w:rsid w:val="00BA6661"/>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429D"/>
    <w:rsid w:val="00CA5021"/>
    <w:rsid w:val="00CA51AD"/>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3D9"/>
    <w:rsid w:val="00CF454E"/>
    <w:rsid w:val="00CF47C0"/>
    <w:rsid w:val="00CF4E7F"/>
    <w:rsid w:val="00CF5B0B"/>
    <w:rsid w:val="00CF5BAC"/>
    <w:rsid w:val="00CF6EF4"/>
    <w:rsid w:val="00CF7D6D"/>
    <w:rsid w:val="00D0236F"/>
    <w:rsid w:val="00D03D9C"/>
    <w:rsid w:val="00D042B0"/>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FEE"/>
    <w:rsid w:val="00D54634"/>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4BE3"/>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96F"/>
    <w:rsid w:val="00E2284B"/>
    <w:rsid w:val="00E23253"/>
    <w:rsid w:val="00E24EA8"/>
    <w:rsid w:val="00E25160"/>
    <w:rsid w:val="00E255D2"/>
    <w:rsid w:val="00E2625C"/>
    <w:rsid w:val="00E2696D"/>
    <w:rsid w:val="00E26B14"/>
    <w:rsid w:val="00E278D8"/>
    <w:rsid w:val="00E27E12"/>
    <w:rsid w:val="00E30DDD"/>
    <w:rsid w:val="00E30E33"/>
    <w:rsid w:val="00E32CBF"/>
    <w:rsid w:val="00E3374B"/>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70D17"/>
    <w:rsid w:val="00E71B84"/>
    <w:rsid w:val="00E71CAE"/>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5EF3"/>
    <w:rsid w:val="00EC79CC"/>
    <w:rsid w:val="00ED1E37"/>
    <w:rsid w:val="00ED4E00"/>
    <w:rsid w:val="00ED7B47"/>
    <w:rsid w:val="00EE0346"/>
    <w:rsid w:val="00EE131C"/>
    <w:rsid w:val="00EE1D5E"/>
    <w:rsid w:val="00EE2185"/>
    <w:rsid w:val="00EE2561"/>
    <w:rsid w:val="00EE37BB"/>
    <w:rsid w:val="00EE4A11"/>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BEB"/>
    <w:rsid w:val="00F44629"/>
    <w:rsid w:val="00F4797D"/>
    <w:rsid w:val="00F47A15"/>
    <w:rsid w:val="00F526BA"/>
    <w:rsid w:val="00F53C54"/>
    <w:rsid w:val="00F548DD"/>
    <w:rsid w:val="00F551FE"/>
    <w:rsid w:val="00F5666B"/>
    <w:rsid w:val="00F5697F"/>
    <w:rsid w:val="00F576F2"/>
    <w:rsid w:val="00F57AB2"/>
    <w:rsid w:val="00F605DF"/>
    <w:rsid w:val="00F606AC"/>
    <w:rsid w:val="00F60B31"/>
    <w:rsid w:val="00F64DFF"/>
    <w:rsid w:val="00F65C58"/>
    <w:rsid w:val="00F67FA4"/>
    <w:rsid w:val="00F712EB"/>
    <w:rsid w:val="00F71D2D"/>
    <w:rsid w:val="00F720BE"/>
    <w:rsid w:val="00F727A1"/>
    <w:rsid w:val="00F729E7"/>
    <w:rsid w:val="00F74ED4"/>
    <w:rsid w:val="00F753F9"/>
    <w:rsid w:val="00F75607"/>
    <w:rsid w:val="00F81047"/>
    <w:rsid w:val="00F82548"/>
    <w:rsid w:val="00F8551A"/>
    <w:rsid w:val="00F856E1"/>
    <w:rsid w:val="00F85D0D"/>
    <w:rsid w:val="00F905A7"/>
    <w:rsid w:val="00F90AD0"/>
    <w:rsid w:val="00F90EDF"/>
    <w:rsid w:val="00F910E3"/>
    <w:rsid w:val="00F9124C"/>
    <w:rsid w:val="00F91499"/>
    <w:rsid w:val="00F9283C"/>
    <w:rsid w:val="00F935B7"/>
    <w:rsid w:val="00F96E2A"/>
    <w:rsid w:val="00FA06FD"/>
    <w:rsid w:val="00FA081B"/>
    <w:rsid w:val="00FA1177"/>
    <w:rsid w:val="00FA1289"/>
    <w:rsid w:val="00FA2089"/>
    <w:rsid w:val="00FA226A"/>
    <w:rsid w:val="00FA3393"/>
    <w:rsid w:val="00FA3CE2"/>
    <w:rsid w:val="00FA7F1A"/>
    <w:rsid w:val="00FB0605"/>
    <w:rsid w:val="00FB3510"/>
    <w:rsid w:val="00FB45BE"/>
    <w:rsid w:val="00FB57F3"/>
    <w:rsid w:val="00FB5807"/>
    <w:rsid w:val="00FB5F3B"/>
    <w:rsid w:val="00FC11FC"/>
    <w:rsid w:val="00FC4B93"/>
    <w:rsid w:val="00FC4EF2"/>
    <w:rsid w:val="00FC550D"/>
    <w:rsid w:val="00FC7F1B"/>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14973110-1CE6-4347-9273-9D3D527EC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2104914601">
          <w:marLeft w:val="0"/>
          <w:marRight w:val="0"/>
          <w:marTop w:val="240"/>
          <w:marBottom w:val="24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494613827">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5062</Words>
  <Characters>103143</Characters>
  <Application>Microsoft Office Word</Application>
  <DocSecurity>0</DocSecurity>
  <Lines>1516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16</cp:revision>
  <dcterms:created xsi:type="dcterms:W3CDTF">2025-07-17T08:45:00Z</dcterms:created>
  <dcterms:modified xsi:type="dcterms:W3CDTF">2025-07-21T12:07:00Z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