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50E3F091" w:rsidR="006A6996" w:rsidRPr="00BB08D6" w:rsidRDefault="00B369F1" w:rsidP="00047BB5">
      <w:pPr>
        <w:pStyle w:val="BodyText"/>
        <w:spacing w:line="360" w:lineRule="auto"/>
        <w:ind w:left="0"/>
        <w:rPr>
          <w:rFonts w:eastAsiaTheme="minorEastAsia"/>
          <w:b/>
          <w:bCs/>
          <w:sz w:val="28"/>
          <w:szCs w:val="28"/>
          <w:lang w:eastAsia="ko-KR"/>
        </w:rPr>
      </w:pPr>
      <w:r>
        <w:rPr>
          <w:rFonts w:eastAsiaTheme="minorEastAsia"/>
          <w:b/>
          <w:sz w:val="28"/>
          <w:szCs w:val="28"/>
          <w:lang w:eastAsia="ko-KR"/>
        </w:rPr>
        <w:t xml:space="preserve"> </w:t>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Predictive Modeling of COVID-19 Variant Peak Prevalence and Time-to-Dominance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B669B1" w:rsidRDefault="007042AB" w:rsidP="00B669B1">
      <w:pPr>
        <w:pStyle w:val="BodyText"/>
        <w:kinsoku w:val="0"/>
        <w:overflowPunct w:val="0"/>
        <w:ind w:left="0"/>
        <w:contextualSpacing/>
        <w:jc w:val="both"/>
        <w:rPr>
          <w:rFonts w:eastAsiaTheme="minorEastAsia"/>
          <w:b/>
          <w:bCs/>
          <w:color w:val="000000"/>
          <w:sz w:val="22"/>
          <w:szCs w:val="22"/>
          <w:lang w:eastAsia="ko-KR"/>
        </w:rPr>
      </w:pPr>
      <w:r w:rsidRPr="00B669B1">
        <w:rPr>
          <w:rFonts w:eastAsiaTheme="minorEastAsia"/>
          <w:b/>
          <w:bCs/>
          <w:color w:val="000000"/>
          <w:sz w:val="22"/>
          <w:szCs w:val="22"/>
          <w:lang w:eastAsia="ko-KR"/>
        </w:rPr>
        <w:t>Abstract</w:t>
      </w:r>
    </w:p>
    <w:p w14:paraId="0314B677" w14:textId="77777777" w:rsidR="00036B85" w:rsidRPr="00036B85" w:rsidRDefault="00036B85" w:rsidP="00036B85">
      <w:pPr>
        <w:pStyle w:val="whitespace-normal"/>
        <w:rPr>
          <w:sz w:val="22"/>
          <w:szCs w:val="22"/>
        </w:rPr>
      </w:pPr>
      <w:r w:rsidRPr="00036B85">
        <w:rPr>
          <w:rStyle w:val="Strong"/>
          <w:rFonts w:eastAsiaTheme="majorEastAsia"/>
          <w:sz w:val="22"/>
          <w:szCs w:val="22"/>
        </w:rPr>
        <w:t>Background.</w:t>
      </w:r>
      <w:r w:rsidRPr="00036B85">
        <w:rPr>
          <w:sz w:val="22"/>
          <w:szCs w:val="22"/>
        </w:rPr>
        <w:t xml:space="preserve"> Effective surveillance of SARS-CoV-2 variants is crucial for timely public health responses. This study develops a two-stage predictive framework to forecast variant peak prevalence and time-to-dominance (TTD)—the interval from 1% to 50% domestic share—using GISAID genomic data from 15 high-sequencing countries.</w:t>
      </w:r>
    </w:p>
    <w:p w14:paraId="4CA8983F" w14:textId="77777777" w:rsidR="00036B85" w:rsidRPr="00036B85" w:rsidRDefault="00036B85" w:rsidP="00036B85">
      <w:pPr>
        <w:pStyle w:val="whitespace-normal"/>
        <w:rPr>
          <w:sz w:val="22"/>
          <w:szCs w:val="22"/>
        </w:rPr>
      </w:pPr>
      <w:r w:rsidRPr="00036B85">
        <w:rPr>
          <w:rStyle w:val="Strong"/>
          <w:rFonts w:eastAsiaTheme="majorEastAsia"/>
          <w:sz w:val="22"/>
          <w:szCs w:val="22"/>
        </w:rPr>
        <w:t>Methods.</w:t>
      </w:r>
      <w:r w:rsidRPr="00036B85">
        <w:rPr>
          <w:sz w:val="22"/>
          <w:szCs w:val="22"/>
        </w:rPr>
        <w:t xml:space="preserve"> We analyzed over 9.0 million SARS-CoV-2 sequences spanning January 2020 to May 2024, extracting ten early-growth features from the first 14, 21, or 28 days after variants exceeded 1% prevalence. Stage 1 employed machine learning models to predict peak share, while Stage 2 fitted logistic growth curves to estimate TTD for variants projected to exceed 50% prevalence. Model performance was evaluated using leave-one-out cross-validation across multiple algorithms.</w:t>
      </w:r>
    </w:p>
    <w:p w14:paraId="7AE57862" w14:textId="77777777" w:rsidR="00036B85" w:rsidRPr="00036B85" w:rsidRDefault="00036B85" w:rsidP="00036B85">
      <w:pPr>
        <w:pStyle w:val="whitespace-normal"/>
        <w:rPr>
          <w:sz w:val="22"/>
          <w:szCs w:val="22"/>
        </w:rPr>
      </w:pPr>
      <w:r w:rsidRPr="00036B85">
        <w:rPr>
          <w:rStyle w:val="Strong"/>
          <w:rFonts w:eastAsiaTheme="majorEastAsia"/>
          <w:sz w:val="22"/>
          <w:szCs w:val="22"/>
        </w:rPr>
        <w:t>Results.</w:t>
      </w:r>
      <w:r w:rsidRPr="00036B85">
        <w:rPr>
          <w:sz w:val="22"/>
          <w:szCs w:val="22"/>
        </w:rPr>
        <w:t xml:space="preserve"> Tree-based models (Random Forest, </w:t>
      </w:r>
      <w:proofErr w:type="spellStart"/>
      <w:r w:rsidRPr="00036B85">
        <w:rPr>
          <w:sz w:val="22"/>
          <w:szCs w:val="22"/>
        </w:rPr>
        <w:t>XGBoost</w:t>
      </w:r>
      <w:proofErr w:type="spellEnd"/>
      <w:r w:rsidRPr="00036B85">
        <w:rPr>
          <w:sz w:val="22"/>
          <w:szCs w:val="22"/>
        </w:rPr>
        <w:t>) consistently outperformed seven competing algorithms, achieving optimal R² values of 0.90 (US), 0.84 (South Korea), and 0.63 (UK) using 28-day input windows. TTD predictions demonstrated high accuracy with median absolute errors of approximately 7 days across countries. Optimal surveillance windows varied by country: 16 days (UK), 21 days (US), and 25 days (South Korea), indicating diminishing returns beyond the initial 3-4 weeks of variant emergence.</w:t>
      </w:r>
    </w:p>
    <w:p w14:paraId="50485417" w14:textId="77777777" w:rsidR="00036B85" w:rsidRPr="00036B85" w:rsidRDefault="00036B85" w:rsidP="00036B85">
      <w:pPr>
        <w:pStyle w:val="whitespace-normal"/>
        <w:rPr>
          <w:sz w:val="22"/>
          <w:szCs w:val="22"/>
        </w:rPr>
      </w:pPr>
      <w:r w:rsidRPr="00036B85">
        <w:rPr>
          <w:rStyle w:val="Strong"/>
          <w:rFonts w:eastAsiaTheme="majorEastAsia"/>
          <w:sz w:val="22"/>
          <w:szCs w:val="22"/>
        </w:rPr>
        <w:t>Conclusion.</w:t>
      </w:r>
      <w:r w:rsidRPr="00036B85">
        <w:rPr>
          <w:sz w:val="22"/>
          <w:szCs w:val="22"/>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20D8520A" w14:textId="2EDEAABF" w:rsidR="00DC4BE3" w:rsidRPr="00C961F3" w:rsidRDefault="00DC4BE3" w:rsidP="00EE01F9">
      <w:pPr>
        <w:pStyle w:val="BodyText"/>
        <w:kinsoku w:val="0"/>
        <w:overflowPunct w:val="0"/>
        <w:spacing w:line="276" w:lineRule="auto"/>
        <w:ind w:left="0"/>
        <w:jc w:val="both"/>
        <w:rPr>
          <w:rFonts w:eastAsiaTheme="minorEastAsia"/>
          <w:b/>
          <w:bCs/>
          <w:color w:val="000000"/>
          <w:sz w:val="22"/>
          <w:szCs w:val="22"/>
          <w:lang w:eastAsia="zh-CN"/>
        </w:rPr>
      </w:pPr>
      <w:r w:rsidRPr="00EC5EF3">
        <w:rPr>
          <w:rFonts w:eastAsiaTheme="minorEastAsia" w:hint="eastAsia"/>
          <w:b/>
          <w:bCs/>
          <w:color w:val="000000"/>
          <w:sz w:val="22"/>
          <w:szCs w:val="22"/>
          <w:lang w:eastAsia="ko-KR"/>
        </w:rPr>
        <w:t xml:space="preserve">Introduction. </w:t>
      </w:r>
    </w:p>
    <w:p w14:paraId="30E280F9" w14:textId="77777777" w:rsidR="00FC5FF8" w:rsidRDefault="00293693" w:rsidP="0050291F">
      <w:pPr>
        <w:pStyle w:val="NormalWeb"/>
        <w:spacing w:line="276" w:lineRule="auto"/>
        <w:jc w:val="both"/>
        <w:rPr>
          <w:rFonts w:eastAsiaTheme="minorEastAsia"/>
          <w:lang w:eastAsia="ko-KR"/>
        </w:rPr>
      </w:pPr>
      <w:r w:rsidRPr="00293693">
        <w:rPr>
          <w:rFonts w:eastAsiaTheme="minorEastAsia"/>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Pr>
          <w:rFonts w:eastAsiaTheme="minorEastAsia" w:hint="eastAsia"/>
          <w:lang w:eastAsia="ko-KR"/>
        </w:rPr>
        <w:t xml:space="preserve">emphasized </w:t>
      </w:r>
      <w:r w:rsidR="009C1F52">
        <w:rPr>
          <w:rFonts w:eastAsiaTheme="minorEastAsia"/>
          <w:lang w:eastAsia="ko-KR"/>
        </w:rPr>
        <w:t>that SARS-CoV-2 variant surveillance remains</w:t>
      </w:r>
      <w:r w:rsidRPr="00293693">
        <w:rPr>
          <w:rFonts w:eastAsiaTheme="minorEastAsia"/>
          <w:lang w:eastAsia="ko-KR"/>
        </w:rPr>
        <w:t xml:space="preserve"> critical for pandemic preparedness. </w:t>
      </w:r>
    </w:p>
    <w:p w14:paraId="1FD9850D" w14:textId="4D7DB078" w:rsidR="007724ED" w:rsidRDefault="007724ED" w:rsidP="0050291F">
      <w:pPr>
        <w:pStyle w:val="NormalWeb"/>
        <w:spacing w:line="276" w:lineRule="auto"/>
        <w:jc w:val="both"/>
        <w:rPr>
          <w:rFonts w:eastAsiaTheme="minorEastAsia"/>
          <w:lang w:eastAsia="ko-KR"/>
        </w:rPr>
      </w:pPr>
      <w:r w:rsidRPr="007724ED">
        <w:rPr>
          <w:rFonts w:eastAsiaTheme="minorEastAsia"/>
          <w:lang w:eastAsia="ko-KR"/>
        </w:rPr>
        <w:t>Despite the global experience of multiple SARS-CoV-2 infection waves,</w:t>
      </w:r>
      <w:r w:rsidR="00E73698">
        <w:rPr>
          <w:rFonts w:eastAsiaTheme="minorEastAsia" w:hint="eastAsia"/>
          <w:lang w:eastAsia="ko-KR"/>
        </w:rPr>
        <w:t xml:space="preserve"> however, </w:t>
      </w:r>
      <w:r w:rsidRPr="007724ED">
        <w:rPr>
          <w:rFonts w:eastAsiaTheme="minorEastAsia"/>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at low prevalence (e.g., 0.01–3%), have the potential to dominate and trigger significant outbreaks. The challenge is compounded by variability in sequencing capacity across countries, with low-resource settings often facing delays in generating sufficient genomic data to detect emerging variants early. For instance, while high-sequencing settings (~1,000 sequences/week) enable robust monitoring, </w:t>
      </w:r>
      <w:r w:rsidRPr="007724ED">
        <w:rPr>
          <w:rFonts w:eastAsiaTheme="minorEastAsia"/>
          <w:lang w:eastAsia="ko-KR"/>
        </w:rPr>
        <w:lastRenderedPageBreak/>
        <w:t>regions with limited infrastructure (~100 sequences/week) struggle to provide timely data, delaying detection and response.</w:t>
      </w:r>
      <w:r w:rsidR="00CF301C">
        <w:rPr>
          <w:rFonts w:eastAsiaTheme="minorEastAsia" w:hint="eastAsia"/>
          <w:lang w:eastAsia="ko-KR"/>
        </w:rPr>
        <w:t xml:space="preserve"> </w:t>
      </w:r>
      <w:r w:rsidRPr="007724ED">
        <w:rPr>
          <w:rFonts w:eastAsiaTheme="minorEastAsia"/>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Pr>
          <w:rFonts w:eastAsiaTheme="minorEastAsia" w:hint="eastAsia"/>
          <w:lang w:eastAsia="ko-KR"/>
        </w:rPr>
        <w:t xml:space="preserve"> (e.g. CDC</w:t>
      </w:r>
      <w:r>
        <w:rPr>
          <w:rFonts w:eastAsiaTheme="minorEastAsia"/>
          <w:lang w:eastAsia="ko-KR"/>
        </w:rPr>
        <w:t>’</w:t>
      </w:r>
      <w:r>
        <w:rPr>
          <w:rFonts w:eastAsiaTheme="minorEastAsia" w:hint="eastAsia"/>
          <w:lang w:eastAsia="ko-KR"/>
        </w:rPr>
        <w:t>s</w:t>
      </w:r>
      <w:r w:rsidRPr="00293693">
        <w:rPr>
          <w:rFonts w:eastAsiaTheme="minorEastAsia"/>
          <w:lang w:eastAsia="ko-KR"/>
        </w:rPr>
        <w:t xml:space="preserve"> </w:t>
      </w:r>
      <w:r>
        <w:rPr>
          <w:rFonts w:eastAsiaTheme="minorEastAsia" w:hint="eastAsia"/>
          <w:lang w:eastAsia="ko-KR"/>
        </w:rPr>
        <w:t xml:space="preserve">2-3 weeks </w:t>
      </w:r>
      <w:r w:rsidRPr="00293693">
        <w:rPr>
          <w:rFonts w:eastAsiaTheme="minorEastAsia"/>
          <w:lang w:eastAsia="ko-KR"/>
        </w:rPr>
        <w:t>variant proportion forecasts using nowcasting approaches)</w:t>
      </w:r>
      <w:r>
        <w:rPr>
          <w:rFonts w:eastAsiaTheme="minorEastAsia" w:hint="eastAsia"/>
          <w:lang w:eastAsia="ko-KR"/>
        </w:rPr>
        <w:t>,</w:t>
      </w:r>
      <w:r w:rsidRPr="00293693">
        <w:rPr>
          <w:rFonts w:eastAsiaTheme="minorEastAsia"/>
          <w:lang w:eastAsia="ko-KR"/>
        </w:rPr>
        <w:t xml:space="preserve"> </w:t>
      </w:r>
      <w:r w:rsidRPr="007724ED">
        <w:rPr>
          <w:rFonts w:eastAsiaTheme="minorEastAsia"/>
          <w:lang w:eastAsia="ko-KR"/>
        </w:rPr>
        <w:t xml:space="preserve">while effective for short-term forecasts, often lack the lead time needed to anticipate long-term shifts driven by rare or novel variants. For example, unsupervised models like </w:t>
      </w:r>
      <w:proofErr w:type="spellStart"/>
      <w:r w:rsidRPr="007724ED">
        <w:rPr>
          <w:rFonts w:eastAsiaTheme="minorEastAsia"/>
          <w:lang w:eastAsia="ko-KR"/>
        </w:rPr>
        <w:t>DeepAutoCoV</w:t>
      </w:r>
      <w:proofErr w:type="spellEnd"/>
      <w:r w:rsidRPr="007724ED">
        <w:rPr>
          <w:rFonts w:eastAsiaTheme="minorEastAsia"/>
          <w:lang w:eastAsia="ko-KR"/>
        </w:rPr>
        <w:t xml:space="preserve"> can provide 4–17 weeks of lead time for detecting potential dominant lineages, but their performance depends on consistent sequence availability and may falter in data-scarce regions. 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Pr>
          <w:rFonts w:eastAsiaTheme="minorEastAsia" w:hint="eastAsia"/>
          <w:lang w:eastAsia="ko-KR"/>
        </w:rPr>
        <w:t xml:space="preserve"> </w:t>
      </w:r>
      <w:r w:rsidRPr="007724ED">
        <w:rPr>
          <w:rFonts w:eastAsiaTheme="minorEastAsia"/>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p>
    <w:p w14:paraId="05857FC7" w14:textId="3F5900CB" w:rsidR="00B16C60" w:rsidRDefault="00066BD1"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lang w:eastAsia="ko-KR"/>
        </w:rPr>
        <w:t>As an e</w:t>
      </w:r>
      <w:r w:rsidRPr="00293693">
        <w:rPr>
          <w:rFonts w:eastAsiaTheme="minorEastAsia"/>
          <w:lang w:eastAsia="ko-KR"/>
        </w:rPr>
        <w:t xml:space="preserve">arly warning </w:t>
      </w:r>
      <w:r>
        <w:rPr>
          <w:rFonts w:eastAsiaTheme="minorEastAsia"/>
          <w:lang w:eastAsia="ko-KR"/>
        </w:rPr>
        <w:t xml:space="preserve">system, </w:t>
      </w:r>
      <w:r w:rsidR="00B16C60">
        <w:rPr>
          <w:rFonts w:eastAsiaTheme="minorEastAsia" w:hint="eastAsia"/>
          <w:lang w:eastAsia="ko-KR"/>
        </w:rPr>
        <w:t xml:space="preserve">we </w:t>
      </w:r>
      <w:r w:rsidR="00B16C60">
        <w:rPr>
          <w:rFonts w:eastAsiaTheme="minorEastAsia"/>
          <w:lang w:eastAsia="ko-KR"/>
        </w:rPr>
        <w:t>developed a</w:t>
      </w:r>
      <w:r w:rsidR="00B16C60">
        <w:rPr>
          <w:rFonts w:eastAsiaTheme="minorEastAsia" w:hint="eastAsia"/>
          <w:lang w:eastAsia="ko-KR"/>
        </w:rPr>
        <w:t xml:space="preserve"> scalable</w:t>
      </w:r>
      <w:r w:rsidR="00B16C60">
        <w:rPr>
          <w:rFonts w:eastAsiaTheme="minorEastAsia"/>
          <w:lang w:eastAsia="ko-KR"/>
        </w:rPr>
        <w:t xml:space="preserve"> predictive framework for SARS-CoV-2 variant dynamics</w:t>
      </w:r>
      <w:r w:rsidR="00B16C60">
        <w:rPr>
          <w:rFonts w:eastAsiaTheme="minorEastAsia" w:hint="eastAsia"/>
          <w:lang w:eastAsia="ko-KR"/>
        </w:rPr>
        <w:t xml:space="preserve">, as </w:t>
      </w:r>
      <w:r w:rsidR="00B16C60">
        <w:t xml:space="preserve">sequence-only models that can rapidly analyze early growth trends without relying on extensive biological or epidemiological inputs. </w:t>
      </w:r>
      <w:r w:rsidR="00B16C60">
        <w:rPr>
          <w:rFonts w:eastAsiaTheme="minorEastAsia" w:hint="eastAsia"/>
          <w:lang w:eastAsia="ko-KR"/>
        </w:rPr>
        <w:t>B</w:t>
      </w:r>
      <w:r>
        <w:rPr>
          <w:rFonts w:eastAsiaTheme="minorEastAsia" w:hint="eastAsia"/>
          <w:color w:val="156082" w:themeColor="accent1"/>
          <w:lang w:eastAsia="ko-KR"/>
        </w:rPr>
        <w:t xml:space="preserve">ased on </w:t>
      </w:r>
      <w:r w:rsidR="00520B7D" w:rsidRPr="00520B7D">
        <w:rPr>
          <w:rFonts w:eastAsiaTheme="minorEastAsia"/>
          <w:color w:val="156082" w:themeColor="accent1"/>
          <w:lang w:eastAsia="ko-KR"/>
        </w:rPr>
        <w:t>comprehensive genomic data from the Global Initiative on Sharing All Influenza Data (GISAID) repository</w:t>
      </w:r>
      <w:r w:rsidR="00B16C60">
        <w:rPr>
          <w:rFonts w:eastAsiaTheme="minorEastAsia" w:hint="eastAsia"/>
          <w:color w:val="156082" w:themeColor="accent1"/>
          <w:lang w:eastAsia="ko-KR"/>
        </w:rPr>
        <w:t xml:space="preserve">, we </w:t>
      </w:r>
      <w:r w:rsidR="00520B7D" w:rsidRPr="00520B7D">
        <w:rPr>
          <w:rFonts w:eastAsiaTheme="minorEastAsia"/>
          <w:color w:val="156082" w:themeColor="accent1"/>
          <w:lang w:eastAsia="ko-KR"/>
        </w:rPr>
        <w:t xml:space="preserve">analyze lineage patterns across 15 high-burden countries from January 2020 to May 2024, focusing on three key questions: which variants will rise to dominance, when they will </w:t>
      </w:r>
      <w:r w:rsidR="00520B7D">
        <w:rPr>
          <w:rFonts w:eastAsiaTheme="minorEastAsia" w:hint="eastAsia"/>
          <w:color w:val="156082" w:themeColor="accent1"/>
          <w:lang w:eastAsia="ko-KR"/>
        </w:rPr>
        <w:t>be dominant</w:t>
      </w:r>
      <w:r w:rsidR="00520B7D" w:rsidRPr="00520B7D">
        <w:rPr>
          <w:rFonts w:eastAsiaTheme="minorEastAsia"/>
          <w:color w:val="156082" w:themeColor="accent1"/>
          <w:lang w:eastAsia="ko-KR"/>
        </w:rPr>
        <w:t>, and how these dynamics differ internationally.</w:t>
      </w:r>
      <w:r w:rsidR="00520B7D">
        <w:rPr>
          <w:rFonts w:eastAsiaTheme="minorEastAsia" w:hint="eastAsia"/>
          <w:color w:val="156082" w:themeColor="accent1"/>
          <w:lang w:eastAsia="ko-KR"/>
        </w:rPr>
        <w:t xml:space="preserve"> </w:t>
      </w:r>
      <w:r w:rsidR="00E34DEC" w:rsidRPr="00066BD1">
        <w:rPr>
          <w:rFonts w:eastAsiaTheme="minorEastAsia"/>
          <w:color w:val="156082" w:themeColor="accent1"/>
          <w:lang w:eastAsia="ko-KR"/>
        </w:rPr>
        <w:t>Our approach employs a two-stage modeling framework. Initially, machine learning algorithms analyze early growth rate trajectories of emerging variants, extracting trend-based features to predict dominance potential. For variants projected to exceed 50% prevalence, Bayesian prior-based growth curve fitting estimates the timing of dominance. This sequential strategy—first identifying dominance potential</w:t>
      </w:r>
      <w:r w:rsidR="00162769">
        <w:rPr>
          <w:rFonts w:eastAsiaTheme="minorEastAsia"/>
          <w:color w:val="156082" w:themeColor="accent1"/>
          <w:lang w:eastAsia="ko-KR"/>
        </w:rPr>
        <w:t xml:space="preserve"> and then forecasting timing—offers improved accuracy and long-term predictions </w:t>
      </w:r>
      <w:r w:rsidR="00162769">
        <w:rPr>
          <w:rFonts w:eastAsiaTheme="minorEastAsia" w:hint="eastAsia"/>
          <w:color w:val="156082" w:themeColor="accent1"/>
          <w:lang w:eastAsia="ko-KR"/>
        </w:rPr>
        <w:t xml:space="preserve">(beyond 2-3 weeks) </w:t>
      </w:r>
      <w:r w:rsidR="00162769">
        <w:rPr>
          <w:rFonts w:eastAsiaTheme="minorEastAsia"/>
          <w:color w:val="156082" w:themeColor="accent1"/>
          <w:lang w:eastAsia="ko-KR"/>
        </w:rPr>
        <w:t>for anticipating shifts in variant prevalence that may lead to</w:t>
      </w:r>
      <w:r w:rsidR="00162769">
        <w:rPr>
          <w:rFonts w:eastAsiaTheme="minorEastAsia" w:hint="eastAsia"/>
          <w:color w:val="156082" w:themeColor="accent1"/>
          <w:lang w:eastAsia="ko-KR"/>
        </w:rPr>
        <w:t xml:space="preserve"> </w:t>
      </w:r>
      <w:r w:rsidR="00162769" w:rsidRPr="00520B7D">
        <w:rPr>
          <w:rFonts w:eastAsiaTheme="minorEastAsia"/>
          <w:color w:val="156082" w:themeColor="accent1"/>
          <w:lang w:eastAsia="ko-KR"/>
        </w:rPr>
        <w:t>future dominance potential</w:t>
      </w:r>
      <w:r w:rsidR="00E34DEC" w:rsidRPr="00066BD1">
        <w:rPr>
          <w:rFonts w:eastAsiaTheme="minorEastAsia"/>
          <w:color w:val="156082" w:themeColor="accent1"/>
          <w:lang w:eastAsia="ko-KR"/>
        </w:rPr>
        <w:t xml:space="preserve">. </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3200AE97" w14:textId="4F58785E" w:rsidR="0003523D" w:rsidRPr="0003523D" w:rsidRDefault="001E3485" w:rsidP="001E3485">
      <w:pPr>
        <w:pStyle w:val="BodyText"/>
        <w:kinsoku w:val="0"/>
        <w:overflowPunct w:val="0"/>
        <w:spacing w:line="276" w:lineRule="auto"/>
        <w:ind w:left="0"/>
        <w:jc w:val="both"/>
        <w:rPr>
          <w:rFonts w:eastAsiaTheme="minorEastAsia"/>
          <w:color w:val="156082" w:themeColor="accent1"/>
          <w:sz w:val="22"/>
          <w:szCs w:val="22"/>
          <w:lang w:eastAsia="zh-CN"/>
        </w:rPr>
      </w:pPr>
      <w:r>
        <w:rPr>
          <w:rFonts w:eastAsiaTheme="minorEastAsia" w:hint="eastAsia"/>
          <w:b/>
          <w:bCs/>
          <w:color w:val="000000" w:themeColor="text1"/>
          <w:lang w:eastAsia="ko-KR"/>
        </w:rPr>
        <w:t xml:space="preserve">Data. </w:t>
      </w:r>
      <w:r w:rsidR="0003523D" w:rsidRPr="0003523D">
        <w:rPr>
          <w:rFonts w:eastAsiaTheme="minorEastAsia"/>
          <w:color w:val="156082" w:themeColor="accent1"/>
          <w:sz w:val="22"/>
          <w:szCs w:val="22"/>
          <w:lang w:eastAsia="zh-CN"/>
        </w:rPr>
        <w:t xml:space="preserve">Genomic data for this study were obtained from </w:t>
      </w:r>
      <w:r w:rsidR="0003523D" w:rsidRPr="0003523D">
        <w:rPr>
          <w:rFonts w:eastAsiaTheme="minorEastAsia"/>
          <w:color w:val="156082" w:themeColor="accent1"/>
          <w:sz w:val="22"/>
          <w:szCs w:val="22"/>
          <w:shd w:val="pct15" w:color="auto" w:fill="FFFFFF"/>
          <w:lang w:eastAsia="zh-CN"/>
        </w:rPr>
        <w:t>GISAID (https://www.gisaid.org/) (1). Established in 2017</w:t>
      </w:r>
      <w:r w:rsidR="0003523D" w:rsidRPr="0003523D">
        <w:rPr>
          <w:rFonts w:eastAsiaTheme="minorEastAsia"/>
          <w:color w:val="156082" w:themeColor="accent1"/>
          <w:sz w:val="22"/>
          <w:szCs w:val="22"/>
          <w:lang w:eastAsia="zh-CN"/>
        </w:rPr>
        <w:t xml:space="preserve"> as the Global Initiative on Sharing All Influenza Data and later expanded with its </w:t>
      </w:r>
      <w:proofErr w:type="spellStart"/>
      <w:r w:rsidR="0003523D" w:rsidRPr="0003523D">
        <w:rPr>
          <w:rFonts w:eastAsiaTheme="minorEastAsia"/>
          <w:color w:val="156082" w:themeColor="accent1"/>
          <w:sz w:val="22"/>
          <w:szCs w:val="22"/>
          <w:lang w:eastAsia="zh-CN"/>
        </w:rPr>
        <w:t>EpiCoV</w:t>
      </w:r>
      <w:proofErr w:type="spellEnd"/>
      <w:r w:rsidR="0003523D" w:rsidRPr="0003523D">
        <w:rPr>
          <w:rFonts w:eastAsiaTheme="minorEastAsia"/>
          <w:color w:val="156082" w:themeColor="accen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We focused on the 15 countries reporting the greatest number of SARS-CoV-2 sequences as of 19 March 2022, which collectively account for 9.0 million of the 9.5 million sequences in GISAID. Among these, the United States leads with 2.9 million sequences, while Luxembourg contributes the fewest (25 000). Following the WHO/CDC-endorsed Pango lineage nomenclature (20), we identified 1 151 distinct variants across these countries, with a median of 72 variants per country (Q1 = 57, Q3 = 121; see Table S1).</w:t>
      </w:r>
    </w:p>
    <w:p w14:paraId="33E439F3" w14:textId="77777777" w:rsidR="001E3485" w:rsidRDefault="001E3485" w:rsidP="00D209B1">
      <w:pPr>
        <w:pStyle w:val="pf0"/>
        <w:spacing w:before="0" w:beforeAutospacing="0" w:after="0" w:afterAutospacing="0" w:line="276" w:lineRule="auto"/>
        <w:jc w:val="both"/>
        <w:rPr>
          <w:rFonts w:eastAsiaTheme="minorEastAsia"/>
          <w:b/>
          <w:bCs/>
          <w:color w:val="000000" w:themeColor="text1"/>
          <w:sz w:val="22"/>
          <w:szCs w:val="22"/>
        </w:rPr>
      </w:pPr>
    </w:p>
    <w:p w14:paraId="2D9AA06A" w14:textId="610FBD76"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 xml:space="preserve">The GISAID (Global Initiative on Sharing All Influenza Data) COVID-19 collection serves as a vital global repository for SARS-CoV-2 genomic data, enabling researchers worldwide </w:t>
      </w:r>
      <w:r w:rsidR="00D44EF5" w:rsidRPr="00D44EF5">
        <w:rPr>
          <w:color w:val="212121"/>
          <w:sz w:val="22"/>
          <w:szCs w:val="22"/>
          <w:shd w:val="clear" w:color="auto" w:fill="FFFFFF"/>
        </w:rPr>
        <w:lastRenderedPageBreak/>
        <w:t>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1A887FF5">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382B27">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7AF36D27" w14:textId="0A34C744" w:rsidR="00355977" w:rsidRDefault="00E26B14" w:rsidP="00380234">
      <w:pPr>
        <w:pStyle w:val="BodyText"/>
        <w:spacing w:line="276" w:lineRule="auto"/>
        <w:ind w:left="0"/>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w:t>
      </w:r>
      <w:r w:rsidR="00354BF7">
        <w:rPr>
          <w:sz w:val="22"/>
          <w:szCs w:val="22"/>
          <w:lang w:eastAsia="zh-CN"/>
        </w:rPr>
        <w:t xml:space="preserve"> monthly</w:t>
      </w:r>
      <w:r w:rsidRPr="00E26B14">
        <w:rPr>
          <w:sz w:val="22"/>
          <w:szCs w:val="22"/>
          <w:lang w:eastAsia="zh-CN"/>
        </w:rPr>
        <w:t xml:space="preserve"> domestic share a variant achieves</w:t>
      </w:r>
      <w:r w:rsidRPr="009C4226">
        <w:rPr>
          <w:sz w:val="22"/>
          <w:szCs w:val="22"/>
          <w:shd w:val="pct15" w:color="auto" w:fill="FFFFFF"/>
          <w:lang w:eastAsia="zh-CN"/>
        </w:rPr>
        <w:t>, while duration corresponds to the length of its epidemic wave</w:t>
      </w:r>
      <w:r w:rsidRPr="00E26B14">
        <w:rPr>
          <w:sz w:val="22"/>
          <w:szCs w:val="22"/>
          <w:lang w:eastAsia="zh-CN"/>
        </w:rPr>
        <w:t>. This decomposition is grounded in prior work such as</w:t>
      </w:r>
      <w:r w:rsidR="002200AF">
        <w:rPr>
          <w:sz w:val="22"/>
          <w:szCs w:val="22"/>
          <w:lang w:eastAsia="zh-CN"/>
        </w:rPr>
        <w:t xml:space="preserve"> </w:t>
      </w:r>
      <w:r w:rsidR="002200AF">
        <w:rPr>
          <w:sz w:val="22"/>
          <w:szCs w:val="22"/>
          <w:lang w:eastAsia="zh-CN"/>
        </w:rPr>
        <w:fldChar w:fldCharType="begin"/>
      </w:r>
      <w:r w:rsidR="0097071E">
        <w:rPr>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Pr>
          <w:sz w:val="22"/>
          <w:szCs w:val="22"/>
          <w:lang w:eastAsia="zh-CN"/>
        </w:rPr>
        <w:fldChar w:fldCharType="separate"/>
      </w:r>
      <w:r w:rsidR="0097071E">
        <w:rPr>
          <w:noProof/>
          <w:sz w:val="22"/>
          <w:szCs w:val="22"/>
          <w:lang w:eastAsia="zh-CN"/>
        </w:rPr>
        <w:t>[1]</w:t>
      </w:r>
      <w:r w:rsidR="002200AF">
        <w:rPr>
          <w:sz w:val="22"/>
          <w:szCs w:val="22"/>
          <w:lang w:eastAsia="zh-CN"/>
        </w:rPr>
        <w:fldChar w:fldCharType="end"/>
      </w:r>
      <w:r w:rsidR="002200AF">
        <w:rPr>
          <w:sz w:val="22"/>
          <w:szCs w:val="22"/>
          <w:lang w:eastAsia="zh-CN"/>
        </w:rPr>
        <w:t xml:space="preserve">, </w:t>
      </w:r>
      <w:r w:rsidRPr="00E26B14">
        <w:rPr>
          <w:sz w:val="22"/>
          <w:szCs w:val="22"/>
          <w:lang w:eastAsia="zh-CN"/>
        </w:rPr>
        <w:t>who defined lineage establishment based on a minimum of 10 sequenced cases over 14 days, indicating sustained local transmission. We extend this idea to model and quantify variant-level dominance across countries.</w:t>
      </w:r>
      <w:r w:rsidR="009C4226">
        <w:rPr>
          <w:sz w:val="22"/>
          <w:szCs w:val="22"/>
          <w:lang w:eastAsia="zh-CN"/>
        </w:rPr>
        <w:t xml:space="preserve"> </w:t>
      </w:r>
      <w:r w:rsidR="00380234" w:rsidRPr="00380234">
        <w:rPr>
          <w:sz w:val="22"/>
          <w:szCs w:val="22"/>
          <w:lang w:eastAsia="zh-CN"/>
        </w:rPr>
        <w:t xml:space="preserve">An overview of the data processing workflow is presented in </w:t>
      </w:r>
      <w:r w:rsidR="00380234" w:rsidRPr="00380234">
        <w:rPr>
          <w:color w:val="C00000"/>
          <w:sz w:val="22"/>
          <w:szCs w:val="22"/>
          <w:lang w:eastAsia="zh-CN"/>
        </w:rPr>
        <w:t>Figure 1</w:t>
      </w:r>
      <w:r w:rsidR="00380234" w:rsidRPr="00380234">
        <w:rPr>
          <w:sz w:val="22"/>
          <w:szCs w:val="22"/>
          <w:lang w:eastAsia="zh-CN"/>
        </w:rPr>
        <w:t>.</w:t>
      </w:r>
    </w:p>
    <w:p w14:paraId="752BEFA9" w14:textId="77777777" w:rsidR="00380234" w:rsidRDefault="00380234" w:rsidP="00380234">
      <w:pPr>
        <w:pStyle w:val="BodyText"/>
        <w:spacing w:line="276" w:lineRule="auto"/>
        <w:ind w:left="0"/>
        <w:jc w:val="both"/>
        <w:rPr>
          <w:sz w:val="22"/>
          <w:szCs w:val="22"/>
          <w:lang w:eastAsia="zh-CN"/>
        </w:rPr>
      </w:pPr>
    </w:p>
    <w:p w14:paraId="6959E3C0" w14:textId="6020D4D2" w:rsidR="00714ECA" w:rsidRPr="00A53E36"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BD0F2F" w:rsidRPr="00BD0F2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w:t>
      </w:r>
      <w:r w:rsidRPr="00E26B14">
        <w:rPr>
          <w:sz w:val="22"/>
          <w:szCs w:val="22"/>
          <w:lang w:eastAsia="zh-CN"/>
        </w:rPr>
        <w:lastRenderedPageBreak/>
        <w:t xml:space="preserve">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A448D7" w:rsidRPr="00A448D7">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variants","URL":"https://www.who.int/activities/tracking-SARS-CoV-2-variants","accessed":{"date-parts":[["2025",7,17]]}}}],"schema":"https://github.com/citation-style-language/schema/raw/master/csl-citation.json"}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FA2A2B1" w14:textId="3FFC7DD9" w:rsidR="00E8099C" w:rsidRDefault="00A702A8" w:rsidP="00D9451E">
      <w:pPr>
        <w:pStyle w:val="BodyText"/>
        <w:spacing w:line="276" w:lineRule="auto"/>
        <w:jc w:val="center"/>
        <w:rPr>
          <w:sz w:val="22"/>
          <w:szCs w:val="22"/>
          <w:shd w:val="pct15" w:color="auto" w:fill="FFFFFF"/>
          <w:lang w:eastAsia="zh-CN"/>
        </w:rPr>
      </w:pPr>
      <w:r>
        <w:rPr>
          <w:noProof/>
          <w:sz w:val="22"/>
          <w:szCs w:val="22"/>
          <w:shd w:val="pct15" w:color="auto" w:fill="FFFFFF"/>
          <w:lang w:eastAsia="zh-CN"/>
          <w14:ligatures w14:val="standardContextual"/>
        </w:rPr>
        <w:drawing>
          <wp:inline distT="0" distB="0" distL="0" distR="0" wp14:anchorId="5474CE6A" wp14:editId="0C75B409">
            <wp:extent cx="5021189" cy="4114800"/>
            <wp:effectExtent l="0" t="0" r="0" b="0"/>
            <wp:docPr id="1141714503" name="Picture 3"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14503" name="Picture 3" descr="A diagram of a data flow&#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1189" cy="4114800"/>
                    </a:xfrm>
                    <a:prstGeom prst="rect">
                      <a:avLst/>
                    </a:prstGeom>
                  </pic:spPr>
                </pic:pic>
              </a:graphicData>
            </a:graphic>
          </wp:inline>
        </w:drawing>
      </w:r>
    </w:p>
    <w:p w14:paraId="1021652C" w14:textId="23FD4643" w:rsidR="001C6C8F" w:rsidRPr="00E96849" w:rsidRDefault="00476B85" w:rsidP="00476B85">
      <w:pPr>
        <w:pStyle w:val="BodyText"/>
        <w:spacing w:line="276" w:lineRule="auto"/>
        <w:rPr>
          <w:color w:val="C00000"/>
          <w:sz w:val="20"/>
          <w:szCs w:val="20"/>
          <w:lang w:eastAsia="zh-CN"/>
        </w:rPr>
      </w:pPr>
      <w:r w:rsidRPr="00E96849">
        <w:rPr>
          <w:color w:val="C00000"/>
          <w:sz w:val="20"/>
          <w:szCs w:val="20"/>
          <w:lang w:eastAsia="zh-CN"/>
        </w:rPr>
        <w:t xml:space="preserve">Figure 1. Overview of the data processing workflow, including data inclusion, exclusion, and </w:t>
      </w:r>
      <w:r w:rsidR="00DF3753" w:rsidRPr="00E96849">
        <w:rPr>
          <w:color w:val="C00000"/>
          <w:sz w:val="20"/>
          <w:szCs w:val="20"/>
          <w:lang w:eastAsia="zh-CN"/>
        </w:rPr>
        <w:t xml:space="preserve">grouping </w:t>
      </w:r>
      <w:r w:rsidRPr="00E96849">
        <w:rPr>
          <w:color w:val="C00000"/>
          <w:sz w:val="20"/>
          <w:szCs w:val="20"/>
          <w:lang w:eastAsia="zh-CN"/>
        </w:rPr>
        <w:t>steps.</w:t>
      </w:r>
    </w:p>
    <w:p w14:paraId="563A36BD" w14:textId="77777777" w:rsidR="00E8099C" w:rsidRDefault="00E8099C" w:rsidP="00476B85">
      <w:pPr>
        <w:pStyle w:val="BodyText"/>
        <w:spacing w:line="276" w:lineRule="auto"/>
        <w:ind w:left="0"/>
        <w:jc w:val="both"/>
        <w:rPr>
          <w:sz w:val="22"/>
          <w:szCs w:val="22"/>
          <w:shd w:val="pct15" w:color="auto" w:fill="FFFFFF"/>
          <w:lang w:eastAsia="zh-CN"/>
        </w:rPr>
      </w:pPr>
    </w:p>
    <w:p w14:paraId="2E1AF639" w14:textId="6739C977" w:rsidR="000F2CF7" w:rsidRDefault="00D50964" w:rsidP="00E869CA">
      <w:pPr>
        <w:pStyle w:val="BodyText"/>
        <w:spacing w:line="276" w:lineRule="auto"/>
        <w:jc w:val="both"/>
        <w:rPr>
          <w:sz w:val="22"/>
          <w:szCs w:val="22"/>
          <w:lang w:eastAsia="zh-CN"/>
        </w:rPr>
      </w:pPr>
      <w:r w:rsidRPr="00D50964">
        <w:rPr>
          <w:sz w:val="22"/>
          <w:szCs w:val="22"/>
          <w:lang w:eastAsia="zh-CN"/>
        </w:rPr>
        <w:t xml:space="preserve">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w:t>
      </w:r>
      <w:r w:rsidRPr="00393F15">
        <w:rPr>
          <w:sz w:val="22"/>
          <w:szCs w:val="22"/>
          <w:shd w:val="pct15" w:color="auto" w:fill="FFFFFF"/>
          <w:lang w:eastAsia="zh-CN"/>
        </w:rPr>
        <w:t xml:space="preserve">To ensure analytic relevance, each retained group was required to cause at least </w:t>
      </w:r>
      <w:r w:rsidR="00393F15" w:rsidRPr="00393F15">
        <w:rPr>
          <w:sz w:val="22"/>
          <w:szCs w:val="22"/>
          <w:shd w:val="pct15" w:color="auto" w:fill="FFFFFF"/>
          <w:lang w:eastAsia="zh-CN"/>
        </w:rPr>
        <w:t>1000</w:t>
      </w:r>
      <w:r w:rsidRPr="00393F15">
        <w:rPr>
          <w:sz w:val="22"/>
          <w:szCs w:val="22"/>
          <w:shd w:val="pct15" w:color="auto" w:fill="FFFFFF"/>
          <w:lang w:eastAsia="zh-CN"/>
        </w:rPr>
        <w:t xml:space="preserve"> infections by August 2024</w:t>
      </w:r>
      <w:r w:rsidR="00393F15">
        <w:rPr>
          <w:sz w:val="22"/>
          <w:szCs w:val="22"/>
          <w:shd w:val="pct15" w:color="auto" w:fill="FFFFFF"/>
          <w:lang w:eastAsia="zh-CN"/>
        </w:rPr>
        <w:t xml:space="preserve"> (more words to talk about grouping, figures if necessary)</w:t>
      </w:r>
      <w:r w:rsidRPr="00393F15">
        <w:rPr>
          <w:sz w:val="22"/>
          <w:szCs w:val="22"/>
          <w:shd w:val="pct15" w:color="auto" w:fill="FFFFFF"/>
          <w:lang w:eastAsia="zh-CN"/>
        </w:rPr>
        <w:t>.</w:t>
      </w:r>
      <w:r w:rsidR="004B7069">
        <w:rPr>
          <w:rFonts w:hint="eastAsia"/>
          <w:sz w:val="22"/>
          <w:szCs w:val="22"/>
          <w:lang w:eastAsia="zh-CN"/>
        </w:rPr>
        <w:t xml:space="preserve"> </w:t>
      </w:r>
      <w:r w:rsidR="00C51E06" w:rsidRPr="00554364">
        <w:rPr>
          <w:color w:val="C00000"/>
          <w:sz w:val="22"/>
          <w:szCs w:val="22"/>
          <w:lang w:eastAsia="zh-CN"/>
        </w:rPr>
        <w:t xml:space="preserve">Figure </w:t>
      </w:r>
      <w:r w:rsidR="00554364" w:rsidRPr="00554364">
        <w:rPr>
          <w:color w:val="C00000"/>
          <w:sz w:val="22"/>
          <w:szCs w:val="22"/>
          <w:lang w:eastAsia="zh-CN"/>
        </w:rPr>
        <w:t>2</w:t>
      </w:r>
      <w:r w:rsidR="00C51E06" w:rsidRPr="00C51E06">
        <w:rPr>
          <w:sz w:val="22"/>
          <w:szCs w:val="22"/>
          <w:lang w:eastAsia="zh-CN"/>
        </w:rPr>
        <w:t xml:space="preserve"> shows the shifting landscape of SARS-CoV-2 variants in the United States, the United Kingdom, and South Korea. In each panel, the </w:t>
      </w:r>
      <w:r w:rsidR="002E287A" w:rsidRPr="00C51E06">
        <w:rPr>
          <w:sz w:val="22"/>
          <w:szCs w:val="22"/>
          <w:lang w:eastAsia="zh-CN"/>
        </w:rPr>
        <w:t>light gray</w:t>
      </w:r>
      <w:r w:rsidR="00C51E06" w:rsidRPr="00C51E06">
        <w:rPr>
          <w:sz w:val="22"/>
          <w:szCs w:val="22"/>
          <w:lang w:eastAsia="zh-CN"/>
        </w:rPr>
        <w:t xml:space="preserve"> “</w:t>
      </w:r>
      <w:r w:rsidR="00087FC7">
        <w:rPr>
          <w:sz w:val="22"/>
          <w:szCs w:val="22"/>
          <w:lang w:eastAsia="zh-CN"/>
        </w:rPr>
        <w:t>o</w:t>
      </w:r>
      <w:r w:rsidR="00C51E06" w:rsidRPr="00C51E06">
        <w:rPr>
          <w:sz w:val="22"/>
          <w:szCs w:val="22"/>
          <w:lang w:eastAsia="zh-CN"/>
        </w:rPr>
        <w:t xml:space="preserve">thers” category remains a substantial share of cases over time, highlighting the persistent diversity of less common lineages. Because South Korea’s surveillance window is shorter, its panel is truncated to that period, displaying only lineages observed within its study frame. After classification and filtering, </w:t>
      </w:r>
      <w:r w:rsidR="00CF6E6E">
        <w:rPr>
          <w:sz w:val="22"/>
          <w:szCs w:val="22"/>
          <w:lang w:eastAsia="zh-CN"/>
        </w:rPr>
        <w:t>75</w:t>
      </w:r>
      <w:r w:rsidR="00C51E06" w:rsidRPr="00C51E06">
        <w:rPr>
          <w:sz w:val="22"/>
          <w:szCs w:val="22"/>
          <w:lang w:eastAsia="zh-CN"/>
        </w:rPr>
        <w:t xml:space="preserve"> variant groups were retained in the UK—dominated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w:t>
      </w:r>
      <w:r w:rsidR="00CF6E6E">
        <w:rPr>
          <w:sz w:val="22"/>
          <w:szCs w:val="22"/>
          <w:lang w:eastAsia="zh-CN"/>
        </w:rPr>
        <w:t>33</w:t>
      </w:r>
      <w:r w:rsidR="00C51E06" w:rsidRPr="00C51E06">
        <w:rPr>
          <w:sz w:val="22"/>
          <w:szCs w:val="22"/>
          <w:lang w:eastAsia="zh-CN"/>
        </w:rPr>
        <w:t xml:space="preserve"> in South Korea, where </w:t>
      </w:r>
      <w:r w:rsidR="00C51E06" w:rsidRPr="00C51E06">
        <w:rPr>
          <w:sz w:val="22"/>
          <w:szCs w:val="22"/>
          <w:lang w:eastAsia="zh-CN"/>
        </w:rPr>
        <w:lastRenderedPageBreak/>
        <w:t xml:space="preserve">BA.2.3-derived lineages and recombinants like EG.5.1 and FL.10.1 predominate, and </w:t>
      </w:r>
      <w:r w:rsidR="00393F15">
        <w:rPr>
          <w:sz w:val="22"/>
          <w:szCs w:val="22"/>
          <w:lang w:eastAsia="zh-CN"/>
        </w:rPr>
        <w:t>104</w:t>
      </w:r>
      <w:r w:rsidR="00C51E06" w:rsidRPr="00C51E06">
        <w:rPr>
          <w:sz w:val="22"/>
          <w:szCs w:val="22"/>
          <w:lang w:eastAsia="zh-CN"/>
        </w:rPr>
        <w:t xml:space="preserve">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These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335F79CB" w:rsidR="000F2CF7" w:rsidRDefault="00390782"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70D025D4" wp14:editId="7A192195">
            <wp:extent cx="6191250" cy="3980180"/>
            <wp:effectExtent l="0" t="0" r="6350" b="0"/>
            <wp:docPr id="6602238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3895" name="Picture 1"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116969BC" w14:textId="219568F8" w:rsidR="00C44255" w:rsidRPr="00373644" w:rsidRDefault="00C44255" w:rsidP="006070D6">
      <w:pPr>
        <w:pStyle w:val="BodyText"/>
        <w:spacing w:line="276" w:lineRule="auto"/>
        <w:jc w:val="both"/>
        <w:rPr>
          <w:rFonts w:eastAsiaTheme="minorEastAsia"/>
          <w:color w:val="C00000"/>
          <w:sz w:val="20"/>
          <w:szCs w:val="20"/>
          <w:lang w:eastAsia="zh-CN"/>
        </w:rPr>
      </w:pPr>
      <w:r w:rsidRPr="00373644">
        <w:rPr>
          <w:rFonts w:eastAsiaTheme="minorEastAsia"/>
          <w:color w:val="C00000"/>
          <w:sz w:val="20"/>
          <w:szCs w:val="20"/>
          <w:lang w:eastAsia="ko-KR"/>
        </w:rPr>
        <w:t xml:space="preserve">Figure </w:t>
      </w:r>
      <w:r w:rsidR="001C6C8F" w:rsidRPr="00373644">
        <w:rPr>
          <w:rFonts w:eastAsiaTheme="minorEastAsia"/>
          <w:color w:val="C00000"/>
          <w:sz w:val="20"/>
          <w:szCs w:val="20"/>
          <w:lang w:eastAsia="ko-KR"/>
        </w:rPr>
        <w:t>2</w:t>
      </w:r>
      <w:r w:rsidRPr="00373644">
        <w:rPr>
          <w:rFonts w:eastAsiaTheme="minorEastAsia"/>
          <w:color w:val="C00000"/>
          <w:sz w:val="20"/>
          <w:szCs w:val="20"/>
          <w:lang w:eastAsia="ko-KR"/>
        </w:rPr>
        <w:t xml:space="preserve">. </w:t>
      </w:r>
      <w:r w:rsidR="00E73F8F" w:rsidRPr="00373644">
        <w:rPr>
          <w:rFonts w:eastAsiaTheme="minorEastAsia"/>
          <w:color w:val="C00000"/>
          <w:sz w:val="20"/>
          <w:szCs w:val="20"/>
          <w:lang w:eastAsia="ko-KR"/>
        </w:rPr>
        <w:t xml:space="preserve">Time-series distribution of SARS-CoV-2 PANGO lineages during the analytical period in the United Kingdom, the United States, and South Korea. Only lineages with monthly maximum share &gt; </w:t>
      </w:r>
      <w:r w:rsidR="00373644" w:rsidRPr="00373644">
        <w:rPr>
          <w:rFonts w:eastAsiaTheme="minorEastAsia"/>
          <w:color w:val="C00000"/>
          <w:sz w:val="20"/>
          <w:szCs w:val="20"/>
          <w:lang w:eastAsia="ko-KR"/>
        </w:rPr>
        <w:t>3</w:t>
      </w:r>
      <w:r w:rsidR="00E73F8F" w:rsidRPr="00373644">
        <w:rPr>
          <w:rFonts w:eastAsiaTheme="minorEastAsia"/>
          <w:color w:val="C00000"/>
          <w:sz w:val="20"/>
          <w:szCs w:val="20"/>
          <w:lang w:eastAsia="ko-KR"/>
        </w:rPr>
        <w:t xml:space="preserve">0% and &gt; </w:t>
      </w:r>
      <w:r w:rsidR="00373644" w:rsidRPr="00373644">
        <w:rPr>
          <w:rFonts w:eastAsiaTheme="minorEastAsia"/>
          <w:color w:val="C00000"/>
          <w:sz w:val="20"/>
          <w:szCs w:val="20"/>
          <w:lang w:eastAsia="ko-KR"/>
        </w:rPr>
        <w:t>1</w:t>
      </w:r>
      <w:r w:rsidR="00E73F8F" w:rsidRPr="00373644">
        <w:rPr>
          <w:rFonts w:eastAsiaTheme="minorEastAsia"/>
          <w:color w:val="C00000"/>
          <w:sz w:val="20"/>
          <w:szCs w:val="20"/>
          <w:lang w:eastAsia="ko-KR"/>
        </w:rPr>
        <w:t xml:space="preserve">0% share sustained for &gt; </w:t>
      </w:r>
      <w:r w:rsidR="00DE4C9C">
        <w:rPr>
          <w:rFonts w:eastAsiaTheme="minorEastAsia"/>
          <w:color w:val="C00000"/>
          <w:sz w:val="20"/>
          <w:szCs w:val="20"/>
          <w:lang w:eastAsia="ko-KR"/>
        </w:rPr>
        <w:t xml:space="preserve">100 days </w:t>
      </w:r>
      <w:r w:rsidR="00E73F8F" w:rsidRPr="00373644">
        <w:rPr>
          <w:rFonts w:eastAsiaTheme="minorEastAsia"/>
          <w:color w:val="C00000"/>
          <w:sz w:val="20"/>
          <w:szCs w:val="20"/>
          <w:lang w:eastAsia="ko-KR"/>
        </w:rPr>
        <w:t>are shown in the legend.</w:t>
      </w: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5726189F" w:rsidR="007C32E6" w:rsidRDefault="00DC0B3C" w:rsidP="001F2151">
      <w:pPr>
        <w:pStyle w:val="BodyText"/>
        <w:spacing w:line="276" w:lineRule="auto"/>
        <w:ind w:left="0"/>
        <w:jc w:val="both"/>
        <w:rPr>
          <w:sz w:val="22"/>
          <w:szCs w:val="22"/>
          <w:lang w:eastAsia="zh-CN"/>
        </w:rPr>
      </w:pPr>
      <w:r w:rsidRPr="00DC0B3C">
        <w:rPr>
          <w:sz w:val="22"/>
          <w:szCs w:val="22"/>
          <w:lang w:eastAsia="zh-CN"/>
        </w:rPr>
        <w:t xml:space="preserve">Our two‐stage modeling framework proved highly effective at forecasting both a variant’s </w:t>
      </w:r>
      <w:r w:rsidR="002B7E36">
        <w:rPr>
          <w:sz w:val="22"/>
          <w:szCs w:val="22"/>
          <w:lang w:eastAsia="zh-CN"/>
        </w:rPr>
        <w:t>peak</w:t>
      </w:r>
      <w:r w:rsidRPr="00DC0B3C">
        <w:rPr>
          <w:sz w:val="22"/>
          <w:szCs w:val="22"/>
          <w:lang w:eastAsia="zh-CN"/>
        </w:rPr>
        <w:t xml:space="preserve"> share and its takeover timing. By fitting country‐specific logistic‐growth curves to early domestic‐share data, we predicted each variant’s peak prevalence with mean absolute errors below </w:t>
      </w:r>
      <w:r w:rsidR="00B12904">
        <w:rPr>
          <w:sz w:val="22"/>
          <w:szCs w:val="22"/>
          <w:lang w:eastAsia="zh-CN"/>
        </w:rPr>
        <w:t>10</w:t>
      </w:r>
      <w:r w:rsidRPr="00DC0B3C">
        <w:rPr>
          <w:sz w:val="22"/>
          <w:szCs w:val="22"/>
          <w:lang w:eastAsia="zh-CN"/>
        </w:rPr>
        <w:t>% in leave‐one‐variant‐out cross‐validation—comparable to the success of Davies et al.</w:t>
      </w:r>
      <w:r w:rsidR="00830611">
        <w:rPr>
          <w:sz w:val="22"/>
          <w:szCs w:val="22"/>
          <w:lang w:eastAsia="zh-CN"/>
        </w:rPr>
        <w:t xml:space="preserve"> </w:t>
      </w:r>
      <w:r w:rsidR="00830611">
        <w:rPr>
          <w:sz w:val="22"/>
          <w:szCs w:val="22"/>
          <w:lang w:eastAsia="zh-CN"/>
        </w:rPr>
        <w:fldChar w:fldCharType="begin"/>
      </w:r>
      <w:r w:rsidR="00830611">
        <w:rPr>
          <w:sz w:val="22"/>
          <w:szCs w:val="22"/>
          <w:lang w:eastAsia="zh-CN"/>
        </w:rPr>
        <w:instrText xml:space="preserve"> ADDIN ZOTERO_ITEM CSL_CITATION {"citationID":"xLSm0xJk","properties":{"formattedCitation":"[8]","plainCitation":"[8]","noteIndex":0},"citationItems":[{"id":572,"uris":["http://zotero.org/users/14790911/items/JKKRATG5"],"itemData":{"id":572,"type":"article-journal","abstract":"A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830611">
        <w:rPr>
          <w:sz w:val="22"/>
          <w:szCs w:val="22"/>
          <w:lang w:eastAsia="zh-CN"/>
        </w:rPr>
        <w:fldChar w:fldCharType="separate"/>
      </w:r>
      <w:r w:rsidR="00830611">
        <w:rPr>
          <w:noProof/>
          <w:sz w:val="22"/>
          <w:szCs w:val="22"/>
          <w:lang w:eastAsia="zh-CN"/>
        </w:rPr>
        <w:t>[8]</w:t>
      </w:r>
      <w:r w:rsidR="00830611">
        <w:rPr>
          <w:sz w:val="22"/>
          <w:szCs w:val="22"/>
          <w:lang w:eastAsia="zh-CN"/>
        </w:rPr>
        <w:fldChar w:fldCharType="end"/>
      </w:r>
      <w:r w:rsidRPr="00DC0B3C">
        <w:rPr>
          <w:sz w:val="22"/>
          <w:szCs w:val="22"/>
          <w:lang w:eastAsia="zh-CN"/>
        </w:rPr>
        <w:t xml:space="preserve"> in forecasting B.1.1.7’s peak in England. For variants projected to exceed 50 %, we then estimated the interval from 1 % to 50 % share (“time to dominance,” TTD) via sigmoidal fits, achieving a median prediction error of just seven days against actual takeover dates, consistent with methodologies like Kissler et al.</w:t>
      </w:r>
      <w:r w:rsidR="00830611">
        <w:rPr>
          <w:sz w:val="22"/>
          <w:szCs w:val="22"/>
          <w:lang w:eastAsia="zh-CN"/>
        </w:rPr>
        <w:t xml:space="preserve"> </w:t>
      </w:r>
      <w:r w:rsidR="0018704F">
        <w:rPr>
          <w:sz w:val="22"/>
          <w:szCs w:val="22"/>
          <w:lang w:eastAsia="zh-CN"/>
        </w:rPr>
        <w:fldChar w:fldCharType="begin"/>
      </w:r>
      <w:r w:rsidR="0018704F">
        <w:rPr>
          <w:sz w:val="22"/>
          <w:szCs w:val="22"/>
          <w:lang w:eastAsia="zh-CN"/>
        </w:rPr>
        <w:instrText xml:space="preserve"> ADDIN ZOTERO_ITEM CSL_CITATION {"citationID":"m7UEzyGF","properties":{"formattedCitation":"[9]","plainCitation":"[9]","noteIndex":0},"citationItems":[{"id":575,"uris":["http://zotero.org/users/14790911/items/TGR5PMQG"],"itemData":{"id":575,"type":"article-journal","abstract":"It is urgent to understand the future of severe acute respiratory syndrome-coronavirus 2 (SARS-CoV-2) transmission. We used estimates of seasonality, immunity, and cross-immunity for human coronavirus OC43 (HCoV-OC43) and HCoV-HKU1 using time-series data from the United States to inform a model of SARS-CoV-2 transmission. We projected that recurrent wintertime outbreaks of SARS-CoV-2 will probably occur after the initial, most severe pandemic wave. Absent other interventions, a key metric for the success of social distancing is whether critical care capacities are exceeded. To avoid this, prolonged or intermittent social distancing may be necessary into 2022. Additional interventions, including expanded critical care capacity and an effective therapeutic, would improve the success of intermittent distancing and hasten the acquisition of herd immunity. Longitudinal serological studies are urgently needed to determine the extent and duration of immunity to SARS-CoV-2. Even in the event of apparent elimination, SARS-CoV-2 surveillance should be maintained because a resurgence in contagion could be possible as late as 2024.","container-title":"Science (New York, N.Y.)","DOI":"10.1126/science.abb5793","ISSN":"1095-9203","issue":"6493","journalAbbreviation":"Science","language":"eng","note":"PMID: 32291278\nPMCID: PMC7164482","page":"860-868","source":"PubMed","title":"Projecting the transmission dynamics of SARS-CoV-2 through the postpandemic period","volume":"368","author":[{"family":"Kissler","given":"Stephen M."},{"family":"Tedijanto","given":"Christine"},{"family":"Goldstein","given":"Edward"},{"family":"Grad","given":"Yonatan H."},{"family":"Lipsitch","given":"Marc"}],"issued":{"date-parts":[["2020",5,22]]}}}],"schema":"https://github.com/citation-style-language/schema/raw/master/csl-citation.json"} </w:instrText>
      </w:r>
      <w:r w:rsidR="0018704F">
        <w:rPr>
          <w:sz w:val="22"/>
          <w:szCs w:val="22"/>
          <w:lang w:eastAsia="zh-CN"/>
        </w:rPr>
        <w:fldChar w:fldCharType="separate"/>
      </w:r>
      <w:r w:rsidR="0018704F">
        <w:rPr>
          <w:noProof/>
          <w:sz w:val="22"/>
          <w:szCs w:val="22"/>
          <w:lang w:eastAsia="zh-CN"/>
        </w:rPr>
        <w:t>[9]</w:t>
      </w:r>
      <w:r w:rsidR="0018704F">
        <w:rPr>
          <w:sz w:val="22"/>
          <w:szCs w:val="22"/>
          <w:lang w:eastAsia="zh-CN"/>
        </w:rPr>
        <w:fldChar w:fldCharType="end"/>
      </w:r>
      <w:r w:rsidRPr="00DC0B3C">
        <w:rPr>
          <w:sz w:val="22"/>
          <w:szCs w:val="22"/>
          <w:lang w:eastAsia="zh-CN"/>
        </w:rPr>
        <w:t>. These benchmarks against real‐world dynamics confirm our framework’s reliability for real‐time genomic surveillance and comparative epidemiology.</w:t>
      </w:r>
      <w:r>
        <w:rPr>
          <w:sz w:val="22"/>
          <w:szCs w:val="22"/>
          <w:lang w:eastAsia="zh-CN"/>
        </w:rPr>
        <w:t xml:space="preserve"> </w:t>
      </w:r>
      <w:r w:rsidR="00D82EDF" w:rsidRPr="00D82EDF">
        <w:rPr>
          <w:sz w:val="22"/>
          <w:szCs w:val="22"/>
          <w:lang w:eastAsia="zh-CN"/>
        </w:rPr>
        <w:t>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0B1D075" w14:textId="77040FC1" w:rsidR="00FB08DA" w:rsidRPr="00C44913" w:rsidRDefault="001C29D5" w:rsidP="004D03EE">
      <w:pPr>
        <w:pStyle w:val="BodyText"/>
        <w:spacing w:line="276" w:lineRule="auto"/>
        <w:ind w:left="0"/>
        <w:jc w:val="both"/>
        <w:rPr>
          <w:color w:val="C00000"/>
          <w:sz w:val="22"/>
          <w:szCs w:val="22"/>
          <w:lang w:eastAsia="zh-CN"/>
        </w:rPr>
      </w:pPr>
      <w:r w:rsidRPr="00C44913">
        <w:rPr>
          <w:rFonts w:hint="eastAsia"/>
          <w:color w:val="C00000"/>
          <w:sz w:val="22"/>
          <w:szCs w:val="22"/>
          <w:lang w:eastAsia="zh-CN"/>
        </w:rPr>
        <w:t xml:space="preserve">In </w:t>
      </w:r>
      <w:r w:rsidRPr="00C44913">
        <w:rPr>
          <w:color w:val="C00000"/>
          <w:sz w:val="22"/>
          <w:szCs w:val="22"/>
          <w:lang w:eastAsia="zh-CN"/>
        </w:rPr>
        <w:t xml:space="preserve">the first part to predict the dominance of the variant, the input is first </w:t>
      </w:r>
      <m:oMath>
        <m:r>
          <w:rPr>
            <w:rFonts w:ascii="Cambria Math" w:hAnsi="Cambria Math"/>
            <w:color w:val="C00000"/>
            <w:sz w:val="22"/>
            <w:szCs w:val="22"/>
            <w:lang w:eastAsia="zh-CN"/>
          </w:rPr>
          <m:t>N</m:t>
        </m:r>
      </m:oMath>
      <w:r w:rsidRPr="00C44913">
        <w:rPr>
          <w:color w:val="C00000"/>
          <w:sz w:val="22"/>
          <w:szCs w:val="22"/>
          <w:lang w:eastAsia="zh-CN"/>
        </w:rPr>
        <w:t xml:space="preserve"> days’ share of the variant. It needs to be mentioned that </w:t>
      </w:r>
      <w:r w:rsidR="00C02880" w:rsidRPr="00C44913">
        <w:rPr>
          <w:color w:val="C00000"/>
          <w:sz w:val="22"/>
          <w:szCs w:val="22"/>
          <w:lang w:eastAsia="zh-CN"/>
        </w:rPr>
        <w:t xml:space="preserve">to avoid the wrongly recorded cases of the variant at the beginning, the first </w:t>
      </w:r>
      <m:oMath>
        <m:r>
          <w:rPr>
            <w:rFonts w:ascii="Cambria Math" w:hAnsi="Cambria Math"/>
            <w:color w:val="C00000"/>
            <w:sz w:val="22"/>
            <w:szCs w:val="22"/>
            <w:lang w:eastAsia="zh-CN"/>
          </w:rPr>
          <m:t>N</m:t>
        </m:r>
      </m:oMath>
      <w:r w:rsidR="00C02880" w:rsidRPr="00C44913">
        <w:rPr>
          <w:color w:val="C00000"/>
          <w:sz w:val="22"/>
          <w:szCs w:val="22"/>
          <w:lang w:eastAsia="zh-CN"/>
        </w:rPr>
        <w:t xml:space="preserve"> days start from the </w:t>
      </w:r>
      <w:r w:rsidR="003627DB" w:rsidRPr="00C44913">
        <w:rPr>
          <w:color w:val="C00000"/>
          <w:sz w:val="22"/>
          <w:szCs w:val="22"/>
          <w:lang w:eastAsia="zh-CN"/>
        </w:rPr>
        <w:t xml:space="preserve">first day to achieved 1% share. </w:t>
      </w:r>
      <w:r w:rsidR="0048029C" w:rsidRPr="00C44913">
        <w:rPr>
          <w:color w:val="C00000"/>
          <w:sz w:val="22"/>
          <w:szCs w:val="22"/>
          <w:lang w:eastAsia="zh-CN"/>
        </w:rPr>
        <w:t xml:space="preserve">To better characterize the dominance of each variant, we employ three evaluation metrics. First, the area under the curve (AUC) of the variant’s prevalence trajectory provides a cumulative measure of its circulation over time, a metric frequently used to capture overall epidemic burden </w:t>
      </w:r>
      <w:r w:rsidR="0048029C" w:rsidRPr="00C44913">
        <w:rPr>
          <w:color w:val="C00000"/>
          <w:sz w:val="22"/>
          <w:szCs w:val="22"/>
          <w:shd w:val="pct15" w:color="auto" w:fill="FFFFFF"/>
          <w:lang w:eastAsia="zh-CN"/>
        </w:rPr>
        <w:lastRenderedPageBreak/>
        <w:t>(see Volz et al., Science 2021; Ritchie et al., Nat Commun 2023)</w:t>
      </w:r>
      <w:r w:rsidR="0048029C" w:rsidRPr="00C44913">
        <w:rPr>
          <w:color w:val="C00000"/>
          <w:sz w:val="22"/>
          <w:szCs w:val="22"/>
          <w:lang w:eastAsia="zh-CN"/>
        </w:rPr>
        <w:t>. Second, we consider the monthly maximum share, which smooths short-term fluctuations and reflects sustained dominance rather than transient daily peaks (</w:t>
      </w:r>
      <w:r w:rsidR="0048029C" w:rsidRPr="00C44913">
        <w:rPr>
          <w:color w:val="C00000"/>
          <w:sz w:val="22"/>
          <w:szCs w:val="22"/>
          <w:shd w:val="pct15" w:color="auto" w:fill="FFFFFF"/>
          <w:lang w:eastAsia="zh-CN"/>
        </w:rPr>
        <w:t>as recommended in outbreak dynamics analyses; see Davies et al., Nat Med 2021)</w:t>
      </w:r>
      <w:r w:rsidR="0048029C" w:rsidRPr="00C44913">
        <w:rPr>
          <w:color w:val="C00000"/>
          <w:sz w:val="22"/>
          <w:szCs w:val="22"/>
          <w:lang w:eastAsia="zh-CN"/>
        </w:rPr>
        <w:t>. Finally, we use the time above a 30% share threshold, which indicates how long a variant maintains substantial prevalence. Unlike the more conventional 50% threshold for defining dominance, which is appropriate for single-lineage tracking, in our grouped-variant setting over 90% of variants would yield zero duration at 50%. Therefore, the 30% threshold provides a more sensitive and discriminative measure of dominance duration across groups.</w:t>
      </w:r>
    </w:p>
    <w:p w14:paraId="76DD8477" w14:textId="77777777" w:rsidR="00FB08DA" w:rsidRPr="00C44913" w:rsidRDefault="00FB08DA" w:rsidP="004D03EE">
      <w:pPr>
        <w:pStyle w:val="BodyText"/>
        <w:spacing w:line="276" w:lineRule="auto"/>
        <w:ind w:left="0"/>
        <w:jc w:val="both"/>
        <w:rPr>
          <w:color w:val="C00000"/>
          <w:sz w:val="22"/>
          <w:szCs w:val="22"/>
          <w:lang w:eastAsia="zh-CN"/>
        </w:rPr>
      </w:pPr>
    </w:p>
    <w:p w14:paraId="52708E8D" w14:textId="7EF44489" w:rsidR="003060A7" w:rsidRPr="00C44913" w:rsidRDefault="00064AA8" w:rsidP="00336107">
      <w:pPr>
        <w:pStyle w:val="BodyText"/>
        <w:spacing w:line="276" w:lineRule="auto"/>
        <w:ind w:left="0"/>
        <w:jc w:val="both"/>
        <w:rPr>
          <w:color w:val="C00000"/>
          <w:sz w:val="22"/>
          <w:szCs w:val="22"/>
          <w:lang w:eastAsia="zh-CN"/>
        </w:rPr>
      </w:pPr>
      <w:r w:rsidRPr="00C44913">
        <w:rPr>
          <w:color w:val="C00000"/>
          <w:sz w:val="22"/>
          <w:szCs w:val="22"/>
          <w:lang w:eastAsia="zh-CN"/>
        </w:rPr>
        <w:t xml:space="preserve">To guard against dominance effects biasing early indicators, we apply a fixed early window of 14, 21, </w:t>
      </w:r>
      <w:r w:rsidR="00947292" w:rsidRPr="00C44913">
        <w:rPr>
          <w:color w:val="C00000"/>
          <w:sz w:val="22"/>
          <w:szCs w:val="22"/>
          <w:lang w:eastAsia="zh-CN"/>
        </w:rPr>
        <w:t xml:space="preserve">28 </w:t>
      </w:r>
      <w:r w:rsidRPr="00C44913">
        <w:rPr>
          <w:color w:val="C00000"/>
          <w:sz w:val="22"/>
          <w:szCs w:val="22"/>
          <w:lang w:eastAsia="zh-CN"/>
        </w:rPr>
        <w:t xml:space="preserve">or </w:t>
      </w:r>
      <w:r w:rsidR="00947292" w:rsidRPr="00C44913">
        <w:rPr>
          <w:color w:val="C00000"/>
          <w:sz w:val="22"/>
          <w:szCs w:val="22"/>
          <w:lang w:eastAsia="zh-CN"/>
        </w:rPr>
        <w:t>35</w:t>
      </w:r>
      <w:r w:rsidRPr="00C44913">
        <w:rPr>
          <w:color w:val="C00000"/>
          <w:sz w:val="22"/>
          <w:szCs w:val="22"/>
          <w:lang w:eastAsia="zh-CN"/>
        </w:rPr>
        <w:t xml:space="preserve"> days </w:t>
      </w:r>
      <w:r w:rsidR="0029605B" w:rsidRPr="00C44913">
        <w:rPr>
          <w:color w:val="C00000"/>
          <w:sz w:val="22"/>
          <w:szCs w:val="22"/>
          <w:lang w:eastAsia="zh-CN"/>
        </w:rPr>
        <w:fldChar w:fldCharType="begin"/>
      </w:r>
      <w:r w:rsidR="004540D4" w:rsidRPr="00C44913">
        <w:rPr>
          <w:color w:val="C00000"/>
          <w:sz w:val="22"/>
          <w:szCs w:val="22"/>
          <w:lang w:eastAsia="zh-CN"/>
        </w:rPr>
        <w:instrText xml:space="preserve"> ADDIN ZOTERO_ITEM CSL_CITATION {"citationID":"ayWdxBYJ","properties":{"formattedCitation":"[2], [10]","plainCitation":"[2], [10]","noteIndex":0},"citationItems":[{"id":580,"uris":["http://zotero.org/users/14790911/items/D56DIDTX"],"itemData":{"id":580,"type":"article","abstract":"The GISAID Initiative promotes the international sharing of all influenza virus sequences, related clinical and epidemiological data associated with human viruses, and geographical as well as species-specific data associated with avian and other animal viruses, to help researchers understand how the viruses evolve, spread and potentially become pandemics. *** GISAID does so by overcoming disincentives/hurdles or restrictions, which discourage or prevented sharing of influenza data prior to formal publication. *** The Initiative ensures that open access to data in GISAID is provided free-of-charge and to everyone, provided individuals identify themselves and agree to uphold the GISAID sharing mechanism governed through its Database Access Agreement. GISAID calls on all users to agree to the basic premise of upholding scientific etiquette, by acknowledging the originating laboratories providing the specimen and the submitting laboratories who generate the sequence data, ensuring fair exploitation of results derived from the data, and that all users agree that no restrictions shall be attached to data submitted to GISAID, to promote collaboration among researchers on the basis of open sharing of data and respect for all rights and interests.","DOI":"10.17616/R3Q59F","language":"en","publisher":"re3data.org - Registry of Research Data Repositories","source":"DOI.org (Datacite)","title":"GISAID","URL":"https://www.re3data.org/repository/r3d100010126","author":[{"literal":"Re3data.Org"}],"accessed":{"date-parts":[["2025",7,17]]},"issued":{"date-parts":[["2012"]]}}},{"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29605B" w:rsidRPr="00C44913">
        <w:rPr>
          <w:color w:val="C00000"/>
          <w:sz w:val="22"/>
          <w:szCs w:val="22"/>
          <w:lang w:eastAsia="zh-CN"/>
        </w:rPr>
        <w:fldChar w:fldCharType="separate"/>
      </w:r>
      <w:r w:rsidR="004540D4" w:rsidRPr="00C44913">
        <w:rPr>
          <w:noProof/>
          <w:color w:val="C00000"/>
          <w:sz w:val="22"/>
          <w:szCs w:val="22"/>
          <w:lang w:eastAsia="zh-CN"/>
        </w:rPr>
        <w:t>[2], [10]</w:t>
      </w:r>
      <w:r w:rsidR="0029605B" w:rsidRPr="00C44913">
        <w:rPr>
          <w:color w:val="C00000"/>
          <w:sz w:val="22"/>
          <w:szCs w:val="22"/>
          <w:lang w:eastAsia="zh-CN"/>
        </w:rPr>
        <w:fldChar w:fldCharType="end"/>
      </w:r>
      <w:r w:rsidRPr="00C44913">
        <w:rPr>
          <w:color w:val="C00000"/>
          <w:sz w:val="22"/>
          <w:szCs w:val="22"/>
          <w:lang w:eastAsia="zh-CN"/>
        </w:rPr>
        <w:t xml:space="preserve">: variants that fail to surpass </w:t>
      </w:r>
      <w:r w:rsidR="00586477" w:rsidRPr="00C44913">
        <w:rPr>
          <w:color w:val="C00000"/>
          <w:sz w:val="22"/>
          <w:szCs w:val="22"/>
          <w:lang w:eastAsia="zh-CN"/>
        </w:rPr>
        <w:t>30</w:t>
      </w:r>
      <w:r w:rsidRPr="00C44913">
        <w:rPr>
          <w:color w:val="C00000"/>
          <w:sz w:val="22"/>
          <w:szCs w:val="22"/>
          <w:lang w:eastAsia="zh-CN"/>
        </w:rPr>
        <w:t xml:space="preserve">% share within this period enter early‐stage modeling, whereas those exceeding </w:t>
      </w:r>
      <w:r w:rsidR="00586477" w:rsidRPr="00C44913">
        <w:rPr>
          <w:color w:val="C00000"/>
          <w:sz w:val="22"/>
          <w:szCs w:val="22"/>
          <w:lang w:eastAsia="zh-CN"/>
        </w:rPr>
        <w:t>3</w:t>
      </w:r>
      <w:r w:rsidR="00B25E8D" w:rsidRPr="00C44913">
        <w:rPr>
          <w:color w:val="C00000"/>
          <w:sz w:val="22"/>
          <w:szCs w:val="22"/>
          <w:lang w:eastAsia="zh-CN"/>
        </w:rPr>
        <w:t>0</w:t>
      </w:r>
      <w:r w:rsidRPr="00C44913">
        <w:rPr>
          <w:color w:val="C00000"/>
          <w:sz w:val="22"/>
          <w:szCs w:val="22"/>
          <w:lang w:eastAsia="zh-CN"/>
        </w:rPr>
        <w:t xml:space="preserve">% are excluded, having already exhibited dominance. </w:t>
      </w:r>
      <w:r w:rsidR="00EF46AC" w:rsidRPr="00C44913">
        <w:rPr>
          <w:color w:val="C00000"/>
          <w:sz w:val="22"/>
          <w:szCs w:val="22"/>
          <w:lang w:eastAsia="zh-CN"/>
        </w:rPr>
        <w:t>To quantify the early growth dynamics of each variant (grouped lineage), we extracted a broad set of time–series features from its daily share trajectory. From the first N days of share data, we derived handcrafted features that capture growth rate, variability, and trajectory shape (linear and logit slopes, quadratic curvature, maximum daily increase, variance, autocorrelation, time to reach defined thresholds, and doubling time). These were computed using base R functions and custom routines tailored to summarize epidemic growth patterns. In addition, we incorporated the catch22 feature set (Lubba et al., Nat. Commun., 2019), implemented through the Rcatch22 R package, which provides 22 well-validated and minimally redundant descriptors of time–series structure such as entropy, fluctuation scaling, and motif frequency. The catch22 features are particularly appropriate in this context because they are computationally efficient, robust to short and noisy sequences, and designed to be broadly applicable without requiring parameter tuning—an important advantage given the heterogeneous, sometimes sparse early trajectories of viral variants. By combining interpretable, epidemiology-motivated measures with this standardized set of machine-learning–oriented descriptors, our approach balances domain interpretability with statistical power and has been shown to improve generalization across diverse temporal signals. Together, these features quantify each trajectory’s level, variability, early acceleration, and persistence, providing a rich basis for downstream prediction of peak share and time to dominance.</w:t>
      </w:r>
      <w:r w:rsidR="008B1F6C" w:rsidRPr="00C44913">
        <w:rPr>
          <w:color w:val="C00000"/>
          <w:sz w:val="22"/>
          <w:szCs w:val="22"/>
          <w:lang w:eastAsia="zh-CN"/>
        </w:rPr>
        <w:t xml:space="preserve"> </w:t>
      </w:r>
      <w:r w:rsidR="00245895" w:rsidRPr="00C44913">
        <w:rPr>
          <w:color w:val="C00000"/>
          <w:sz w:val="22"/>
          <w:szCs w:val="22"/>
          <w:lang w:eastAsia="zh-CN"/>
        </w:rPr>
        <w:t xml:space="preserve">We based our summary‐feature approach on established methods for extracting interpretable time‐series characteristics </w:t>
      </w:r>
      <w:r w:rsidR="003D58FF" w:rsidRPr="00C44913">
        <w:rPr>
          <w:color w:val="C00000"/>
          <w:sz w:val="22"/>
          <w:szCs w:val="22"/>
          <w:lang w:eastAsia="zh-CN"/>
        </w:rPr>
        <w:fldChar w:fldCharType="begin"/>
      </w:r>
      <w:r w:rsidR="00423F43" w:rsidRPr="00C44913">
        <w:rPr>
          <w:color w:val="C00000"/>
          <w:sz w:val="22"/>
          <w:szCs w:val="22"/>
          <w:lang w:eastAsia="zh-CN"/>
        </w:rPr>
        <w:instrText xml:space="preserve"> ADDIN ZOTERO_ITEM CSL_CITATION {"citationID":"M2oojmPg","properties":{"formattedCitation":"[11]","plainCitation":"[11]","noteIndex":0},"citationItems":[{"id":581,"uris":["http://zotero.org/users/14790911/items/7L56ZNNZ"],"itemData":{"id":581,"type":"article-journal","abstract":"The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C44913">
        <w:rPr>
          <w:color w:val="C00000"/>
          <w:sz w:val="22"/>
          <w:szCs w:val="22"/>
          <w:lang w:eastAsia="zh-CN"/>
        </w:rPr>
        <w:fldChar w:fldCharType="separate"/>
      </w:r>
      <w:r w:rsidR="00423F43" w:rsidRPr="00C44913">
        <w:rPr>
          <w:noProof/>
          <w:color w:val="C00000"/>
          <w:sz w:val="22"/>
          <w:szCs w:val="22"/>
          <w:lang w:eastAsia="zh-CN"/>
        </w:rPr>
        <w:t>[11]</w:t>
      </w:r>
      <w:r w:rsidR="003D58FF" w:rsidRPr="00C44913">
        <w:rPr>
          <w:color w:val="C00000"/>
          <w:sz w:val="22"/>
          <w:szCs w:val="22"/>
          <w:lang w:eastAsia="zh-CN"/>
        </w:rPr>
        <w:fldChar w:fldCharType="end"/>
      </w:r>
      <w:r w:rsidR="00423F43" w:rsidRPr="00C44913">
        <w:rPr>
          <w:color w:val="C00000"/>
          <w:sz w:val="22"/>
          <w:szCs w:val="22"/>
          <w:lang w:eastAsia="zh-CN"/>
        </w:rPr>
        <w:t xml:space="preserve"> </w:t>
      </w:r>
      <w:r w:rsidR="00245895" w:rsidRPr="00C44913">
        <w:rPr>
          <w:color w:val="C00000"/>
          <w:sz w:val="22"/>
          <w:szCs w:val="22"/>
          <w:lang w:eastAsia="zh-CN"/>
        </w:rPr>
        <w:t>and on prior applications to SARS‐CoV-2 variant growth</w:t>
      </w:r>
      <w:r w:rsidR="00847435" w:rsidRPr="00C44913">
        <w:rPr>
          <w:color w:val="C00000"/>
          <w:sz w:val="22"/>
          <w:szCs w:val="22"/>
          <w:lang w:eastAsia="zh-CN"/>
        </w:rPr>
        <w:t xml:space="preserve"> </w:t>
      </w:r>
      <w:r w:rsidR="00847435" w:rsidRPr="00C44913">
        <w:rPr>
          <w:color w:val="C00000"/>
          <w:sz w:val="22"/>
          <w:szCs w:val="22"/>
          <w:lang w:eastAsia="zh-CN"/>
        </w:rPr>
        <w:fldChar w:fldCharType="begin"/>
      </w:r>
      <w:r w:rsidR="00847435" w:rsidRPr="00C44913">
        <w:rPr>
          <w:color w:val="C00000"/>
          <w:sz w:val="22"/>
          <w:szCs w:val="22"/>
          <w:lang w:eastAsia="zh-CN"/>
        </w:rPr>
        <w:instrText xml:space="preserve"> ADDIN ZOTERO_ITEM CSL_CITATION {"citationID":"o2epzz4E","properties":{"formattedCitation":"[12]","plainCitation":"[12]","noteIndex":0},"citationItems":[{"id":584,"uris":["http://zotero.org/users/14790911/items/KGB6LWRM"],"itemData":{"id":584,"type":"article-journal","abstract":"The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C44913">
        <w:rPr>
          <w:color w:val="C00000"/>
          <w:sz w:val="22"/>
          <w:szCs w:val="22"/>
          <w:lang w:eastAsia="zh-CN"/>
        </w:rPr>
        <w:fldChar w:fldCharType="separate"/>
      </w:r>
      <w:r w:rsidR="00847435" w:rsidRPr="00C44913">
        <w:rPr>
          <w:noProof/>
          <w:color w:val="C00000"/>
          <w:sz w:val="22"/>
          <w:szCs w:val="22"/>
          <w:lang w:eastAsia="zh-CN"/>
        </w:rPr>
        <w:t>[12]</w:t>
      </w:r>
      <w:r w:rsidR="00847435" w:rsidRPr="00C44913">
        <w:rPr>
          <w:color w:val="C00000"/>
          <w:sz w:val="22"/>
          <w:szCs w:val="22"/>
          <w:lang w:eastAsia="zh-CN"/>
        </w:rPr>
        <w:fldChar w:fldCharType="end"/>
      </w:r>
      <w:r w:rsidR="00245895" w:rsidRPr="00C44913">
        <w:rPr>
          <w:color w:val="C00000"/>
          <w:sz w:val="22"/>
          <w:szCs w:val="22"/>
          <w:lang w:eastAsia="zh-CN"/>
        </w:rPr>
        <w:t>, yielding a compact set of metrics that capture level, variability, early acceleration, and persistence.</w:t>
      </w:r>
    </w:p>
    <w:p w14:paraId="2A551035" w14:textId="77777777" w:rsidR="00336107" w:rsidRPr="00C44913" w:rsidRDefault="00336107" w:rsidP="00336107">
      <w:pPr>
        <w:pStyle w:val="BodyText"/>
        <w:spacing w:line="276" w:lineRule="auto"/>
        <w:ind w:left="0"/>
        <w:jc w:val="both"/>
        <w:rPr>
          <w:color w:val="C00000"/>
          <w:sz w:val="22"/>
          <w:szCs w:val="22"/>
          <w:lang w:eastAsia="zh-CN"/>
        </w:rPr>
      </w:pPr>
    </w:p>
    <w:p w14:paraId="3160E753" w14:textId="30BA0428" w:rsidR="00336107" w:rsidRDefault="00C44913" w:rsidP="00336107">
      <w:pPr>
        <w:pStyle w:val="BodyText"/>
        <w:spacing w:line="276" w:lineRule="auto"/>
        <w:ind w:left="0"/>
        <w:jc w:val="both"/>
        <w:rPr>
          <w:color w:val="C00000"/>
          <w:sz w:val="22"/>
          <w:szCs w:val="22"/>
          <w:lang w:eastAsia="zh-CN"/>
        </w:rPr>
      </w:pPr>
      <w:r w:rsidRPr="00C44913">
        <w:rPr>
          <w:color w:val="C00000"/>
          <w:sz w:val="22"/>
          <w:szCs w:val="22"/>
          <w:lang w:eastAsia="zh-CN"/>
        </w:rPr>
        <w:t xml:space="preserve">Before model fitting, we grouped countries by the volatility of their lineage share trajectories to account for heterogeneity in epidemic dynamics. Volatility was quantified using distributional features of daily share changes (mean absolute change, standard deviation, interquartile range, tail range, entropy, and sign imbalance), standardized via robust scaling and aggregated into a composite index. Countries were then partitioned using Jenks natural breaks (Fisher 1958; Jenks 1967; </w:t>
      </w:r>
      <w:proofErr w:type="spellStart"/>
      <w:r w:rsidRPr="00C44913">
        <w:rPr>
          <w:color w:val="C00000"/>
          <w:sz w:val="22"/>
          <w:szCs w:val="22"/>
          <w:lang w:eastAsia="zh-CN"/>
        </w:rPr>
        <w:t>Bivand</w:t>
      </w:r>
      <w:proofErr w:type="spellEnd"/>
      <w:r w:rsidRPr="00C44913">
        <w:rPr>
          <w:color w:val="C00000"/>
          <w:sz w:val="22"/>
          <w:szCs w:val="22"/>
          <w:lang w:eastAsia="zh-CN"/>
        </w:rPr>
        <w:t xml:space="preserve"> &amp; </w:t>
      </w:r>
      <w:proofErr w:type="spellStart"/>
      <w:r w:rsidRPr="00C44913">
        <w:rPr>
          <w:color w:val="C00000"/>
          <w:sz w:val="22"/>
          <w:szCs w:val="22"/>
          <w:lang w:eastAsia="zh-CN"/>
        </w:rPr>
        <w:t>Rundel</w:t>
      </w:r>
      <w:proofErr w:type="spellEnd"/>
      <w:r w:rsidRPr="00C44913">
        <w:rPr>
          <w:color w:val="C00000"/>
          <w:sz w:val="22"/>
          <w:szCs w:val="22"/>
          <w:lang w:eastAsia="zh-CN"/>
        </w:rPr>
        <w:t xml:space="preserve"> 2021), with hierarchical clustering as fallback, and the optimal number of groups selected by silhouette analysis (</w:t>
      </w:r>
      <w:proofErr w:type="spellStart"/>
      <w:r w:rsidRPr="00C44913">
        <w:rPr>
          <w:color w:val="C00000"/>
          <w:sz w:val="22"/>
          <w:szCs w:val="22"/>
          <w:lang w:eastAsia="zh-CN"/>
        </w:rPr>
        <w:t>Rousseeuw</w:t>
      </w:r>
      <w:proofErr w:type="spellEnd"/>
      <w:r w:rsidRPr="00C44913">
        <w:rPr>
          <w:color w:val="C00000"/>
          <w:sz w:val="22"/>
          <w:szCs w:val="22"/>
          <w:lang w:eastAsia="zh-CN"/>
        </w:rPr>
        <w:t xml:space="preserve"> 1987). This grouping was necessary because, if models were fit at the country level directly, each country would only contribute about 30–40 variants, making cross-validation ineffective and leading to severe overfitting and instability. The four-group solution (e.g., United States and United Kingdom in the lowest-volatility group vs. Austria, Italy, and India in the highest) provided more homogeneous subsets for downstream modeling, improving both stability and interpretability.</w:t>
      </w:r>
    </w:p>
    <w:p w14:paraId="113CBDC1" w14:textId="77777777" w:rsidR="00C27D54" w:rsidRDefault="00C27D54" w:rsidP="00336107">
      <w:pPr>
        <w:pStyle w:val="BodyText"/>
        <w:spacing w:line="276" w:lineRule="auto"/>
        <w:ind w:left="0"/>
        <w:jc w:val="both"/>
        <w:rPr>
          <w:color w:val="C00000"/>
          <w:sz w:val="22"/>
          <w:szCs w:val="22"/>
          <w:lang w:eastAsia="zh-CN"/>
        </w:rPr>
      </w:pPr>
    </w:p>
    <w:p w14:paraId="00F082ED" w14:textId="1759CEFF" w:rsidR="00534FC1" w:rsidRDefault="00C27D54" w:rsidP="00FA7F1A">
      <w:pPr>
        <w:pStyle w:val="BodyText"/>
        <w:spacing w:line="276" w:lineRule="auto"/>
        <w:ind w:left="0"/>
        <w:jc w:val="both"/>
        <w:rPr>
          <w:color w:val="C00000"/>
          <w:sz w:val="22"/>
          <w:szCs w:val="22"/>
          <w:lang w:eastAsia="zh-CN"/>
        </w:rPr>
      </w:pPr>
      <w:r w:rsidRPr="00C27D54">
        <w:rPr>
          <w:color w:val="C00000"/>
          <w:sz w:val="22"/>
          <w:szCs w:val="22"/>
          <w:lang w:eastAsia="zh-CN"/>
        </w:rPr>
        <w:t>To predict the three evaluation indexes of dominance (area under the curve, peak monthly share, and time above 30% share), we trained a diverse set of machine-learning models representing linear, nonlinear, and ensemble approaches. Specifically, we implemented Elastic Net regression (Zou &amp; Hastie 2005), Random Forests (</w:t>
      </w:r>
      <w:proofErr w:type="spellStart"/>
      <w:r w:rsidRPr="00C27D54">
        <w:rPr>
          <w:color w:val="C00000"/>
          <w:sz w:val="22"/>
          <w:szCs w:val="22"/>
          <w:lang w:eastAsia="zh-CN"/>
        </w:rPr>
        <w:t>Breiman</w:t>
      </w:r>
      <w:proofErr w:type="spellEnd"/>
      <w:r w:rsidRPr="00C27D54">
        <w:rPr>
          <w:color w:val="C00000"/>
          <w:sz w:val="22"/>
          <w:szCs w:val="22"/>
          <w:lang w:eastAsia="zh-CN"/>
        </w:rPr>
        <w:t xml:space="preserve"> 2001), Gradient Boosting via GBM (Friedman 2001) and </w:t>
      </w:r>
      <w:proofErr w:type="spellStart"/>
      <w:r w:rsidRPr="00C27D54">
        <w:rPr>
          <w:color w:val="C00000"/>
          <w:sz w:val="22"/>
          <w:szCs w:val="22"/>
          <w:lang w:eastAsia="zh-CN"/>
        </w:rPr>
        <w:t>XGBoost</w:t>
      </w:r>
      <w:proofErr w:type="spellEnd"/>
      <w:r w:rsidRPr="00C27D54">
        <w:rPr>
          <w:color w:val="C00000"/>
          <w:sz w:val="22"/>
          <w:szCs w:val="22"/>
          <w:lang w:eastAsia="zh-CN"/>
        </w:rPr>
        <w:t xml:space="preserve"> (Chen &amp; </w:t>
      </w:r>
      <w:proofErr w:type="spellStart"/>
      <w:r w:rsidRPr="00C27D54">
        <w:rPr>
          <w:color w:val="C00000"/>
          <w:sz w:val="22"/>
          <w:szCs w:val="22"/>
          <w:lang w:eastAsia="zh-CN"/>
        </w:rPr>
        <w:t>Guestrin</w:t>
      </w:r>
      <w:proofErr w:type="spellEnd"/>
      <w:r w:rsidRPr="00C27D54">
        <w:rPr>
          <w:color w:val="C00000"/>
          <w:sz w:val="22"/>
          <w:szCs w:val="22"/>
          <w:lang w:eastAsia="zh-CN"/>
        </w:rPr>
        <w:t xml:space="preserve"> 2016), Support Vector Machines with radial kernels (Cortes &amp; </w:t>
      </w:r>
      <w:proofErr w:type="spellStart"/>
      <w:r w:rsidRPr="00C27D54">
        <w:rPr>
          <w:color w:val="C00000"/>
          <w:sz w:val="22"/>
          <w:szCs w:val="22"/>
          <w:lang w:eastAsia="zh-CN"/>
        </w:rPr>
        <w:t>Vapnik</w:t>
      </w:r>
      <w:proofErr w:type="spellEnd"/>
      <w:r w:rsidRPr="00C27D54">
        <w:rPr>
          <w:color w:val="C00000"/>
          <w:sz w:val="22"/>
          <w:szCs w:val="22"/>
          <w:lang w:eastAsia="zh-CN"/>
        </w:rPr>
        <w:t xml:space="preserve"> 1995), Multivariate Adaptive Regression Splines (Friedman 1991), k-Nearest Neighbors (Cover &amp; Hart 1967), and Cubist regression (Quinlan 1993). This </w:t>
      </w:r>
      <w:r w:rsidRPr="00C27D54">
        <w:rPr>
          <w:color w:val="C00000"/>
          <w:sz w:val="22"/>
          <w:szCs w:val="22"/>
          <w:lang w:eastAsia="zh-CN"/>
        </w:rPr>
        <w:lastRenderedPageBreak/>
        <w:t>combination was chosen to balance interpretability, robustness, and the ability to capture nonlinear dynamics in the variant trajectories. For each group and outcome, the data were randomly split into 80% training and 20% testing sets, with preprocessing (imputation, scaling, and filtering) performed strictly within the training fold. Model hyperparameters were tuned using repeated cross-validation on the training set only, and final performance was evaluated exclusively on the out-of-sample 20% test data, ensuring unbiased estimates of predictive accuracy.</w:t>
      </w:r>
    </w:p>
    <w:p w14:paraId="48E121B4" w14:textId="77777777" w:rsidR="00876DCD" w:rsidRDefault="00876DCD" w:rsidP="00FA7F1A">
      <w:pPr>
        <w:pStyle w:val="BodyText"/>
        <w:spacing w:line="276" w:lineRule="auto"/>
        <w:ind w:left="0"/>
        <w:jc w:val="both"/>
        <w:rPr>
          <w:color w:val="C00000"/>
          <w:sz w:val="22"/>
          <w:szCs w:val="22"/>
          <w:lang w:eastAsia="zh-CN"/>
        </w:rPr>
      </w:pPr>
    </w:p>
    <w:p w14:paraId="787FB5A2" w14:textId="16BBB4D7" w:rsidR="00876DCD" w:rsidRDefault="0087591A" w:rsidP="00876DCD">
      <w:pPr>
        <w:pStyle w:val="BodyText"/>
        <w:spacing w:line="276" w:lineRule="auto"/>
        <w:ind w:left="0"/>
        <w:jc w:val="center"/>
        <w:rPr>
          <w:color w:val="C00000"/>
          <w:sz w:val="22"/>
          <w:szCs w:val="22"/>
          <w:lang w:eastAsia="zh-CN"/>
        </w:rPr>
      </w:pPr>
      <w:r>
        <w:rPr>
          <w:noProof/>
          <w:color w:val="C00000"/>
          <w:sz w:val="22"/>
          <w:szCs w:val="22"/>
          <w:lang w:eastAsia="zh-CN"/>
          <w14:ligatures w14:val="standardContextual"/>
        </w:rPr>
        <w:drawing>
          <wp:inline distT="0" distB="0" distL="0" distR="0" wp14:anchorId="3A155F77" wp14:editId="6B17482A">
            <wp:extent cx="6191250" cy="1812290"/>
            <wp:effectExtent l="0" t="0" r="6350" b="3810"/>
            <wp:docPr id="1180338724" name="Picture 6"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8724" name="Picture 6" descr="A diagram of a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1250" cy="1812290"/>
                    </a:xfrm>
                    <a:prstGeom prst="rect">
                      <a:avLst/>
                    </a:prstGeom>
                  </pic:spPr>
                </pic:pic>
              </a:graphicData>
            </a:graphic>
          </wp:inline>
        </w:drawing>
      </w:r>
    </w:p>
    <w:p w14:paraId="74F37C58" w14:textId="062D2BD4" w:rsidR="00876DCD" w:rsidRPr="00E96849" w:rsidRDefault="00876DCD" w:rsidP="00876DCD">
      <w:pPr>
        <w:pStyle w:val="BodyText"/>
        <w:spacing w:line="276" w:lineRule="auto"/>
        <w:jc w:val="both"/>
        <w:rPr>
          <w:rFonts w:eastAsiaTheme="minorEastAsia"/>
          <w:sz w:val="20"/>
          <w:szCs w:val="20"/>
          <w:lang w:eastAsia="ko-KR"/>
        </w:rPr>
      </w:pPr>
      <w:r w:rsidRPr="00E96849">
        <w:rPr>
          <w:rFonts w:eastAsiaTheme="minorEastAsia"/>
          <w:color w:val="C00000"/>
          <w:sz w:val="20"/>
          <w:szCs w:val="20"/>
          <w:lang w:eastAsia="ko-KR"/>
        </w:rPr>
        <w:t xml:space="preserve">Figure </w:t>
      </w:r>
      <w:r w:rsidR="007B1DD9">
        <w:rPr>
          <w:rFonts w:eastAsiaTheme="minorEastAsia" w:hint="eastAsia"/>
          <w:color w:val="C00000"/>
          <w:sz w:val="20"/>
          <w:szCs w:val="20"/>
          <w:lang w:eastAsia="zh-CN"/>
        </w:rPr>
        <w:t>3</w:t>
      </w:r>
      <w:r w:rsidRPr="00E96849">
        <w:rPr>
          <w:rFonts w:eastAsiaTheme="minorEastAsia"/>
          <w:sz w:val="20"/>
          <w:szCs w:val="20"/>
          <w:lang w:eastAsia="ko-KR"/>
        </w:rPr>
        <w:t xml:space="preserve">. </w:t>
      </w:r>
      <w:r w:rsidR="007B1DD9" w:rsidRPr="007B1DD9">
        <w:rPr>
          <w:rFonts w:eastAsiaTheme="minorEastAsia"/>
          <w:sz w:val="20"/>
          <w:szCs w:val="20"/>
          <w:lang w:eastAsia="ko-KR"/>
        </w:rPr>
        <w:t>Modeling framework. Variant shares from the first N weeks were used to predict monthly peak share and duration above 30% share. Features included handcrafted and Rcatch22 descriptors. Seven ML regressors were trained with 5-fold CV and evaluated on test data by RMSE and R², with feature importance assessed via SHAP.</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zh-CN"/>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02096663" w14:textId="62851BAC" w:rsidR="00444F62" w:rsidRPr="00A15AA3" w:rsidRDefault="00B30C89" w:rsidP="000C7544">
      <w:pPr>
        <w:pStyle w:val="BodyText"/>
        <w:spacing w:line="276" w:lineRule="auto"/>
        <w:ind w:left="0"/>
        <w:jc w:val="both"/>
        <w:rPr>
          <w:rFonts w:eastAsiaTheme="minorEastAsia"/>
          <w:color w:val="156082" w:themeColor="accent1"/>
          <w:sz w:val="22"/>
          <w:szCs w:val="22"/>
          <w:shd w:val="pct15" w:color="auto" w:fill="FFFFFF"/>
          <w:lang w:eastAsia="ko-KR"/>
        </w:rPr>
      </w:pPr>
      <w:r w:rsidRPr="00A15AA3">
        <w:rPr>
          <w:rFonts w:eastAsiaTheme="minorEastAsia"/>
          <w:color w:val="156082" w:themeColor="accent1"/>
          <w:sz w:val="22"/>
          <w:szCs w:val="22"/>
          <w:shd w:val="pct15" w:color="auto" w:fill="FFFFFF"/>
          <w:lang w:eastAsia="ko-KR"/>
        </w:rPr>
        <w:t>Table 2 summarize</w:t>
      </w:r>
      <w:r w:rsidR="00CD3BF7" w:rsidRPr="00A15AA3">
        <w:rPr>
          <w:rFonts w:eastAsiaTheme="minorEastAsia"/>
          <w:color w:val="156082" w:themeColor="accent1"/>
          <w:sz w:val="22"/>
          <w:szCs w:val="22"/>
          <w:shd w:val="pct15" w:color="auto" w:fill="FFFFFF"/>
          <w:lang w:eastAsia="ko-KR"/>
        </w:rPr>
        <w:t>s</w:t>
      </w:r>
      <w:r w:rsidRPr="00A15AA3">
        <w:rPr>
          <w:rFonts w:eastAsiaTheme="minorEastAsia"/>
          <w:color w:val="156082" w:themeColor="accent1"/>
          <w:sz w:val="22"/>
          <w:szCs w:val="22"/>
          <w:shd w:val="pct15" w:color="auto" w:fill="FFFFFF"/>
          <w:lang w:eastAsia="ko-KR"/>
        </w:rPr>
        <w:t xml:space="preserve"> the performance of our machine learning models in predicting the peak domestic share for 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w:t>
      </w:r>
      <w:proofErr w:type="spellStart"/>
      <w:r w:rsidRPr="00A15AA3">
        <w:rPr>
          <w:rFonts w:eastAsiaTheme="minorEastAsia"/>
          <w:color w:val="156082" w:themeColor="accent1"/>
          <w:sz w:val="22"/>
          <w:szCs w:val="22"/>
          <w:shd w:val="pct15" w:color="auto" w:fill="FFFFFF"/>
          <w:lang w:eastAsia="ko-KR"/>
        </w:rPr>
        <w:t>XGBoost</w:t>
      </w:r>
      <w:proofErr w:type="spellEnd"/>
      <w:r w:rsidRPr="00A15AA3">
        <w:rPr>
          <w:rFonts w:eastAsiaTheme="minorEastAsia"/>
          <w:color w:val="156082" w:themeColor="accent1"/>
          <w:sz w:val="22"/>
          <w:szCs w:val="22"/>
          <w:shd w:val="pct15" w:color="auto" w:fill="FFFFFF"/>
          <w:lang w:eastAsia="ko-KR"/>
        </w:rPr>
        <w:t xml:space="preserve"> with a 28-day input window was optimal, achieving R² = 0.84. </w:t>
      </w:r>
      <w:r w:rsidR="001172C9" w:rsidRPr="00A15AA3">
        <w:rPr>
          <w:rFonts w:eastAsiaTheme="minorEastAsia"/>
          <w:color w:val="156082" w:themeColor="accent1"/>
          <w:sz w:val="22"/>
          <w:szCs w:val="22"/>
          <w:shd w:val="pct15" w:color="auto" w:fill="FFFFFF"/>
          <w:lang w:eastAsia="ko-KR"/>
        </w:rPr>
        <w:t xml:space="preserve">Figure 3 compares model performance across South Korea, the United Kingdom, and the United States using different input window lengths (14, 21, 28, and 35 days), evaluated by R². Overall, longer input windows generally lead to better predictive performance. The United States and South Korea show clear improvements with 28- and 35-day inputs, where models such as </w:t>
      </w:r>
      <w:proofErr w:type="spellStart"/>
      <w:r w:rsidR="001172C9" w:rsidRPr="00A15AA3">
        <w:rPr>
          <w:rFonts w:eastAsiaTheme="minorEastAsia"/>
          <w:color w:val="156082" w:themeColor="accent1"/>
          <w:sz w:val="22"/>
          <w:szCs w:val="22"/>
          <w:shd w:val="pct15" w:color="auto" w:fill="FFFFFF"/>
          <w:lang w:eastAsia="ko-KR"/>
        </w:rPr>
        <w:t>xgboost</w:t>
      </w:r>
      <w:proofErr w:type="spellEnd"/>
      <w:r w:rsidR="001172C9" w:rsidRPr="00A15AA3">
        <w:rPr>
          <w:rFonts w:eastAsiaTheme="minorEastAsia"/>
          <w:color w:val="156082" w:themeColor="accent1"/>
          <w:sz w:val="22"/>
          <w:szCs w:val="22"/>
          <w:shd w:val="pct15" w:color="auto" w:fill="FFFFFF"/>
          <w:lang w:eastAsia="ko-KR"/>
        </w:rPr>
        <w:t xml:space="preserve">, BART, Ridge, and SVR achieve R² values around 0.4–0.6, indicating strong predictive power. In contrast, the United Kingdom performs notably worse, with many models yielding negative or near-zero R² values, except for BART at 35 days which shows a marked improvement. </w:t>
      </w:r>
    </w:p>
    <w:p w14:paraId="1A34A641" w14:textId="77777777" w:rsidR="009F6D30" w:rsidRPr="00A15AA3" w:rsidRDefault="009F6D30" w:rsidP="000C7544">
      <w:pPr>
        <w:pStyle w:val="BodyText"/>
        <w:spacing w:line="276" w:lineRule="auto"/>
        <w:ind w:left="0"/>
        <w:jc w:val="both"/>
        <w:rPr>
          <w:rFonts w:eastAsiaTheme="minorEastAsia"/>
          <w:color w:val="156082" w:themeColor="accent1"/>
          <w:sz w:val="22"/>
          <w:szCs w:val="22"/>
          <w:shd w:val="pct15" w:color="auto" w:fill="FFFFFF"/>
          <w:lang w:eastAsia="ko-KR"/>
        </w:rPr>
      </w:pPr>
    </w:p>
    <w:p w14:paraId="3467E17B" w14:textId="31A409F1" w:rsidR="000C7544" w:rsidRPr="00A15AA3" w:rsidRDefault="009F6D30" w:rsidP="003A3CE9">
      <w:pPr>
        <w:pStyle w:val="BodyText"/>
        <w:spacing w:line="276" w:lineRule="auto"/>
        <w:ind w:left="0"/>
        <w:jc w:val="both"/>
        <w:rPr>
          <w:rFonts w:eastAsiaTheme="minorEastAsia"/>
          <w:color w:val="156082" w:themeColor="accent1"/>
          <w:sz w:val="22"/>
          <w:szCs w:val="22"/>
          <w:shd w:val="pct15" w:color="auto" w:fill="FFFFFF"/>
          <w:lang w:eastAsia="ko-KR"/>
        </w:rPr>
      </w:pPr>
      <w:r w:rsidRPr="00A15AA3">
        <w:rPr>
          <w:rFonts w:eastAsiaTheme="minorEastAsia"/>
          <w:color w:val="156082" w:themeColor="accent1"/>
          <w:sz w:val="22"/>
          <w:szCs w:val="22"/>
          <w:shd w:val="pct15" w:color="auto" w:fill="FFFFFF"/>
          <w:lang w:eastAsia="ko-KR"/>
        </w:rPr>
        <w:t xml:space="preserve">Tree-based methods allow interpretation of feature contributions through SHAP values, which decompose each prediction into positive or negative influences from individual features. As shown in Figure 4, this provides insight into how early indicators drive variant dominance predictions. In the United States, growth-related measures such as </w:t>
      </w:r>
      <w:proofErr w:type="spellStart"/>
      <w:r w:rsidRPr="00A15AA3">
        <w:rPr>
          <w:rFonts w:eastAsiaTheme="minorEastAsia"/>
          <w:color w:val="156082" w:themeColor="accent1"/>
          <w:sz w:val="22"/>
          <w:szCs w:val="22"/>
          <w:shd w:val="pct15" w:color="auto" w:fill="FFFFFF"/>
          <w:lang w:eastAsia="ko-KR"/>
        </w:rPr>
        <w:t>max_delta</w:t>
      </w:r>
      <w:proofErr w:type="spellEnd"/>
      <w:r w:rsidRPr="00A15AA3">
        <w:rPr>
          <w:rFonts w:eastAsiaTheme="minorEastAsia"/>
          <w:color w:val="156082" w:themeColor="accent1"/>
          <w:sz w:val="22"/>
          <w:szCs w:val="22"/>
          <w:shd w:val="pct15" w:color="auto" w:fill="FFFFFF"/>
          <w:lang w:eastAsia="ko-KR"/>
        </w:rPr>
        <w:t xml:space="preserve"> and </w:t>
      </w:r>
      <w:proofErr w:type="spellStart"/>
      <w:r w:rsidRPr="00A15AA3">
        <w:rPr>
          <w:rFonts w:eastAsiaTheme="minorEastAsia"/>
          <w:color w:val="156082" w:themeColor="accent1"/>
          <w:sz w:val="22"/>
          <w:szCs w:val="22"/>
          <w:shd w:val="pct15" w:color="auto" w:fill="FFFFFF"/>
          <w:lang w:eastAsia="ko-KR"/>
        </w:rPr>
        <w:t>var_share</w:t>
      </w:r>
      <w:proofErr w:type="spellEnd"/>
      <w:r w:rsidRPr="00A15AA3">
        <w:rPr>
          <w:rFonts w:eastAsiaTheme="minorEastAsia"/>
          <w:color w:val="156082" w:themeColor="accent1"/>
          <w:sz w:val="22"/>
          <w:szCs w:val="22"/>
          <w:shd w:val="pct15" w:color="auto" w:fill="FFFFFF"/>
          <w:lang w:eastAsia="ko-KR"/>
        </w:rPr>
        <w:t xml:space="preserve"> had strong negative impacts, while in the United Kingdom </w:t>
      </w:r>
      <w:proofErr w:type="spellStart"/>
      <w:r w:rsidRPr="00A15AA3">
        <w:rPr>
          <w:rFonts w:eastAsiaTheme="minorEastAsia"/>
          <w:color w:val="156082" w:themeColor="accent1"/>
          <w:sz w:val="22"/>
          <w:szCs w:val="22"/>
          <w:shd w:val="pct15" w:color="auto" w:fill="FFFFFF"/>
          <w:lang w:eastAsia="ko-KR"/>
        </w:rPr>
        <w:t>share_last</w:t>
      </w:r>
      <w:proofErr w:type="spellEnd"/>
      <w:r w:rsidRPr="00A15AA3">
        <w:rPr>
          <w:rFonts w:eastAsiaTheme="minorEastAsia"/>
          <w:color w:val="156082" w:themeColor="accent1"/>
          <w:sz w:val="22"/>
          <w:szCs w:val="22"/>
          <w:shd w:val="pct15" w:color="auto" w:fill="FFFFFF"/>
          <w:lang w:eastAsia="ko-KR"/>
        </w:rPr>
        <w:t xml:space="preserve"> and related features contributed positively. In South Korea, </w:t>
      </w:r>
      <w:proofErr w:type="spellStart"/>
      <w:r w:rsidRPr="00A15AA3">
        <w:rPr>
          <w:rFonts w:eastAsiaTheme="minorEastAsia"/>
          <w:color w:val="156082" w:themeColor="accent1"/>
          <w:sz w:val="22"/>
          <w:szCs w:val="22"/>
          <w:shd w:val="pct15" w:color="auto" w:fill="FFFFFF"/>
          <w:lang w:eastAsia="ko-KR"/>
        </w:rPr>
        <w:t>var_share</w:t>
      </w:r>
      <w:proofErr w:type="spellEnd"/>
      <w:r w:rsidRPr="00A15AA3">
        <w:rPr>
          <w:rFonts w:eastAsiaTheme="minorEastAsia"/>
          <w:color w:val="156082" w:themeColor="accent1"/>
          <w:sz w:val="22"/>
          <w:szCs w:val="22"/>
          <w:shd w:val="pct15" w:color="auto" w:fill="FFFFFF"/>
          <w:lang w:eastAsia="ko-KR"/>
        </w:rPr>
        <w:t xml:space="preserve">, mean_7d, and </w:t>
      </w:r>
      <w:proofErr w:type="spellStart"/>
      <w:r w:rsidRPr="00A15AA3">
        <w:rPr>
          <w:rFonts w:eastAsiaTheme="minorEastAsia"/>
          <w:color w:val="156082" w:themeColor="accent1"/>
          <w:sz w:val="22"/>
          <w:szCs w:val="22"/>
          <w:shd w:val="pct15" w:color="auto" w:fill="FFFFFF"/>
          <w:lang w:eastAsia="ko-KR"/>
        </w:rPr>
        <w:t>max_delta</w:t>
      </w:r>
      <w:proofErr w:type="spellEnd"/>
      <w:r w:rsidRPr="00A15AA3">
        <w:rPr>
          <w:rFonts w:eastAsiaTheme="minorEastAsia"/>
          <w:color w:val="156082" w:themeColor="accent1"/>
          <w:sz w:val="22"/>
          <w:szCs w:val="22"/>
          <w:shd w:val="pct15" w:color="auto" w:fill="FFFFFF"/>
          <w:lang w:eastAsia="ko-KR"/>
        </w:rPr>
        <w:t xml:space="preserve"> were the most influential, highlighting rapid growth as the key signal. Overall, SHAP analysis confirms that share dynamics and short-term growth trends are consistent predictors of dominance across settings.</w:t>
      </w:r>
    </w:p>
    <w:p w14:paraId="19078CBB" w14:textId="5876B71C" w:rsidR="00C325AF" w:rsidRDefault="00C325AF" w:rsidP="003A3CE9">
      <w:pPr>
        <w:pStyle w:val="BodyText"/>
        <w:spacing w:line="276" w:lineRule="auto"/>
        <w:ind w:left="0"/>
        <w:rPr>
          <w:rFonts w:eastAsiaTheme="minorEastAsia"/>
          <w:b/>
          <w:bCs/>
          <w:sz w:val="22"/>
          <w:szCs w:val="22"/>
          <w:lang w:eastAsia="zh-CN"/>
        </w:rPr>
      </w:pPr>
    </w:p>
    <w:p w14:paraId="55E44A39" w14:textId="74377E11" w:rsidR="009F4686" w:rsidRDefault="00940A0A" w:rsidP="00940A0A">
      <w:pPr>
        <w:pStyle w:val="BodyText"/>
        <w:spacing w:line="276" w:lineRule="auto"/>
        <w:ind w:left="0"/>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0FEC45B8" wp14:editId="10E3C127">
            <wp:extent cx="6191250" cy="1345565"/>
            <wp:effectExtent l="0" t="0" r="6350" b="635"/>
            <wp:docPr id="1357634699" name="Picture 3"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4699" name="Picture 3" descr="A table with numbers and a numb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1206ED80" w14:textId="7A18912A" w:rsidR="00297062" w:rsidRPr="00201469" w:rsidRDefault="00297062" w:rsidP="00297062">
      <w:pPr>
        <w:pStyle w:val="BodyText"/>
        <w:spacing w:line="276" w:lineRule="auto"/>
        <w:ind w:left="0"/>
        <w:jc w:val="both"/>
        <w:rPr>
          <w:rFonts w:eastAsiaTheme="minorEastAsia"/>
          <w:color w:val="C00000"/>
          <w:sz w:val="20"/>
          <w:szCs w:val="20"/>
          <w:lang w:eastAsia="ko-KR"/>
        </w:rPr>
      </w:pPr>
      <w:r w:rsidRPr="00201469">
        <w:rPr>
          <w:rFonts w:eastAsiaTheme="minorEastAsia"/>
          <w:color w:val="C00000"/>
          <w:sz w:val="20"/>
          <w:szCs w:val="20"/>
          <w:lang w:eastAsia="ko-KR"/>
        </w:rPr>
        <w:t>Table 2</w:t>
      </w:r>
      <w:r w:rsidRPr="00201469">
        <w:rPr>
          <w:rFonts w:eastAsiaTheme="minorEastAsia" w:hint="eastAsia"/>
          <w:color w:val="C00000"/>
          <w:sz w:val="20"/>
          <w:szCs w:val="20"/>
          <w:lang w:eastAsia="zh-CN"/>
        </w:rPr>
        <w:t xml:space="preserve"> (</w:t>
      </w:r>
      <w:r w:rsidR="008F40EA" w:rsidRPr="00201469">
        <w:rPr>
          <w:rFonts w:eastAsiaTheme="minorEastAsia" w:hint="eastAsia"/>
          <w:color w:val="C00000"/>
          <w:sz w:val="20"/>
          <w:szCs w:val="20"/>
          <w:lang w:eastAsia="zh-CN"/>
        </w:rPr>
        <w:t>a</w:t>
      </w:r>
      <w:r w:rsidRPr="00201469">
        <w:rPr>
          <w:rFonts w:eastAsiaTheme="minorEastAsia" w:hint="eastAsia"/>
          <w:color w:val="C00000"/>
          <w:sz w:val="20"/>
          <w:szCs w:val="20"/>
          <w:lang w:eastAsia="zh-CN"/>
        </w:rPr>
        <w:t>)</w:t>
      </w:r>
      <w:r w:rsidRPr="00201469">
        <w:rPr>
          <w:rFonts w:eastAsiaTheme="minorEastAsia"/>
          <w:color w:val="C00000"/>
          <w:sz w:val="20"/>
          <w:szCs w:val="20"/>
          <w:lang w:eastAsia="ko-KR"/>
        </w:rPr>
        <w:t xml:space="preserve">. Model performance for predicting the </w:t>
      </w:r>
      <w:r w:rsidR="00CF3030" w:rsidRPr="00201469">
        <w:rPr>
          <w:rFonts w:eastAsiaTheme="minorEastAsia"/>
          <w:color w:val="C00000"/>
          <w:sz w:val="20"/>
          <w:szCs w:val="20"/>
          <w:lang w:eastAsia="ko-KR"/>
        </w:rPr>
        <w:t>Monthly Maximum Share</w:t>
      </w:r>
      <w:r w:rsidRPr="00201469">
        <w:rPr>
          <w:rFonts w:eastAsiaTheme="minorEastAsia"/>
          <w:color w:val="C00000"/>
          <w:sz w:val="20"/>
          <w:szCs w:val="20"/>
          <w:lang w:eastAsia="ko-KR"/>
        </w:rPr>
        <w:t xml:space="preserve">. </w:t>
      </w:r>
    </w:p>
    <w:p w14:paraId="1533B9FB" w14:textId="77777777" w:rsidR="00297062" w:rsidRDefault="00297062" w:rsidP="00D144C6">
      <w:pPr>
        <w:pStyle w:val="BodyText"/>
        <w:spacing w:line="276" w:lineRule="auto"/>
        <w:ind w:left="0"/>
        <w:jc w:val="center"/>
        <w:rPr>
          <w:rFonts w:eastAsiaTheme="minorEastAsia"/>
          <w:b/>
          <w:bCs/>
          <w:sz w:val="22"/>
          <w:szCs w:val="22"/>
          <w:lang w:eastAsia="zh-CN"/>
        </w:rPr>
      </w:pPr>
    </w:p>
    <w:p w14:paraId="711A6DAC" w14:textId="01C57FFA" w:rsidR="007C675A" w:rsidRPr="00D447F3" w:rsidRDefault="00D9313F" w:rsidP="00940A0A">
      <w:pPr>
        <w:pStyle w:val="BodyText"/>
        <w:spacing w:line="276" w:lineRule="auto"/>
        <w:ind w:left="0"/>
        <w:jc w:val="center"/>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10CB5518" wp14:editId="6C624451">
            <wp:extent cx="6191250" cy="1345565"/>
            <wp:effectExtent l="0" t="0" r="6350" b="635"/>
            <wp:docPr id="1630515624" name="Picture 2" descr="A table of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5624" name="Picture 2" descr="A table of numbers and a few lett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1262A4C7" w14:textId="384C08B2" w:rsidR="008F40EA" w:rsidRPr="00201469" w:rsidRDefault="008F40EA" w:rsidP="008F40EA">
      <w:pPr>
        <w:pStyle w:val="BodyText"/>
        <w:spacing w:line="276" w:lineRule="auto"/>
        <w:ind w:left="0"/>
        <w:jc w:val="both"/>
        <w:rPr>
          <w:rFonts w:eastAsiaTheme="minorEastAsia"/>
          <w:color w:val="C00000"/>
          <w:sz w:val="20"/>
          <w:szCs w:val="20"/>
          <w:lang w:eastAsia="ko-KR"/>
        </w:rPr>
      </w:pPr>
      <w:r w:rsidRPr="00201469">
        <w:rPr>
          <w:rFonts w:eastAsiaTheme="minorEastAsia"/>
          <w:color w:val="C00000"/>
          <w:sz w:val="20"/>
          <w:szCs w:val="20"/>
          <w:lang w:eastAsia="ko-KR"/>
        </w:rPr>
        <w:t>Table 2</w:t>
      </w:r>
      <w:r w:rsidRPr="00201469">
        <w:rPr>
          <w:rFonts w:eastAsiaTheme="minorEastAsia" w:hint="eastAsia"/>
          <w:color w:val="C00000"/>
          <w:sz w:val="20"/>
          <w:szCs w:val="20"/>
          <w:lang w:eastAsia="zh-CN"/>
        </w:rPr>
        <w:t xml:space="preserve"> (a)</w:t>
      </w:r>
      <w:r w:rsidRPr="00201469">
        <w:rPr>
          <w:rFonts w:eastAsiaTheme="minorEastAsia"/>
          <w:color w:val="C00000"/>
          <w:sz w:val="20"/>
          <w:szCs w:val="20"/>
          <w:lang w:eastAsia="ko-KR"/>
        </w:rPr>
        <w:t xml:space="preserve">. Model performance for predicting the Time over </w:t>
      </w:r>
      <w:r w:rsidR="000954AD">
        <w:rPr>
          <w:rFonts w:eastAsiaTheme="minorEastAsia" w:hint="eastAsia"/>
          <w:color w:val="C00000"/>
          <w:sz w:val="20"/>
          <w:szCs w:val="20"/>
          <w:lang w:eastAsia="zh-CN"/>
        </w:rPr>
        <w:t>1</w:t>
      </w:r>
      <w:r w:rsidRPr="00201469">
        <w:rPr>
          <w:rFonts w:eastAsiaTheme="minorEastAsia"/>
          <w:color w:val="C00000"/>
          <w:sz w:val="20"/>
          <w:szCs w:val="20"/>
          <w:lang w:eastAsia="ko-KR"/>
        </w:rPr>
        <w:t xml:space="preserve">0% share. </w:t>
      </w:r>
    </w:p>
    <w:p w14:paraId="028FE416" w14:textId="77777777" w:rsidR="00D447F3" w:rsidRPr="00E96849" w:rsidRDefault="00D447F3" w:rsidP="008F40EA">
      <w:pPr>
        <w:pStyle w:val="BodyText"/>
        <w:spacing w:line="276" w:lineRule="auto"/>
        <w:ind w:left="0"/>
        <w:jc w:val="both"/>
        <w:rPr>
          <w:rFonts w:eastAsiaTheme="minorEastAsia"/>
          <w:sz w:val="20"/>
          <w:szCs w:val="20"/>
          <w:lang w:eastAsia="ko-KR"/>
        </w:rPr>
      </w:pPr>
    </w:p>
    <w:p w14:paraId="67779F12" w14:textId="20F9A4AF" w:rsidR="00AA69E7" w:rsidRDefault="00502848" w:rsidP="00502848">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242F9548" wp14:editId="5E437D14">
            <wp:extent cx="4114800" cy="2618701"/>
            <wp:effectExtent l="0" t="0" r="0" b="0"/>
            <wp:docPr id="2025540941" name="Picture 1" descr="A graph with numbers and a red and blu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40941" name="Picture 1" descr="A graph with numbers and a red and blue box&#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14800" cy="2618701"/>
                    </a:xfrm>
                    <a:prstGeom prst="rect">
                      <a:avLst/>
                    </a:prstGeom>
                  </pic:spPr>
                </pic:pic>
              </a:graphicData>
            </a:graphic>
          </wp:inline>
        </w:drawing>
      </w:r>
    </w:p>
    <w:p w14:paraId="3F1DA822" w14:textId="35FD9B64" w:rsidR="00D447F3" w:rsidRPr="00201469" w:rsidRDefault="00201469" w:rsidP="00E96849">
      <w:pPr>
        <w:pStyle w:val="BodyText"/>
        <w:spacing w:line="276" w:lineRule="auto"/>
        <w:ind w:left="0"/>
        <w:rPr>
          <w:rFonts w:eastAsiaTheme="minorEastAsia"/>
          <w:color w:val="C00000"/>
          <w:sz w:val="20"/>
          <w:szCs w:val="20"/>
          <w:lang w:eastAsia="zh-CN"/>
        </w:rPr>
      </w:pPr>
      <w:r w:rsidRPr="00201469">
        <w:rPr>
          <w:rFonts w:eastAsiaTheme="minorEastAsia"/>
          <w:color w:val="C00000"/>
          <w:sz w:val="20"/>
          <w:szCs w:val="20"/>
          <w:lang w:eastAsia="zh-CN"/>
        </w:rPr>
        <w:t xml:space="preserve">Figure </w:t>
      </w:r>
      <w:r w:rsidR="007B1DD9">
        <w:rPr>
          <w:rFonts w:eastAsiaTheme="minorEastAsia" w:hint="eastAsia"/>
          <w:color w:val="C00000"/>
          <w:sz w:val="20"/>
          <w:szCs w:val="20"/>
          <w:lang w:eastAsia="zh-CN"/>
        </w:rPr>
        <w:t>4</w:t>
      </w:r>
      <w:r w:rsidRPr="00201469">
        <w:rPr>
          <w:rFonts w:eastAsiaTheme="minorEastAsia"/>
          <w:color w:val="C00000"/>
          <w:sz w:val="20"/>
          <w:szCs w:val="20"/>
          <w:lang w:eastAsia="zh-CN"/>
        </w:rPr>
        <w:t>(a). Heatmap of RMSE across models and countries for predicting monthly maximum share using a 28-day input. Blue = lower, red = higher; columns clustered by performance similarity.</w:t>
      </w:r>
    </w:p>
    <w:p w14:paraId="607CF5C8" w14:textId="77777777" w:rsidR="00201469" w:rsidRDefault="00201469" w:rsidP="00E96849">
      <w:pPr>
        <w:pStyle w:val="BodyText"/>
        <w:spacing w:line="276" w:lineRule="auto"/>
        <w:ind w:left="0"/>
        <w:rPr>
          <w:rFonts w:eastAsiaTheme="minorEastAsia"/>
          <w:sz w:val="20"/>
          <w:szCs w:val="20"/>
          <w:lang w:eastAsia="zh-CN"/>
        </w:rPr>
      </w:pPr>
    </w:p>
    <w:p w14:paraId="19B86173" w14:textId="77777777" w:rsidR="00D447F3" w:rsidRDefault="00D447F3" w:rsidP="00E96849">
      <w:pPr>
        <w:pStyle w:val="BodyText"/>
        <w:spacing w:line="276" w:lineRule="auto"/>
        <w:ind w:left="0"/>
        <w:rPr>
          <w:rFonts w:eastAsiaTheme="minorEastAsia"/>
          <w:sz w:val="20"/>
          <w:szCs w:val="20"/>
          <w:lang w:eastAsia="zh-CN"/>
        </w:rPr>
      </w:pPr>
    </w:p>
    <w:p w14:paraId="2C03FA78" w14:textId="49BBFCC6" w:rsidR="00D447F3" w:rsidRDefault="00505AB3" w:rsidP="00505AB3">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lastRenderedPageBreak/>
        <w:drawing>
          <wp:inline distT="0" distB="0" distL="0" distR="0" wp14:anchorId="4BDD12E4" wp14:editId="4E7449E4">
            <wp:extent cx="4114800" cy="2618701"/>
            <wp:effectExtent l="0" t="0" r="0" b="0"/>
            <wp:docPr id="324637134" name="Picture 7"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37134" name="Picture 7" descr="A graph of different countries/region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14800" cy="2618701"/>
                    </a:xfrm>
                    <a:prstGeom prst="rect">
                      <a:avLst/>
                    </a:prstGeom>
                  </pic:spPr>
                </pic:pic>
              </a:graphicData>
            </a:graphic>
          </wp:inline>
        </w:drawing>
      </w:r>
    </w:p>
    <w:p w14:paraId="288B6E78" w14:textId="33F0ECB5" w:rsidR="00D447F3" w:rsidRPr="00A9447B" w:rsidRDefault="00A9447B" w:rsidP="00E96849">
      <w:pPr>
        <w:pStyle w:val="BodyText"/>
        <w:spacing w:line="276" w:lineRule="auto"/>
        <w:ind w:left="0"/>
        <w:rPr>
          <w:rFonts w:eastAsiaTheme="minorEastAsia"/>
          <w:color w:val="C00000"/>
          <w:sz w:val="20"/>
          <w:szCs w:val="20"/>
          <w:lang w:eastAsia="zh-CN"/>
        </w:rPr>
      </w:pPr>
      <w:r w:rsidRPr="00A9447B">
        <w:rPr>
          <w:rFonts w:eastAsiaTheme="minorEastAsia"/>
          <w:color w:val="C00000"/>
          <w:sz w:val="20"/>
          <w:szCs w:val="20"/>
          <w:lang w:eastAsia="zh-CN"/>
        </w:rPr>
        <w:t xml:space="preserve">Figure </w:t>
      </w:r>
      <w:r w:rsidR="007B1DD9">
        <w:rPr>
          <w:rFonts w:eastAsiaTheme="minorEastAsia" w:hint="eastAsia"/>
          <w:color w:val="C00000"/>
          <w:sz w:val="20"/>
          <w:szCs w:val="20"/>
          <w:lang w:eastAsia="zh-CN"/>
        </w:rPr>
        <w:t>4</w:t>
      </w:r>
      <w:r w:rsidRPr="00A9447B">
        <w:rPr>
          <w:rFonts w:eastAsiaTheme="minorEastAsia"/>
          <w:color w:val="C00000"/>
          <w:sz w:val="20"/>
          <w:szCs w:val="20"/>
          <w:lang w:eastAsia="zh-CN"/>
        </w:rPr>
        <w:t>(b). Heatmap of RMSE across models and countries for predicting time over 30% share using a 28-day input. Blue = lower, red = higher; columns clustered by similarity.</w:t>
      </w:r>
    </w:p>
    <w:p w14:paraId="29E49381" w14:textId="77777777" w:rsidR="00704F75" w:rsidRDefault="00704F75" w:rsidP="00E96849">
      <w:pPr>
        <w:pStyle w:val="BodyText"/>
        <w:spacing w:line="276" w:lineRule="auto"/>
        <w:ind w:left="0"/>
        <w:rPr>
          <w:rFonts w:eastAsiaTheme="minorEastAsia"/>
          <w:sz w:val="20"/>
          <w:szCs w:val="20"/>
          <w:lang w:eastAsia="zh-CN"/>
        </w:rPr>
      </w:pPr>
    </w:p>
    <w:p w14:paraId="14F7C260" w14:textId="7D887071" w:rsidR="00704F75" w:rsidRPr="00E96849" w:rsidRDefault="00F974EA" w:rsidP="00A420CB">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drawing>
          <wp:inline distT="0" distB="0" distL="0" distR="0" wp14:anchorId="2A439FED" wp14:editId="2579E572">
            <wp:extent cx="2743200" cy="1580083"/>
            <wp:effectExtent l="0" t="0" r="0" b="0"/>
            <wp:docPr id="1833225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25583" name="Picture 1833225583"/>
                    <pic:cNvPicPr/>
                  </pic:nvPicPr>
                  <pic:blipFill>
                    <a:blip r:embed="rId16"/>
                    <a:stretch>
                      <a:fillRect/>
                    </a:stretch>
                  </pic:blipFill>
                  <pic:spPr>
                    <a:xfrm>
                      <a:off x="0" y="0"/>
                      <a:ext cx="2743200" cy="1580083"/>
                    </a:xfrm>
                    <a:prstGeom prst="rect">
                      <a:avLst/>
                    </a:prstGeom>
                  </pic:spPr>
                </pic:pic>
              </a:graphicData>
            </a:graphic>
          </wp:inline>
        </w:drawing>
      </w:r>
      <w:r>
        <w:rPr>
          <w:rFonts w:eastAsiaTheme="minorEastAsia"/>
          <w:noProof/>
          <w:sz w:val="20"/>
          <w:szCs w:val="20"/>
          <w:lang w:eastAsia="zh-CN"/>
          <w14:ligatures w14:val="standardContextual"/>
        </w:rPr>
        <w:drawing>
          <wp:inline distT="0" distB="0" distL="0" distR="0" wp14:anchorId="764E9343" wp14:editId="3F74670D">
            <wp:extent cx="2743200" cy="1580083"/>
            <wp:effectExtent l="0" t="0" r="0" b="0"/>
            <wp:docPr id="1175179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79896" name="Picture 1175179896"/>
                    <pic:cNvPicPr/>
                  </pic:nvPicPr>
                  <pic:blipFill>
                    <a:blip r:embed="rId17"/>
                    <a:stretch>
                      <a:fillRect/>
                    </a:stretch>
                  </pic:blipFill>
                  <pic:spPr>
                    <a:xfrm>
                      <a:off x="0" y="0"/>
                      <a:ext cx="2743200" cy="1580083"/>
                    </a:xfrm>
                    <a:prstGeom prst="rect">
                      <a:avLst/>
                    </a:prstGeom>
                  </pic:spPr>
                </pic:pic>
              </a:graphicData>
            </a:graphic>
          </wp:inline>
        </w:drawing>
      </w:r>
    </w:p>
    <w:p w14:paraId="5C9D3726" w14:textId="1610A646" w:rsidR="004238C9" w:rsidRPr="004858AB" w:rsidRDefault="0045514C" w:rsidP="00706744">
      <w:pPr>
        <w:pStyle w:val="BodyText"/>
        <w:spacing w:line="276" w:lineRule="auto"/>
        <w:ind w:left="0"/>
        <w:jc w:val="both"/>
        <w:rPr>
          <w:rFonts w:eastAsiaTheme="minorEastAsia"/>
          <w:color w:val="C00000"/>
          <w:sz w:val="20"/>
          <w:szCs w:val="20"/>
          <w:lang w:eastAsia="zh-CN"/>
        </w:rPr>
      </w:pPr>
      <w:r w:rsidRPr="004858AB">
        <w:rPr>
          <w:rFonts w:eastAsiaTheme="minorEastAsia"/>
          <w:color w:val="C00000"/>
          <w:sz w:val="20"/>
          <w:szCs w:val="20"/>
          <w:lang w:eastAsia="zh-CN"/>
        </w:rPr>
        <w:t xml:space="preserve">Figure </w:t>
      </w:r>
      <w:r w:rsidR="007B1DD9">
        <w:rPr>
          <w:rFonts w:eastAsiaTheme="minorEastAsia" w:hint="eastAsia"/>
          <w:color w:val="C00000"/>
          <w:sz w:val="20"/>
          <w:szCs w:val="20"/>
          <w:lang w:eastAsia="zh-CN"/>
        </w:rPr>
        <w:t>5</w:t>
      </w:r>
      <w:r w:rsidRPr="004858AB">
        <w:rPr>
          <w:rFonts w:eastAsiaTheme="minorEastAsia"/>
          <w:color w:val="C00000"/>
          <w:sz w:val="20"/>
          <w:szCs w:val="20"/>
          <w:lang w:eastAsia="zh-CN"/>
        </w:rPr>
        <w:t>(a). SHAP values from the Cubist model (28-day input</w:t>
      </w:r>
      <w:r w:rsidRPr="004858AB">
        <w:rPr>
          <w:rFonts w:eastAsiaTheme="minorEastAsia" w:hint="eastAsia"/>
          <w:color w:val="C00000"/>
          <w:sz w:val="20"/>
          <w:szCs w:val="20"/>
          <w:lang w:eastAsia="zh-CN"/>
        </w:rPr>
        <w:t>)</w:t>
      </w:r>
      <w:r w:rsidRPr="004858AB">
        <w:rPr>
          <w:rFonts w:eastAsiaTheme="minorEastAsia"/>
          <w:color w:val="C00000"/>
          <w:sz w:val="20"/>
          <w:szCs w:val="20"/>
          <w:lang w:eastAsia="zh-CN"/>
        </w:rPr>
        <w:t xml:space="preserve"> for predicting variant monthly maximum peak share across 15 countries. Red indicates positive, blue negative contributions.</w:t>
      </w:r>
    </w:p>
    <w:p w14:paraId="0F1F2AEB" w14:textId="77777777" w:rsidR="0045514C" w:rsidRDefault="0045514C" w:rsidP="00706744">
      <w:pPr>
        <w:pStyle w:val="BodyText"/>
        <w:spacing w:line="276" w:lineRule="auto"/>
        <w:ind w:left="0"/>
        <w:jc w:val="both"/>
        <w:rPr>
          <w:rFonts w:eastAsiaTheme="minorEastAsia"/>
          <w:sz w:val="22"/>
          <w:szCs w:val="22"/>
          <w:lang w:eastAsia="ko-KR"/>
        </w:rPr>
      </w:pPr>
    </w:p>
    <w:p w14:paraId="16538E4C" w14:textId="093AEE95" w:rsidR="00B9638B" w:rsidRDefault="00BD7E47" w:rsidP="00922D07">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776DA40C" wp14:editId="26D7B646">
            <wp:extent cx="2743200" cy="1580083"/>
            <wp:effectExtent l="0" t="0" r="0" b="0"/>
            <wp:docPr id="128736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6951" name="Picture 128736951"/>
                    <pic:cNvPicPr/>
                  </pic:nvPicPr>
                  <pic:blipFill>
                    <a:blip r:embed="rId18"/>
                    <a:stretch>
                      <a:fillRect/>
                    </a:stretch>
                  </pic:blipFill>
                  <pic:spPr>
                    <a:xfrm>
                      <a:off x="0" y="0"/>
                      <a:ext cx="2743200" cy="1580083"/>
                    </a:xfrm>
                    <a:prstGeom prst="rect">
                      <a:avLst/>
                    </a:prstGeom>
                  </pic:spPr>
                </pic:pic>
              </a:graphicData>
            </a:graphic>
          </wp:inline>
        </w:drawing>
      </w:r>
      <w:r w:rsidR="00A420CB">
        <w:rPr>
          <w:rFonts w:eastAsiaTheme="minorEastAsia"/>
          <w:b/>
          <w:bCs/>
          <w:noProof/>
          <w:sz w:val="22"/>
          <w:szCs w:val="22"/>
          <w:lang w:eastAsia="zh-CN"/>
          <w14:ligatures w14:val="standardContextual"/>
        </w:rPr>
        <w:drawing>
          <wp:inline distT="0" distB="0" distL="0" distR="0" wp14:anchorId="34DF8B3E" wp14:editId="00801A9F">
            <wp:extent cx="2743200" cy="1580083"/>
            <wp:effectExtent l="0" t="0" r="0" b="0"/>
            <wp:docPr id="1940312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12724" name="Picture 1940312724"/>
                    <pic:cNvPicPr/>
                  </pic:nvPicPr>
                  <pic:blipFill>
                    <a:blip r:embed="rId19"/>
                    <a:stretch>
                      <a:fillRect/>
                    </a:stretch>
                  </pic:blipFill>
                  <pic:spPr>
                    <a:xfrm>
                      <a:off x="0" y="0"/>
                      <a:ext cx="2743200" cy="1580083"/>
                    </a:xfrm>
                    <a:prstGeom prst="rect">
                      <a:avLst/>
                    </a:prstGeom>
                  </pic:spPr>
                </pic:pic>
              </a:graphicData>
            </a:graphic>
          </wp:inline>
        </w:drawing>
      </w:r>
    </w:p>
    <w:p w14:paraId="3D56A3F0" w14:textId="492E63FB" w:rsidR="008A4D40" w:rsidRPr="004858AB" w:rsidRDefault="004858AB" w:rsidP="00372EFC">
      <w:pPr>
        <w:pStyle w:val="BodyText"/>
        <w:spacing w:line="276" w:lineRule="auto"/>
        <w:ind w:left="0"/>
        <w:jc w:val="both"/>
        <w:rPr>
          <w:rFonts w:eastAsiaTheme="minorEastAsia"/>
          <w:color w:val="C00000"/>
          <w:sz w:val="20"/>
          <w:szCs w:val="20"/>
          <w:lang w:eastAsia="zh-CN"/>
        </w:rPr>
      </w:pPr>
      <w:r w:rsidRPr="004858AB">
        <w:rPr>
          <w:rFonts w:eastAsiaTheme="minorEastAsia"/>
          <w:color w:val="C00000"/>
          <w:sz w:val="20"/>
          <w:szCs w:val="20"/>
          <w:lang w:eastAsia="zh-CN"/>
        </w:rPr>
        <w:t xml:space="preserve">Figure </w:t>
      </w:r>
      <w:r w:rsidR="007B1DD9">
        <w:rPr>
          <w:rFonts w:eastAsiaTheme="minorEastAsia" w:hint="eastAsia"/>
          <w:color w:val="C00000"/>
          <w:sz w:val="20"/>
          <w:szCs w:val="20"/>
          <w:lang w:eastAsia="zh-CN"/>
        </w:rPr>
        <w:t>5</w:t>
      </w:r>
      <w:r w:rsidRPr="004858AB">
        <w:rPr>
          <w:rFonts w:eastAsiaTheme="minorEastAsia"/>
          <w:color w:val="C00000"/>
          <w:sz w:val="20"/>
          <w:szCs w:val="20"/>
          <w:lang w:eastAsia="zh-CN"/>
        </w:rPr>
        <w:t>(</w:t>
      </w:r>
      <w:r>
        <w:rPr>
          <w:rFonts w:eastAsiaTheme="minorEastAsia"/>
          <w:color w:val="C00000"/>
          <w:sz w:val="20"/>
          <w:szCs w:val="20"/>
          <w:lang w:eastAsia="zh-CN"/>
        </w:rPr>
        <w:t>b</w:t>
      </w:r>
      <w:r w:rsidRPr="004858AB">
        <w:rPr>
          <w:rFonts w:eastAsiaTheme="minorEastAsia"/>
          <w:color w:val="C00000"/>
          <w:sz w:val="20"/>
          <w:szCs w:val="20"/>
          <w:lang w:eastAsia="zh-CN"/>
        </w:rPr>
        <w:t>). SHAP values from the Cubist model (28-day input) for predicting days over 30% share across 15 countries. Red indicates positive, blue negative contributions.</w:t>
      </w:r>
    </w:p>
    <w:p w14:paraId="789938CC" w14:textId="77777777" w:rsidR="004858AB" w:rsidRDefault="004858AB" w:rsidP="00372EFC">
      <w:pPr>
        <w:pStyle w:val="BodyText"/>
        <w:spacing w:line="276" w:lineRule="auto"/>
        <w:ind w:left="0"/>
        <w:jc w:val="both"/>
        <w:rPr>
          <w:rFonts w:eastAsiaTheme="minorEastAsia"/>
          <w:sz w:val="22"/>
          <w:szCs w:val="22"/>
          <w:lang w:eastAsia="zh-CN"/>
        </w:rPr>
      </w:pPr>
    </w:p>
    <w:p w14:paraId="5EC1D1CB" w14:textId="3F07997E" w:rsidR="007C4D7B" w:rsidRDefault="004D01B4" w:rsidP="00372EFC">
      <w:pPr>
        <w:pStyle w:val="BodyText"/>
        <w:spacing w:line="276" w:lineRule="auto"/>
        <w:ind w:left="0"/>
        <w:jc w:val="both"/>
        <w:rPr>
          <w:rFonts w:eastAsiaTheme="minorEastAsia"/>
          <w:color w:val="156082" w:themeColor="accent1"/>
          <w:sz w:val="22"/>
          <w:szCs w:val="22"/>
          <w:shd w:val="pct15" w:color="auto" w:fill="FFFFFF"/>
          <w:lang w:eastAsia="zh-CN"/>
        </w:rPr>
      </w:pPr>
      <w:r w:rsidRPr="004858AB">
        <w:rPr>
          <w:rFonts w:eastAsiaTheme="minorEastAsia"/>
          <w:color w:val="156082" w:themeColor="accent1"/>
          <w:sz w:val="22"/>
          <w:szCs w:val="22"/>
          <w:shd w:val="pct15" w:color="auto" w:fill="FFFFFF"/>
          <w:lang w:eastAsia="zh-CN"/>
        </w:rPr>
        <w:t xml:space="preserve">Table 3 summarizes model performance in predicting SARS-CoV-2 variant dynamics across the United States, the United Kingdom, and South Korea during 2022. Using features from the early emergence period, the models successfully identified variants that later reached dominance (&gt;50% share). In the United States, BQ.1.1 and XBB.1.5 were correctly recognized, with TTD forecasts of ~56–57 days closely matching observed dominance times (57–79 days). In the United Kingdom, BQ.1.1 and XBB.1 were detected with predicted TTD values of 49–243 days, aligning with actual dominance at 65 and 207 days. In South Korea, XBB.1.1 was identified, with a predicted TTD of 100 days versus the observed 89 days. While the maximum share values sometimes showed discrepancies, the models consistently distinguished which variants would eventually exceed the 50% threshold. </w:t>
      </w:r>
      <w:r w:rsidRPr="004858AB">
        <w:rPr>
          <w:rFonts w:eastAsiaTheme="minorEastAsia"/>
          <w:color w:val="156082" w:themeColor="accent1"/>
          <w:sz w:val="22"/>
          <w:szCs w:val="22"/>
          <w:shd w:val="pct15" w:color="auto" w:fill="FFFFFF"/>
          <w:lang w:eastAsia="zh-CN"/>
        </w:rPr>
        <w:lastRenderedPageBreak/>
        <w:t>Importantly, the TTD estimates were generated by growth-curve fitting, providing further predictive insight into the timing of dominance.</w:t>
      </w:r>
    </w:p>
    <w:p w14:paraId="4845726C" w14:textId="77777777" w:rsidR="0093170B" w:rsidRDefault="0093170B" w:rsidP="00372EFC">
      <w:pPr>
        <w:pStyle w:val="BodyText"/>
        <w:spacing w:line="276" w:lineRule="auto"/>
        <w:ind w:left="0"/>
        <w:jc w:val="both"/>
        <w:rPr>
          <w:rFonts w:eastAsiaTheme="minorEastAsia"/>
          <w:color w:val="156082" w:themeColor="accent1"/>
          <w:sz w:val="22"/>
          <w:szCs w:val="22"/>
          <w:shd w:val="pct15" w:color="auto" w:fill="FFFFFF"/>
          <w:lang w:eastAsia="zh-CN"/>
        </w:rPr>
      </w:pPr>
    </w:p>
    <w:p w14:paraId="3F5FE62B" w14:textId="753B8EE3" w:rsidR="0093170B" w:rsidRDefault="0093170B" w:rsidP="0093170B">
      <w:pPr>
        <w:pStyle w:val="BodyText"/>
        <w:spacing w:line="276" w:lineRule="auto"/>
        <w:ind w:left="0"/>
        <w:jc w:val="center"/>
        <w:rPr>
          <w:rFonts w:eastAsiaTheme="minorEastAsia"/>
          <w:color w:val="156082" w:themeColor="accent1"/>
          <w:sz w:val="22"/>
          <w:szCs w:val="22"/>
          <w:shd w:val="pct15" w:color="auto" w:fill="FFFFFF"/>
          <w:lang w:eastAsia="zh-CN"/>
        </w:rPr>
      </w:pPr>
      <w:r w:rsidRPr="00757D7D">
        <w:rPr>
          <w:rFonts w:eastAsiaTheme="minorEastAsia" w:hint="eastAsia"/>
          <w:noProof/>
          <w:color w:val="156082" w:themeColor="accent1"/>
          <w:sz w:val="22"/>
          <w:szCs w:val="22"/>
          <w:lang w:eastAsia="zh-CN"/>
          <w14:ligatures w14:val="standardContextual"/>
        </w:rPr>
        <w:drawing>
          <wp:inline distT="0" distB="0" distL="0" distR="0" wp14:anchorId="08E5834B" wp14:editId="63308938">
            <wp:extent cx="5290690" cy="4114800"/>
            <wp:effectExtent l="0" t="0" r="5715" b="0"/>
            <wp:docPr id="2040585631" name="Picture 2"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85631" name="Picture 2" descr="A table with numbers and numbe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290690" cy="4114800"/>
                    </a:xfrm>
                    <a:prstGeom prst="rect">
                      <a:avLst/>
                    </a:prstGeom>
                  </pic:spPr>
                </pic:pic>
              </a:graphicData>
            </a:graphic>
          </wp:inline>
        </w:drawing>
      </w:r>
    </w:p>
    <w:p w14:paraId="467CCF01" w14:textId="0E1ACCD6" w:rsidR="0093170B" w:rsidRPr="00AB7767" w:rsidRDefault="00AB7767" w:rsidP="00AB7767">
      <w:pPr>
        <w:pStyle w:val="BodyText"/>
        <w:spacing w:line="276" w:lineRule="auto"/>
        <w:ind w:left="0"/>
        <w:rPr>
          <w:rFonts w:eastAsiaTheme="minorEastAsia"/>
          <w:color w:val="C00000"/>
          <w:sz w:val="20"/>
          <w:szCs w:val="20"/>
          <w:lang w:eastAsia="zh-CN"/>
        </w:rPr>
      </w:pPr>
      <w:r w:rsidRPr="00AB7767">
        <w:rPr>
          <w:rFonts w:eastAsiaTheme="minorEastAsia"/>
          <w:color w:val="C00000"/>
          <w:sz w:val="20"/>
          <w:szCs w:val="20"/>
          <w:lang w:eastAsia="zh-CN"/>
        </w:rPr>
        <w:t xml:space="preserve">Table </w:t>
      </w:r>
      <w:r w:rsidRPr="00AB7767">
        <w:rPr>
          <w:rFonts w:eastAsiaTheme="minorEastAsia" w:hint="eastAsia"/>
          <w:color w:val="C00000"/>
          <w:sz w:val="20"/>
          <w:szCs w:val="20"/>
          <w:lang w:eastAsia="zh-CN"/>
        </w:rPr>
        <w:t>3</w:t>
      </w:r>
      <w:r w:rsidRPr="00AB7767">
        <w:rPr>
          <w:rFonts w:eastAsiaTheme="minorEastAsia"/>
          <w:color w:val="C00000"/>
          <w:sz w:val="20"/>
          <w:szCs w:val="20"/>
          <w:lang w:eastAsia="zh-CN"/>
        </w:rPr>
        <w:t>. Comparison of observed and predicted variant dominance in selected countries. Dominance was defined as duration ≥100 days and peak prevalence &gt;30%. Red shading denotes false positives (predicted but not observed), and blue shading denotes false negatives (observed but not predicted).</w:t>
      </w:r>
    </w:p>
    <w:p w14:paraId="18F41CB5" w14:textId="77777777" w:rsidR="006065DB" w:rsidRDefault="006065DB" w:rsidP="00372EFC">
      <w:pPr>
        <w:pStyle w:val="BodyText"/>
        <w:spacing w:line="276" w:lineRule="auto"/>
        <w:ind w:left="0"/>
        <w:jc w:val="both"/>
        <w:rPr>
          <w:sz w:val="20"/>
          <w:szCs w:val="20"/>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3B28A530" w:rsidR="00613F72" w:rsidRPr="00D55FE7" w:rsidRDefault="00622C2D" w:rsidP="009C0DFF">
      <w:pPr>
        <w:pStyle w:val="BodyText"/>
        <w:spacing w:line="276" w:lineRule="auto"/>
        <w:ind w:left="0"/>
        <w:jc w:val="both"/>
        <w:rPr>
          <w:rFonts w:eastAsiaTheme="minorEastAsia"/>
          <w:b/>
          <w:bCs/>
          <w:sz w:val="22"/>
          <w:szCs w:val="22"/>
          <w:lang w:eastAsia="ko-KR"/>
        </w:rPr>
      </w:pPr>
      <w:r w:rsidRPr="00D55FE7">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r w:rsidR="004C6A73" w:rsidRPr="00D55FE7">
        <w:rPr>
          <w:sz w:val="22"/>
          <w:szCs w:val="22"/>
        </w:rPr>
        <w:t>2–3</w:t>
      </w:r>
      <w:r w:rsidR="004C6A73">
        <w:rPr>
          <w:rFonts w:hint="eastAsia"/>
          <w:sz w:val="22"/>
          <w:szCs w:val="22"/>
          <w:lang w:eastAsia="zh-CN"/>
        </w:rPr>
        <w:t xml:space="preserve"> </w:t>
      </w:r>
      <w:r w:rsidR="004C6A73" w:rsidRPr="00D55FE7">
        <w:rPr>
          <w:sz w:val="22"/>
          <w:szCs w:val="22"/>
        </w:rPr>
        <w:t>week</w:t>
      </w:r>
      <w:r w:rsidR="004C6A73">
        <w:rPr>
          <w:rFonts w:hint="eastAsia"/>
          <w:sz w:val="22"/>
          <w:szCs w:val="22"/>
          <w:lang w:eastAsia="zh-CN"/>
        </w:rPr>
        <w:t>s</w:t>
      </w:r>
      <w:r w:rsidRPr="00D55FE7">
        <w:rPr>
          <w:sz w:val="22"/>
          <w:szCs w:val="22"/>
        </w:rPr>
        <w:t xml:space="preserve"> projections. Tree-based ensemble methods, particularly Random Forest and </w:t>
      </w:r>
      <w:proofErr w:type="spellStart"/>
      <w:r w:rsidRPr="00D55FE7">
        <w:rPr>
          <w:sz w:val="22"/>
          <w:szCs w:val="22"/>
        </w:rPr>
        <w:t>XGBoost</w:t>
      </w:r>
      <w:proofErr w:type="spellEnd"/>
      <w:r w:rsidRPr="00D55FE7">
        <w:rPr>
          <w:sz w:val="22"/>
          <w:szCs w:val="22"/>
        </w:rPr>
        <w: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D55FE7" w:rsidRDefault="004D48EF" w:rsidP="009C0DFF">
      <w:pPr>
        <w:pStyle w:val="BodyText"/>
        <w:spacing w:line="276" w:lineRule="auto"/>
        <w:ind w:left="0"/>
        <w:jc w:val="both"/>
        <w:rPr>
          <w:rFonts w:eastAsiaTheme="minorEastAsia"/>
          <w:b/>
          <w:bCs/>
          <w:sz w:val="22"/>
          <w:szCs w:val="22"/>
          <w:lang w:eastAsia="ko-KR"/>
        </w:rPr>
      </w:pPr>
    </w:p>
    <w:p w14:paraId="13532CB9" w14:textId="6309E50C" w:rsidR="009C0DFF" w:rsidRPr="00D55FE7" w:rsidRDefault="00AF4886" w:rsidP="00372EFC">
      <w:pPr>
        <w:pStyle w:val="BodyText"/>
        <w:spacing w:line="276" w:lineRule="auto"/>
        <w:ind w:left="0"/>
        <w:jc w:val="both"/>
        <w:rPr>
          <w:sz w:val="22"/>
          <w:szCs w:val="22"/>
          <w:lang w:eastAsia="zh-CN"/>
        </w:rPr>
      </w:pPr>
      <w:r w:rsidRPr="00D55FE7">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w:t>
      </w:r>
      <w:r w:rsidRPr="00D55FE7">
        <w:rPr>
          <w:sz w:val="22"/>
          <w:szCs w:val="22"/>
          <w:lang w:eastAsia="zh-CN"/>
        </w:rPr>
        <w:lastRenderedPageBreak/>
        <w:t xml:space="preserve">growth curves or single indicators such as initial doubling time </w:t>
      </w:r>
      <w:r w:rsidR="00EE2561" w:rsidRPr="00D55FE7">
        <w:rPr>
          <w:sz w:val="22"/>
          <w:szCs w:val="22"/>
          <w:lang w:eastAsia="zh-CN"/>
        </w:rPr>
        <w:fldChar w:fldCharType="begin"/>
      </w:r>
      <w:r w:rsidR="004540D4" w:rsidRPr="00D55FE7">
        <w:rPr>
          <w:sz w:val="22"/>
          <w:szCs w:val="22"/>
          <w:lang w:eastAsia="zh-CN"/>
        </w:rPr>
        <w:instrText xml:space="preserve"> ADDIN ZOTERO_ITEM CSL_CITATION {"citationID":"hGln3yPM","properties":{"formattedCitation":"[20], [21]","plainCitation":"[20], [21]","noteIndex":0},"citationItems":[{"id":611,"uris":["http://zotero.org/users/14790911/items/7LJR2E5N"],"itemData":{"id":611,"type":"article-journal","abstract":"Introduction:\nIn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D55FE7">
        <w:rPr>
          <w:sz w:val="22"/>
          <w:szCs w:val="22"/>
          <w:lang w:eastAsia="zh-CN"/>
        </w:rPr>
        <w:fldChar w:fldCharType="separate"/>
      </w:r>
      <w:r w:rsidR="004540D4" w:rsidRPr="00D55FE7">
        <w:rPr>
          <w:noProof/>
          <w:sz w:val="22"/>
          <w:szCs w:val="22"/>
          <w:lang w:eastAsia="zh-CN"/>
        </w:rPr>
        <w:t>[20], [21]</w:t>
      </w:r>
      <w:r w:rsidR="00EE2561" w:rsidRPr="00D55FE7">
        <w:rPr>
          <w:sz w:val="22"/>
          <w:szCs w:val="22"/>
          <w:lang w:eastAsia="zh-CN"/>
        </w:rPr>
        <w:fldChar w:fldCharType="end"/>
      </w:r>
      <w:r w:rsidRPr="00D55FE7">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{"citationID":"vV5Rc0Sg","properties":{"formattedCitation":"[22]","plainCitation":"[22]","noteIndex":0},"citationItems":[{"id":613,"uris":["http://zotero.org/users/14790911/items/K3Z3638M"],"itemData":{"id":613,"type":"article-journal","abstract":"The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[22]</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D55FE7">
        <w:rPr>
          <w:sz w:val="22"/>
          <w:szCs w:val="22"/>
          <w:lang w:eastAsia="zh-CN"/>
        </w:rPr>
        <w:t xml:space="preserve"> </w:t>
      </w:r>
    </w:p>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3E6182D4" w:rsidR="002C36C5" w:rsidRPr="00D55FE7" w:rsidRDefault="002C36C5" w:rsidP="00372EFC">
      <w:pPr>
        <w:pStyle w:val="BodyText"/>
        <w:spacing w:line="276" w:lineRule="auto"/>
        <w:ind w:left="0"/>
        <w:jc w:val="both"/>
        <w:rPr>
          <w:sz w:val="22"/>
          <w:szCs w:val="22"/>
          <w:lang w:eastAsia="zh-CN"/>
        </w:rPr>
      </w:pPr>
      <w:r w:rsidRPr="00D55FE7">
        <w:rPr>
          <w:sz w:val="22"/>
          <w:szCs w:val="22"/>
          <w:lang w:eastAsia="zh-CN"/>
        </w:rPr>
        <w:t xml:space="preserve">Our systematic model comparison also demonstrated that tree-based methods—namely Random Forest and </w:t>
      </w:r>
      <w:proofErr w:type="spellStart"/>
      <w:r w:rsidRPr="00D55FE7">
        <w:rPr>
          <w:sz w:val="22"/>
          <w:szCs w:val="22"/>
          <w:lang w:eastAsia="zh-CN"/>
        </w:rPr>
        <w:t>XGBoost</w:t>
      </w:r>
      <w:proofErr w:type="spellEnd"/>
      <w:r w:rsidRPr="00D55FE7">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D55FE7">
        <w:rPr>
          <w:sz w:val="22"/>
          <w:szCs w:val="22"/>
          <w:lang w:eastAsia="zh-CN"/>
        </w:rPr>
        <w:t>ten-summary</w:t>
      </w:r>
      <w:r w:rsidRPr="00D55FE7">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{"citationID":"ishAhOqZ","properties":{"formattedCitation":"[23]","plainCitation":"[23]","noteIndex":0},"citationItems":[{"id":617,"uris":["http://zotero.org/users/14790911/items/5KQQ2X8Q"],"itemData":{"id":617,"type":"article-journal","abstract":"This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[23]</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D55FE7" w:rsidRDefault="00E255D2" w:rsidP="00372EFC">
      <w:pPr>
        <w:pStyle w:val="BodyText"/>
        <w:spacing w:line="276" w:lineRule="auto"/>
        <w:ind w:left="0"/>
        <w:jc w:val="both"/>
        <w:rPr>
          <w:sz w:val="22"/>
          <w:szCs w:val="22"/>
          <w:lang w:eastAsia="zh-CN"/>
        </w:rPr>
      </w:pPr>
    </w:p>
    <w:p w14:paraId="684AA85E" w14:textId="220CE069" w:rsidR="00E255D2" w:rsidRPr="00D55FE7" w:rsidRDefault="00640949" w:rsidP="00372EFC">
      <w:pPr>
        <w:pStyle w:val="BodyText"/>
        <w:spacing w:line="276" w:lineRule="auto"/>
        <w:ind w:left="0"/>
        <w:jc w:val="both"/>
        <w:rPr>
          <w:sz w:val="22"/>
          <w:szCs w:val="22"/>
          <w:lang w:eastAsia="zh-CN"/>
        </w:rPr>
      </w:pPr>
      <w:r w:rsidRPr="00D55FE7">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the first four weeks of case accrual carry most of the signal needed for peak‐timing forecasts </w:t>
      </w:r>
      <w:r w:rsidR="0099248C" w:rsidRPr="00D55FE7">
        <w:rPr>
          <w:sz w:val="22"/>
          <w:szCs w:val="22"/>
          <w:lang w:eastAsia="zh-CN"/>
        </w:rPr>
        <w:fldChar w:fldCharType="begin"/>
      </w:r>
      <w:r w:rsidR="004540D4" w:rsidRPr="00D55FE7">
        <w:rPr>
          <w:sz w:val="22"/>
          <w:szCs w:val="22"/>
          <w:lang w:eastAsia="zh-CN"/>
        </w:rPr>
        <w:instrText xml:space="preserve"> ADDIN ZOTERO_ITEM CSL_CITATION {"citationID":"PBEtu0FP","properties":{"formattedCitation":"[24], [25]","plainCitation":"[24], [25]","noteIndex":0},"citationItems":[{"id":622,"uris":["http://zotero.org/users/14790911/items/AAJ9U6SA"],"itemData":{"id":622,"type":"article-journal","abstract":"Medical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7,17]]},"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D55FE7">
        <w:rPr>
          <w:sz w:val="22"/>
          <w:szCs w:val="22"/>
          <w:lang w:eastAsia="zh-CN"/>
        </w:rPr>
        <w:fldChar w:fldCharType="separate"/>
      </w:r>
      <w:r w:rsidR="004540D4" w:rsidRPr="00D55FE7">
        <w:rPr>
          <w:noProof/>
          <w:sz w:val="22"/>
          <w:szCs w:val="22"/>
          <w:lang w:eastAsia="zh-CN"/>
        </w:rPr>
        <w:t>[24], [25]</w:t>
      </w:r>
      <w:r w:rsidR="0099248C" w:rsidRPr="00D55FE7">
        <w:rPr>
          <w:sz w:val="22"/>
          <w:szCs w:val="22"/>
          <w:lang w:eastAsia="zh-CN"/>
        </w:rPr>
        <w:fldChar w:fldCharType="end"/>
      </w:r>
      <w:r w:rsidRPr="00D55FE7">
        <w:rPr>
          <w:sz w:val="22"/>
          <w:szCs w:val="22"/>
          <w:lang w:eastAsia="zh-CN"/>
        </w:rPr>
        <w:t>.  In the SARS-CoV-2 context, Volz et al.</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{"citationID":"Cz03Sfrg","properties":{"formattedCitation":"[12]","plainCitation":"[12]","noteIndex":0},"citationItems":[{"id":584,"uris":["http://zotero.org/users/14790911/items/KGB6LWRM"],"itemData":{"id":584,"type":"article-journal","abstract":"The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[12]</w:t>
      </w:r>
      <w:r w:rsidR="0099248C" w:rsidRPr="00D55FE7">
        <w:rPr>
          <w:sz w:val="22"/>
          <w:szCs w:val="22"/>
          <w:lang w:eastAsia="zh-CN"/>
        </w:rPr>
        <w:fldChar w:fldCharType="end"/>
      </w:r>
      <w:r w:rsidRPr="00D55FE7">
        <w:rPr>
          <w:sz w:val="22"/>
          <w:szCs w:val="22"/>
          <w:lang w:eastAsia="zh-CN"/>
        </w:rPr>
        <w:t xml:space="preserve">  and Davies et al.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{"citationID":"kClbJwM9","properties":{"formattedCitation":"[8]","plainCitation":"[8]","noteIndex":0},"citationItems":[{"id":572,"uris":["http://zotero.org/users/14790911/items/JKKRATG5"],"itemData":{"id":572,"type":"article-journal","abstract":"A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[8]</w:t>
      </w:r>
      <w:r w:rsidR="0099248C" w:rsidRPr="00D55FE7">
        <w:rPr>
          <w:sz w:val="22"/>
          <w:szCs w:val="22"/>
          <w:lang w:eastAsia="zh-CN"/>
        </w:rPr>
        <w:fldChar w:fldCharType="end"/>
      </w:r>
      <w:r w:rsidRPr="00D55FE7">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D55FE7" w:rsidRDefault="00640949" w:rsidP="00372EFC">
      <w:pPr>
        <w:pStyle w:val="BodyText"/>
        <w:spacing w:line="276" w:lineRule="auto"/>
        <w:ind w:left="0"/>
        <w:jc w:val="both"/>
        <w:rPr>
          <w:sz w:val="22"/>
          <w:szCs w:val="22"/>
          <w:lang w:eastAsia="zh-CN"/>
        </w:rPr>
      </w:pPr>
    </w:p>
    <w:p w14:paraId="32ABB5FE" w14:textId="42D93682" w:rsidR="005646E8" w:rsidRPr="00D55FE7" w:rsidRDefault="005646E8" w:rsidP="00372EFC">
      <w:pPr>
        <w:pStyle w:val="BodyText"/>
        <w:spacing w:line="276" w:lineRule="auto"/>
        <w:ind w:left="0"/>
        <w:jc w:val="both"/>
        <w:rPr>
          <w:rFonts w:eastAsiaTheme="minorEastAsia"/>
          <w:sz w:val="22"/>
          <w:szCs w:val="22"/>
          <w:lang w:eastAsia="ko-KR"/>
        </w:rPr>
      </w:pPr>
      <w:r w:rsidRPr="00D55FE7">
        <w:rPr>
          <w:sz w:val="22"/>
          <w:szCs w:val="22"/>
          <w:lang w:eastAsia="zh-CN"/>
        </w:rPr>
        <w:t xml:space="preserve">Additional studies corroborate how surveillance intensity and sampling strategies influence early‐trajectory stability.  For example, the COVID‐19 Genomics UK (COG-UK) Consortium’s analyses demonstrated that </w:t>
      </w:r>
      <w:r w:rsidRPr="00CA2495">
        <w:rPr>
          <w:sz w:val="22"/>
          <w:szCs w:val="22"/>
          <w:lang w:eastAsia="zh-CN"/>
        </w:rPr>
        <w:t xml:space="preserve">rapid, high‐density sequencing in England captured fine‐scale shifts between Alpha and Delta variants, yielding volatile prevalence estimates in the first two weeks that only stabilized after three to four weeks of data accumulation </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w:t>
      </w:r>
      <w:r w:rsidR="0099248C" w:rsidRPr="00CA2495">
        <w:rPr>
          <w:sz w:val="22"/>
          <w:szCs w:val="22"/>
          <w:lang w:eastAsia="zh-CN"/>
        </w:rPr>
        <w:fldChar w:fldCharType="end"/>
      </w:r>
      <w:r w:rsidR="0099248C" w:rsidRPr="00CA2495">
        <w:rPr>
          <w:sz w:val="22"/>
          <w:szCs w:val="22"/>
          <w:lang w:eastAsia="zh-CN"/>
        </w:rPr>
        <w:t xml:space="preserve">. </w:t>
      </w:r>
      <w:r w:rsidRPr="00CA2495">
        <w:rPr>
          <w:sz w:val="22"/>
          <w:szCs w:val="22"/>
          <w:lang w:eastAsia="zh-CN"/>
        </w:rPr>
        <w:t>In contrast, national‐scale genomic surveys in the United States—while broader in scope—tended to smooth out local surges, enabling reliable logistic midpoints within two weeks</w:t>
      </w:r>
      <w:r w:rsidR="0099248C" w:rsidRPr="00CA2495">
        <w:rPr>
          <w:sz w:val="22"/>
          <w:szCs w:val="22"/>
          <w:lang w:eastAsia="zh-CN"/>
        </w:rPr>
        <w:t xml:space="preserve"> </w:t>
      </w:r>
      <w:r w:rsidR="0099248C" w:rsidRPr="00CA2495">
        <w:rPr>
          <w:sz w:val="22"/>
          <w:szCs w:val="22"/>
          <w:lang w:eastAsia="zh-CN"/>
        </w:rPr>
        <w:fldChar w:fldCharType="begin"/>
      </w:r>
      <w:r w:rsidR="004540D4" w:rsidRPr="00CA2495">
        <w:rPr>
          <w:sz w:val="22"/>
          <w:szCs w:val="22"/>
          <w:lang w:eastAsia="zh-CN"/>
        </w:rPr>
        <w:instrText xml:space="preserve"> ADDIN ZOTERO_ITEM CSL_CITATION {"citationID":"XctU96vn","properties":{"formattedCitation":"[26], [27]","plainCitation":"[26], [27]","noteIndex":0},"citationItems":[{"id":627,"uris":["http://zotero.org/users/14790911/items/75Z7BM7X"],"itemData":{"id":627,"type":"article-journal","abstract":"The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CA2495">
        <w:rPr>
          <w:sz w:val="22"/>
          <w:szCs w:val="22"/>
          <w:lang w:eastAsia="zh-CN"/>
        </w:rPr>
        <w:fldChar w:fldCharType="separate"/>
      </w:r>
      <w:r w:rsidR="004540D4" w:rsidRPr="00CA2495">
        <w:rPr>
          <w:noProof/>
          <w:sz w:val="22"/>
          <w:szCs w:val="22"/>
          <w:lang w:eastAsia="zh-CN"/>
        </w:rPr>
        <w:t>[26], [27]</w:t>
      </w:r>
      <w:r w:rsidR="0099248C" w:rsidRPr="00CA2495">
        <w:rPr>
          <w:sz w:val="22"/>
          <w:szCs w:val="22"/>
          <w:lang w:eastAsia="zh-CN"/>
        </w:rPr>
        <w:fldChar w:fldCharType="end"/>
      </w:r>
      <w:r w:rsidR="0099248C" w:rsidRPr="00CA2495">
        <w:rPr>
          <w:sz w:val="22"/>
          <w:szCs w:val="22"/>
          <w:lang w:eastAsia="zh-CN"/>
        </w:rPr>
        <w:t>.</w:t>
      </w:r>
      <w:r w:rsidRPr="00CA2495">
        <w:rPr>
          <w:sz w:val="22"/>
          <w:szCs w:val="22"/>
          <w:lang w:eastAsia="zh-CN"/>
        </w:rPr>
        <w:t xml:space="preserve"> Moreover, Volz et al.</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{"citationID":"9ecBEZiO","properties":{"formattedCitation":"[12]","plainCitation":"[12]","noteIndex":0},"citationItems":[{"id":584,"uris":["http://zotero.org/users/14790911/items/KGB6LWRM"],"itemData":{"id":584,"type":"article-journal","abstract":"The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[12]</w:t>
      </w:r>
      <w:r w:rsidR="0099248C" w:rsidRPr="00CA2495">
        <w:rPr>
          <w:sz w:val="22"/>
          <w:szCs w:val="22"/>
          <w:lang w:eastAsia="zh-CN"/>
        </w:rPr>
        <w:fldChar w:fldCharType="end"/>
      </w:r>
      <w:r w:rsidRPr="00CA2495">
        <w:rPr>
          <w:sz w:val="22"/>
          <w:szCs w:val="22"/>
          <w:lang w:eastAsia="zh-CN"/>
        </w:rPr>
        <w:t xml:space="preserve"> showed that denser sampling grids reduce uncertainty in growth‐rate estimates, explaining why the U.K.’s punctuated sequencing cadence temporarily increased variance.</w:t>
      </w:r>
      <w:r w:rsidRPr="00D55FE7">
        <w:rPr>
          <w:sz w:val="22"/>
          <w:szCs w:val="22"/>
          <w:lang w:eastAsia="zh-CN"/>
        </w:rPr>
        <w:t xml:space="preserve">  Together, these findings reinforce our observation that the U.K. requires a slightly longer early window—three weeks versus two—to average out its more jagged variant signals before achieving stable time‐to‐dominance forecasts.</w:t>
      </w:r>
      <w:r w:rsidR="00D628CF" w:rsidRPr="00D55FE7">
        <w:rPr>
          <w:sz w:val="22"/>
          <w:szCs w:val="22"/>
          <w:lang w:eastAsia="zh-CN"/>
        </w:rPr>
        <w:t xml:space="preserve"> </w:t>
      </w:r>
    </w:p>
    <w:p w14:paraId="56EBB97C" w14:textId="77777777" w:rsidR="005A0381" w:rsidRPr="00D55FE7" w:rsidRDefault="005A0381" w:rsidP="00372EFC">
      <w:pPr>
        <w:pStyle w:val="BodyText"/>
        <w:spacing w:line="276" w:lineRule="auto"/>
        <w:ind w:left="0"/>
        <w:jc w:val="both"/>
        <w:rPr>
          <w:rFonts w:eastAsiaTheme="minorEastAsia"/>
          <w:sz w:val="22"/>
          <w:szCs w:val="22"/>
          <w:lang w:eastAsia="ko-KR"/>
        </w:rPr>
      </w:pPr>
    </w:p>
    <w:p w14:paraId="35D328AA" w14:textId="2CDFBF24" w:rsidR="00D55FE7" w:rsidRPr="00D55FE7" w:rsidRDefault="00D55FE7" w:rsidP="00D55FE7">
      <w:pPr>
        <w:pStyle w:val="NormalWeb"/>
        <w:spacing w:before="0" w:beforeAutospacing="0" w:after="0" w:afterAutospacing="0" w:line="276" w:lineRule="auto"/>
        <w:rPr>
          <w:sz w:val="22"/>
          <w:szCs w:val="22"/>
        </w:rPr>
      </w:pPr>
      <w:r w:rsidRPr="00D55FE7">
        <w:rPr>
          <w:sz w:val="22"/>
          <w:szCs w:val="22"/>
        </w:rPr>
        <w:lastRenderedPageBreak/>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D55FE7">
        <w:rPr>
          <w:rFonts w:eastAsiaTheme="minorEastAsia" w:hint="eastAsia"/>
          <w:sz w:val="22"/>
          <w:szCs w:val="22"/>
          <w:lang w:eastAsia="ko-KR"/>
        </w:rPr>
        <w:t xml:space="preserve"> </w:t>
      </w:r>
      <w:r w:rsidRPr="00D55FE7">
        <w:rPr>
          <w:sz w:val="22"/>
          <w:szCs w:val="22"/>
        </w:rPr>
        <w:t>Global genomic surveillance heterogeneity—differing in sequencing intensity, data quality, and sharing practices—exacerbates these challenges. Furthermore, our strict data inclusion criteria (e.g., ≥100 sequences/week) excluded many regions, particularly early in the pandemic, which limits the scope and generalizability of our findings.</w:t>
      </w:r>
      <w:r w:rsidRPr="00D55FE7">
        <w:rPr>
          <w:rFonts w:eastAsiaTheme="minorEastAsia" w:hint="eastAsia"/>
          <w:sz w:val="22"/>
          <w:szCs w:val="22"/>
          <w:lang w:eastAsia="ko-KR"/>
        </w:rPr>
        <w:t xml:space="preserve"> </w:t>
      </w:r>
      <w:r w:rsidRPr="00D55FE7">
        <w:rPr>
          <w:sz w:val="22"/>
          <w:szCs w:val="22"/>
        </w:rPr>
        <w:t xml:space="preserve">Second, </w:t>
      </w:r>
      <w:r w:rsidRPr="00D55FE7">
        <w:rPr>
          <w:rFonts w:eastAsiaTheme="minorEastAsia" w:hint="eastAsia"/>
          <w:sz w:val="22"/>
          <w:szCs w:val="22"/>
          <w:lang w:eastAsia="ko-KR"/>
        </w:rPr>
        <w:t xml:space="preserve">our model focuses on sequence only data and did not </w:t>
      </w:r>
      <w:r w:rsidRPr="00D55FE7">
        <w:rPr>
          <w:rFonts w:eastAsiaTheme="minorEastAsia"/>
          <w:sz w:val="22"/>
          <w:szCs w:val="22"/>
          <w:lang w:eastAsia="ko-KR"/>
        </w:rPr>
        <w:t>incorporate</w:t>
      </w:r>
      <w:r w:rsidRPr="00D55FE7">
        <w:rPr>
          <w:rFonts w:eastAsiaTheme="minorEastAsia" w:hint="eastAsia"/>
          <w:sz w:val="22"/>
          <w:szCs w:val="22"/>
          <w:lang w:eastAsia="ko-KR"/>
        </w:rPr>
        <w:t xml:space="preserve"> </w:t>
      </w:r>
      <w:r w:rsidRPr="00D55FE7">
        <w:rPr>
          <w:rStyle w:val="Strong"/>
          <w:rFonts w:eastAsiaTheme="majorEastAsia"/>
          <w:b w:val="0"/>
          <w:bCs w:val="0"/>
          <w:sz w:val="22"/>
          <w:szCs w:val="22"/>
        </w:rPr>
        <w:t>genomic information</w:t>
      </w:r>
      <w:r w:rsidRPr="00D55FE7">
        <w:rPr>
          <w:sz w:val="22"/>
          <w:szCs w:val="22"/>
        </w:rPr>
        <w:t xml:space="preserve"> to assess intrinsic characteristics like immune evasion or severity.</w:t>
      </w:r>
      <w:r w:rsidRPr="00D55FE7">
        <w:rPr>
          <w:rFonts w:eastAsiaTheme="minorEastAsia" w:hint="eastAsia"/>
          <w:sz w:val="22"/>
          <w:szCs w:val="22"/>
          <w:lang w:eastAsia="ko-KR"/>
        </w:rPr>
        <w:t xml:space="preserve"> </w:t>
      </w:r>
      <w:r w:rsidRPr="00D55FE7">
        <w:rPr>
          <w:sz w:val="22"/>
          <w:szCs w:val="22"/>
          <w:highlight w:val="yellow"/>
        </w:rPr>
        <w:t xml:space="preserve">It is reactive, designed to predict the competitive spread of variants that have </w:t>
      </w:r>
      <w:r w:rsidRPr="00D55FE7">
        <w:rPr>
          <w:i/>
          <w:iCs/>
          <w:sz w:val="22"/>
          <w:szCs w:val="22"/>
          <w:highlight w:val="yellow"/>
        </w:rPr>
        <w:t>already emerged</w:t>
      </w:r>
      <w:r w:rsidRPr="00D55FE7">
        <w:rPr>
          <w:sz w:val="22"/>
          <w:szCs w:val="22"/>
          <w:highlight w:val="yellow"/>
        </w:rPr>
        <w:t xml:space="preserve"> rather than forecasting the </w:t>
      </w:r>
      <w:r w:rsidRPr="00D55FE7">
        <w:rPr>
          <w:i/>
          <w:iCs/>
          <w:sz w:val="22"/>
          <w:szCs w:val="22"/>
          <w:highlight w:val="yellow"/>
        </w:rPr>
        <w:t>de novo</w:t>
      </w:r>
      <w:r w:rsidRPr="00D55FE7">
        <w:rPr>
          <w:sz w:val="22"/>
          <w:szCs w:val="22"/>
          <w:highlight w:val="yellow"/>
        </w:rPr>
        <w:t xml:space="preserve"> emergence of a future variant.</w:t>
      </w:r>
      <w:r w:rsidRPr="00D55FE7">
        <w:rPr>
          <w:sz w:val="22"/>
          <w:szCs w:val="22"/>
        </w:rPr>
        <w:t xml:space="preserve"> </w:t>
      </w:r>
      <w:r w:rsidRPr="00D55FE7">
        <w:rPr>
          <w:sz w:val="22"/>
          <w:szCs w:val="22"/>
          <w:highlight w:val="yellow"/>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w:t>
      </w:r>
      <w:r w:rsidR="00763032">
        <w:rPr>
          <w:sz w:val="22"/>
          <w:szCs w:val="22"/>
          <w:highlight w:val="yellow"/>
        </w:rPr>
        <w:t>64</w:t>
      </w:r>
      <w:r w:rsidRPr="00D55FE7">
        <w:rPr>
          <w:sz w:val="22"/>
          <w:szCs w:val="22"/>
          <w:highlight w:val="yellow"/>
        </w:rPr>
        <w:t>) and South Korea (0.</w:t>
      </w:r>
      <w:r w:rsidR="00763032">
        <w:rPr>
          <w:sz w:val="22"/>
          <w:szCs w:val="22"/>
          <w:highlight w:val="yellow"/>
        </w:rPr>
        <w:t>62</w:t>
      </w:r>
      <w:r w:rsidRPr="00D55FE7">
        <w:rPr>
          <w:sz w:val="22"/>
          <w:szCs w:val="22"/>
          <w:highlight w:val="yellow"/>
        </w:rPr>
        <w:t>), performance in the United Kingdom was markedly lower (0.63), suggesting that differences in surveillance strategies, population structure, and social mixing patterns may impact predictive validity</w:t>
      </w:r>
      <w:r w:rsidRPr="00D55FE7">
        <w:rPr>
          <w:sz w:val="22"/>
          <w:szCs w:val="22"/>
        </w:rPr>
        <w:t xml:space="preserve">. </w:t>
      </w:r>
      <w:r w:rsidRPr="00D55FE7">
        <w:rPr>
          <w:rFonts w:eastAsiaTheme="minorEastAsia" w:hint="eastAsia"/>
          <w:sz w:val="22"/>
          <w:szCs w:val="22"/>
          <w:lang w:eastAsia="ko-KR"/>
        </w:rPr>
        <w:t>Third</w:t>
      </w:r>
      <w:r w:rsidRPr="00D55FE7">
        <w:rPr>
          <w:sz w:val="22"/>
          <w:szCs w:val="22"/>
        </w:rPr>
        <w:t xml:space="preserve">, like many other </w:t>
      </w:r>
      <w:r w:rsidR="00482997" w:rsidRPr="00D55FE7">
        <w:rPr>
          <w:sz w:val="22"/>
          <w:szCs w:val="22"/>
        </w:rPr>
        <w:t>models, there</w:t>
      </w:r>
      <w:r w:rsidRPr="00D55FE7">
        <w:rPr>
          <w:sz w:val="22"/>
          <w:szCs w:val="22"/>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D55FE7" w:rsidRDefault="00D55FE7" w:rsidP="00372EFC">
      <w:pPr>
        <w:pStyle w:val="BodyText"/>
        <w:spacing w:line="276" w:lineRule="auto"/>
        <w:ind w:left="0"/>
        <w:jc w:val="both"/>
        <w:rPr>
          <w:rFonts w:eastAsiaTheme="minorEastAsia"/>
          <w:sz w:val="22"/>
          <w:szCs w:val="22"/>
          <w:lang w:eastAsia="ko-KR"/>
        </w:rPr>
      </w:pPr>
    </w:p>
    <w:p w14:paraId="70209456" w14:textId="4116BECD" w:rsidR="00F34605" w:rsidRDefault="001511D4" w:rsidP="00F34605">
      <w:pPr>
        <w:pStyle w:val="BodyText"/>
        <w:spacing w:line="276" w:lineRule="auto"/>
        <w:ind w:left="0"/>
        <w:jc w:val="both"/>
        <w:rPr>
          <w:rFonts w:eastAsiaTheme="minorEastAsia"/>
          <w:sz w:val="22"/>
          <w:szCs w:val="22"/>
          <w:lang w:eastAsia="ko-KR"/>
        </w:rPr>
      </w:pPr>
      <w:r w:rsidRPr="00D55FE7">
        <w:rPr>
          <w:sz w:val="22"/>
          <w:szCs w:val="22"/>
        </w:rPr>
        <w:t xml:space="preserve">Our study systematically evaluates multiple SARS-CoV-2 variants across fifteen </w:t>
      </w:r>
      <w:proofErr w:type="gramStart"/>
      <w:r w:rsidRPr="00D55FE7">
        <w:rPr>
          <w:sz w:val="22"/>
          <w:szCs w:val="22"/>
        </w:rPr>
        <w:t xml:space="preserve">countries, </w:t>
      </w:r>
      <w:r w:rsidR="00426451">
        <w:rPr>
          <w:rFonts w:eastAsiaTheme="minorEastAsia"/>
          <w:sz w:val="22"/>
          <w:szCs w:val="22"/>
          <w:lang w:eastAsia="ko-KR"/>
        </w:rPr>
        <w:t xml:space="preserve"> </w:t>
      </w:r>
      <w:r w:rsidR="00F34605" w:rsidRPr="00D55FE7">
        <w:rPr>
          <w:sz w:val="22"/>
          <w:szCs w:val="22"/>
        </w:rPr>
        <w:t>delivers</w:t>
      </w:r>
      <w:proofErr w:type="gramEnd"/>
      <w:r w:rsidR="00F34605" w:rsidRPr="00D55FE7">
        <w:rPr>
          <w:sz w:val="22"/>
          <w:szCs w:val="22"/>
        </w:rPr>
        <w:t xml:space="preserve"> interpretable, country-specific TTD estimates </w:t>
      </w:r>
      <w:r w:rsidR="00426451">
        <w:rPr>
          <w:rFonts w:eastAsiaTheme="minorEastAsia"/>
          <w:sz w:val="22"/>
          <w:szCs w:val="22"/>
          <w:lang w:eastAsia="ko-KR"/>
        </w:rPr>
        <w:t>to guide booster rollouts and non-pharmaceutical interventions</w:t>
      </w:r>
      <w:r w:rsidR="00426451">
        <w:rPr>
          <w:rFonts w:eastAsiaTheme="minorEastAsia" w:hint="eastAsia"/>
          <w:sz w:val="22"/>
          <w:szCs w:val="22"/>
          <w:lang w:eastAsia="ko-KR"/>
        </w:rPr>
        <w:t xml:space="preserve">. </w:t>
      </w:r>
      <w:r w:rsidR="00F34605">
        <w:rPr>
          <w:rFonts w:eastAsiaTheme="minorEastAsia" w:hint="eastAsia"/>
          <w:sz w:val="22"/>
          <w:szCs w:val="22"/>
          <w:lang w:eastAsia="ko-KR"/>
        </w:rPr>
        <w:t>This</w:t>
      </w:r>
      <w:r w:rsidR="00F34605" w:rsidRPr="00D55FE7">
        <w:rPr>
          <w:sz w:val="22"/>
          <w:szCs w:val="22"/>
        </w:rPr>
        <w:t xml:space="preserve"> unified pipeline—from data preprocessing to model validation—</w:t>
      </w:r>
      <w:r w:rsidR="00F34605">
        <w:rPr>
          <w:rFonts w:eastAsiaTheme="minorEastAsia" w:hint="eastAsia"/>
          <w:sz w:val="22"/>
          <w:szCs w:val="22"/>
          <w:lang w:eastAsia="ko-KR"/>
        </w:rPr>
        <w:t xml:space="preserve"> is </w:t>
      </w:r>
      <w:r w:rsidR="00F34605" w:rsidRPr="00D55FE7">
        <w:rPr>
          <w:sz w:val="22"/>
          <w:szCs w:val="22"/>
        </w:rPr>
        <w:t xml:space="preserve">adaptable to other pathogens like influenza or RSV for proactive epidemic preparedness. </w:t>
      </w:r>
      <w:r w:rsidR="00F37557" w:rsidRPr="00F37557">
        <w:rPr>
          <w:sz w:val="22"/>
          <w:szCs w:val="22"/>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F37557">
        <w:rPr>
          <w:sz w:val="22"/>
          <w:szCs w:val="22"/>
        </w:rPr>
        <w:t>HiRisk</w:t>
      </w:r>
      <w:proofErr w:type="spellEnd"/>
      <w:r w:rsidR="00F37557" w:rsidRPr="00F37557">
        <w:rPr>
          <w:sz w:val="22"/>
          <w:szCs w:val="22"/>
        </w:rPr>
        <w:t xml:space="preserve"> or MLAEP) would create a unified pipeline. This expanded model could then address </w:t>
      </w:r>
      <w:r w:rsidR="00F34605">
        <w:rPr>
          <w:rFonts w:eastAsiaTheme="minorEastAsia" w:hint="eastAsia"/>
          <w:sz w:val="22"/>
          <w:szCs w:val="22"/>
          <w:lang w:eastAsia="ko-KR"/>
        </w:rPr>
        <w:t xml:space="preserve">whether any emerging </w:t>
      </w:r>
      <w:proofErr w:type="spellStart"/>
      <w:r w:rsidR="00F34605">
        <w:rPr>
          <w:rFonts w:eastAsiaTheme="minorEastAsia" w:hint="eastAsia"/>
          <w:sz w:val="22"/>
          <w:szCs w:val="22"/>
          <w:lang w:eastAsia="ko-KR"/>
        </w:rPr>
        <w:t>variants</w:t>
      </w:r>
      <w:r w:rsidR="00F37557" w:rsidRPr="00F37557">
        <w:rPr>
          <w:sz w:val="22"/>
          <w:szCs w:val="22"/>
        </w:rPr>
        <w:t>t</w:t>
      </w:r>
      <w:proofErr w:type="spellEnd"/>
      <w:r w:rsidR="00F37557" w:rsidRPr="00F37557">
        <w:rPr>
          <w:sz w:val="22"/>
          <w:szCs w:val="22"/>
        </w:rPr>
        <w:t xml:space="preserve"> become dominant, and how severe will its impact be</w:t>
      </w:r>
      <w:r w:rsidR="00F34605">
        <w:rPr>
          <w:rFonts w:eastAsiaTheme="minorEastAsia" w:hint="eastAsia"/>
          <w:sz w:val="22"/>
          <w:szCs w:val="22"/>
          <w:lang w:eastAsia="ko-KR"/>
        </w:rPr>
        <w:t xml:space="preserve"> </w:t>
      </w:r>
      <w:r w:rsidR="00F34605" w:rsidRPr="00EE01F9">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289C8C33" w14:textId="13D366CD" w:rsidR="005A0381" w:rsidRPr="00D55FE7" w:rsidRDefault="00E70D17" w:rsidP="00372EFC">
      <w:pPr>
        <w:pStyle w:val="BodyText"/>
        <w:spacing w:line="276" w:lineRule="auto"/>
        <w:ind w:left="0"/>
        <w:jc w:val="both"/>
        <w:rPr>
          <w:rFonts w:eastAsiaTheme="minorEastAsia"/>
          <w:sz w:val="22"/>
          <w:szCs w:val="22"/>
          <w:lang w:eastAsia="ko-KR"/>
        </w:rPr>
      </w:pPr>
      <w:r w:rsidRPr="00D55FE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w:t>
      </w:r>
      <w:r w:rsidR="009F563C">
        <w:rPr>
          <w:rFonts w:eastAsiaTheme="minorEastAsia"/>
          <w:sz w:val="22"/>
          <w:szCs w:val="22"/>
          <w:lang w:eastAsia="ko-KR"/>
        </w:rPr>
        <w:t>60</w:t>
      </w:r>
      <w:r w:rsidRPr="00D55FE7">
        <w:rPr>
          <w:rFonts w:eastAsiaTheme="minorEastAsia"/>
          <w:sz w:val="22"/>
          <w:szCs w:val="22"/>
          <w:lang w:eastAsia="ko-KR"/>
        </w:rPr>
        <w:t xml:space="preserve">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1737C9A" w14:textId="77777777" w:rsidR="004540D4" w:rsidRPr="004540D4" w:rsidRDefault="00B374F0" w:rsidP="004540D4">
      <w:pPr>
        <w:pStyle w:val="Bibliography"/>
        <w:rPr>
          <w:rFonts w:eastAsiaTheme="minorEastAsia"/>
          <w:sz w:val="20"/>
          <w:lang w:eastAsia="ko-KR"/>
        </w:rPr>
      </w:pPr>
      <w:r>
        <w:rPr>
          <w:sz w:val="20"/>
          <w:szCs w:val="20"/>
          <w:lang w:eastAsia="zh-CN"/>
        </w:rPr>
        <w:fldChar w:fldCharType="begin"/>
      </w:r>
      <w:r w:rsidR="004540D4">
        <w:rPr>
          <w:sz w:val="20"/>
          <w:szCs w:val="20"/>
          <w:lang w:eastAsia="zh-CN"/>
        </w:rPr>
        <w:instrText xml:space="preserve"> ADDIN ZOTERO_BIBL {"uncited":[],"omitted":[],"custom":[]} CSL_BIBLIOGRAPHY </w:instrText>
      </w:r>
      <w:r>
        <w:rPr>
          <w:sz w:val="20"/>
          <w:szCs w:val="20"/>
          <w:lang w:eastAsia="zh-CN"/>
        </w:rPr>
        <w:fldChar w:fldCharType="separate"/>
      </w:r>
      <w:r w:rsidR="004540D4" w:rsidRPr="004540D4">
        <w:rPr>
          <w:rFonts w:eastAsiaTheme="minorEastAsia"/>
          <w:sz w:val="20"/>
          <w:lang w:eastAsia="ko-KR"/>
        </w:rPr>
        <w:t>[1]</w:t>
      </w:r>
      <w:r w:rsidR="004540D4" w:rsidRPr="004540D4">
        <w:rPr>
          <w:rFonts w:eastAsiaTheme="minorEastAsia"/>
          <w:sz w:val="20"/>
          <w:lang w:eastAsia="ko-KR"/>
        </w:rPr>
        <w:tab/>
        <w:t xml:space="preserve">L. du Plessis </w:t>
      </w:r>
      <w:r w:rsidR="004540D4" w:rsidRPr="004540D4">
        <w:rPr>
          <w:rFonts w:eastAsiaTheme="minorEastAsia"/>
          <w:i/>
          <w:iCs/>
          <w:sz w:val="20"/>
          <w:lang w:eastAsia="ko-KR"/>
        </w:rPr>
        <w:t>et al.</w:t>
      </w:r>
      <w:r w:rsidR="004540D4" w:rsidRPr="004540D4">
        <w:rPr>
          <w:rFonts w:eastAsiaTheme="minorEastAsia"/>
          <w:sz w:val="20"/>
          <w:lang w:eastAsia="ko-KR"/>
        </w:rPr>
        <w:t xml:space="preserve">, “Establishment and lineage dynamics of the SARS-CoV-2 epidemic in the UK,” </w:t>
      </w:r>
      <w:r w:rsidR="004540D4" w:rsidRPr="004540D4">
        <w:rPr>
          <w:rFonts w:eastAsiaTheme="minorEastAsia"/>
          <w:i/>
          <w:iCs/>
          <w:sz w:val="20"/>
          <w:lang w:eastAsia="ko-KR"/>
        </w:rPr>
        <w:t>Science</w:t>
      </w:r>
      <w:r w:rsidR="004540D4" w:rsidRPr="004540D4">
        <w:rPr>
          <w:rFonts w:eastAsiaTheme="minorEastAsia"/>
          <w:sz w:val="20"/>
          <w:lang w:eastAsia="ko-KR"/>
        </w:rPr>
        <w:t>, vol. 371, no. 6530, pp. 708–712, Feb. 2021, doi: 10.1126/science.abf2946.</w:t>
      </w:r>
    </w:p>
    <w:p w14:paraId="76800C2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w:t>
      </w:r>
      <w:r w:rsidRPr="004540D4">
        <w:rPr>
          <w:rFonts w:eastAsiaTheme="minorEastAsia"/>
          <w:sz w:val="20"/>
          <w:lang w:eastAsia="ko-KR"/>
        </w:rPr>
        <w:tab/>
        <w:t>W. H. Organization, “SARS-CoV-2 genomic sequencing for public health goals: interim guidance, 8 January 2021,” Art. no. WHO/2019-nCoV/genomic_sequencing/2021.1, 2021, Accessed: July 17, 2025. [Online]. Available: https://iris.who.int/handle/10665/338483</w:t>
      </w:r>
    </w:p>
    <w:p w14:paraId="295EA602"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[3]</w:t>
      </w:r>
      <w:r w:rsidRPr="004540D4">
        <w:rPr>
          <w:rFonts w:eastAsiaTheme="minorEastAsia"/>
          <w:sz w:val="20"/>
          <w:lang w:eastAsia="ko-KR"/>
        </w:rPr>
        <w:tab/>
        <w:t xml:space="preserve">C. Chen </w:t>
      </w:r>
      <w:r w:rsidRPr="004540D4">
        <w:rPr>
          <w:rFonts w:eastAsiaTheme="minorEastAsia"/>
          <w:i/>
          <w:iCs/>
          <w:sz w:val="20"/>
          <w:lang w:eastAsia="ko-KR"/>
        </w:rPr>
        <w:t>et al.</w:t>
      </w:r>
      <w:r w:rsidRPr="004540D4">
        <w:rPr>
          <w:rFonts w:eastAsiaTheme="minorEastAsia"/>
          <w:sz w:val="20"/>
          <w:lang w:eastAsia="ko-KR"/>
        </w:rPr>
        <w:t xml:space="preserve">, “CoV-Spectrum: analysis of globally shared SARS-CoV-2 data to identify and characterize new variants,” </w:t>
      </w:r>
      <w:r w:rsidRPr="004540D4">
        <w:rPr>
          <w:rFonts w:eastAsiaTheme="minorEastAsia"/>
          <w:i/>
          <w:iCs/>
          <w:sz w:val="20"/>
          <w:lang w:eastAsia="ko-KR"/>
        </w:rPr>
        <w:t>Bioinforma. Oxf. Engl.</w:t>
      </w:r>
      <w:r w:rsidRPr="004540D4">
        <w:rPr>
          <w:rFonts w:eastAsiaTheme="minorEastAsia"/>
          <w:sz w:val="20"/>
          <w:lang w:eastAsia="ko-KR"/>
        </w:rPr>
        <w:t>, vol. 38, no. 6, pp. 1735–1737, Mar. 2022, doi: 10.1093/bioinformatics/btab856.</w:t>
      </w:r>
    </w:p>
    <w:p w14:paraId="2F1367FB"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[4]</w:t>
      </w:r>
      <w:r w:rsidRPr="004540D4">
        <w:rPr>
          <w:rFonts w:eastAsiaTheme="minorEastAsia"/>
          <w:sz w:val="20"/>
          <w:lang w:eastAsia="ko-KR"/>
        </w:rPr>
        <w:tab/>
        <w:t>“Tracking SARS-CoV-2 variants.” Accessed: July 17, 2025. [Online]. Available: https://www.who.int/activities/tracking-SARS-CoV-2-variants</w:t>
      </w:r>
    </w:p>
    <w:p w14:paraId="1688C61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[5]</w:t>
      </w:r>
      <w:r w:rsidRPr="004540D4">
        <w:rPr>
          <w:rFonts w:eastAsiaTheme="minorEastAsia"/>
          <w:sz w:val="20"/>
          <w:lang w:eastAsia="ko-KR"/>
        </w:rPr>
        <w:tab/>
        <w:t xml:space="preserve">E. B. Hodcroft </w:t>
      </w:r>
      <w:r w:rsidRPr="004540D4">
        <w:rPr>
          <w:rFonts w:eastAsiaTheme="minorEastAsia"/>
          <w:i/>
          <w:iCs/>
          <w:sz w:val="20"/>
          <w:lang w:eastAsia="ko-KR"/>
        </w:rPr>
        <w:t>et al.</w:t>
      </w:r>
      <w:r w:rsidRPr="004540D4">
        <w:rPr>
          <w:rFonts w:eastAsiaTheme="minorEastAsia"/>
          <w:sz w:val="20"/>
          <w:lang w:eastAsia="ko-KR"/>
        </w:rPr>
        <w:t xml:space="preserve">, “Spread of a SARS-CoV-2 variant through Europe in the summer of 2020,” </w:t>
      </w:r>
      <w:r w:rsidRPr="004540D4">
        <w:rPr>
          <w:rFonts w:eastAsiaTheme="minorEastAsia"/>
          <w:i/>
          <w:iCs/>
          <w:sz w:val="20"/>
          <w:lang w:eastAsia="ko-KR"/>
        </w:rPr>
        <w:t>Nature</w:t>
      </w:r>
      <w:r w:rsidRPr="004540D4">
        <w:rPr>
          <w:rFonts w:eastAsiaTheme="minorEastAsia"/>
          <w:sz w:val="20"/>
          <w:lang w:eastAsia="ko-KR"/>
        </w:rPr>
        <w:t>, vol. 595, no. 7869, pp. 707–712, July 2021, doi: 10.1038/s41586-021-03677-y.</w:t>
      </w:r>
    </w:p>
    <w:p w14:paraId="1823A218"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[6]</w:t>
      </w:r>
      <w:r w:rsidRPr="004540D4">
        <w:rPr>
          <w:rFonts w:eastAsiaTheme="minorEastAsia"/>
          <w:sz w:val="20"/>
          <w:lang w:eastAsia="ko-KR"/>
        </w:rPr>
        <w:tab/>
        <w:t xml:space="preserve">A. Rambaut </w:t>
      </w:r>
      <w:r w:rsidRPr="004540D4">
        <w:rPr>
          <w:rFonts w:eastAsiaTheme="minorEastAsia"/>
          <w:i/>
          <w:iCs/>
          <w:sz w:val="20"/>
          <w:lang w:eastAsia="ko-KR"/>
        </w:rPr>
        <w:t>et al.</w:t>
      </w:r>
      <w:r w:rsidRPr="004540D4">
        <w:rPr>
          <w:rFonts w:eastAsiaTheme="minorEastAsia"/>
          <w:sz w:val="20"/>
          <w:lang w:eastAsia="ko-KR"/>
        </w:rPr>
        <w:t xml:space="preserve">, “A dynamic nomenclature proposal for SARS-CoV-2 lineages to assist genomic epidemiology,” </w:t>
      </w:r>
      <w:r w:rsidRPr="004540D4">
        <w:rPr>
          <w:rFonts w:eastAsiaTheme="minorEastAsia"/>
          <w:i/>
          <w:iCs/>
          <w:sz w:val="20"/>
          <w:lang w:eastAsia="ko-KR"/>
        </w:rPr>
        <w:t>Nat. Microbiol.</w:t>
      </w:r>
      <w:r w:rsidRPr="004540D4">
        <w:rPr>
          <w:rFonts w:eastAsiaTheme="minorEastAsia"/>
          <w:sz w:val="20"/>
          <w:lang w:eastAsia="ko-KR"/>
        </w:rPr>
        <w:t>, vol. 5, no. 11, pp. 1403–1407, Nov. 2020, doi: 10.1038/s41564-020-0770-5.</w:t>
      </w:r>
    </w:p>
    <w:p w14:paraId="2A0E285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[7]</w:t>
      </w:r>
      <w:r w:rsidRPr="004540D4">
        <w:rPr>
          <w:rFonts w:eastAsiaTheme="minorEastAsia"/>
          <w:sz w:val="20"/>
          <w:lang w:eastAsia="ko-KR"/>
        </w:rPr>
        <w:tab/>
        <w:t xml:space="preserve">Á. O’Toole </w:t>
      </w:r>
      <w:r w:rsidRPr="004540D4">
        <w:rPr>
          <w:rFonts w:eastAsiaTheme="minorEastAsia"/>
          <w:i/>
          <w:iCs/>
          <w:sz w:val="20"/>
          <w:lang w:eastAsia="ko-KR"/>
        </w:rPr>
        <w:t>et al.</w:t>
      </w:r>
      <w:r w:rsidRPr="004540D4">
        <w:rPr>
          <w:rFonts w:eastAsiaTheme="minorEastAsia"/>
          <w:sz w:val="20"/>
          <w:lang w:eastAsia="ko-KR"/>
        </w:rPr>
        <w:t xml:space="preserve">, “Assignment of epidemiological lineages in an emerging pandemic using the pangolin tool,” </w:t>
      </w:r>
      <w:r w:rsidRPr="004540D4">
        <w:rPr>
          <w:rFonts w:eastAsiaTheme="minorEastAsia"/>
          <w:i/>
          <w:iCs/>
          <w:sz w:val="20"/>
          <w:lang w:eastAsia="ko-KR"/>
        </w:rPr>
        <w:t>Virus Evol.</w:t>
      </w:r>
      <w:r w:rsidRPr="004540D4">
        <w:rPr>
          <w:rFonts w:eastAsiaTheme="minorEastAsia"/>
          <w:sz w:val="20"/>
          <w:lang w:eastAsia="ko-KR"/>
        </w:rPr>
        <w:t>, vol. 7, no. 2, p. veab064, 2021, doi: 10.1093/ve/veab064.</w:t>
      </w:r>
    </w:p>
    <w:p w14:paraId="7C2F7A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[8]</w:t>
      </w:r>
      <w:r w:rsidRPr="004540D4">
        <w:rPr>
          <w:rFonts w:eastAsiaTheme="minorEastAsia"/>
          <w:sz w:val="20"/>
          <w:lang w:eastAsia="ko-KR"/>
        </w:rPr>
        <w:tab/>
        <w:t xml:space="preserve">N. G. Davies </w:t>
      </w:r>
      <w:r w:rsidRPr="004540D4">
        <w:rPr>
          <w:rFonts w:eastAsiaTheme="minorEastAsia"/>
          <w:i/>
          <w:iCs/>
          <w:sz w:val="20"/>
          <w:lang w:eastAsia="ko-KR"/>
        </w:rPr>
        <w:t>et al.</w:t>
      </w:r>
      <w:r w:rsidRPr="004540D4">
        <w:rPr>
          <w:rFonts w:eastAsiaTheme="minorEastAsia"/>
          <w:sz w:val="20"/>
          <w:lang w:eastAsia="ko-KR"/>
        </w:rPr>
        <w:t xml:space="preserve">, “Estimated transmissibility and impact of SARS-CoV-2 lineage B.1.1.7 in England,” </w:t>
      </w:r>
      <w:r w:rsidRPr="004540D4">
        <w:rPr>
          <w:rFonts w:eastAsiaTheme="minorEastAsia"/>
          <w:i/>
          <w:iCs/>
          <w:sz w:val="20"/>
          <w:lang w:eastAsia="ko-KR"/>
        </w:rPr>
        <w:t>Science</w:t>
      </w:r>
      <w:r w:rsidRPr="004540D4">
        <w:rPr>
          <w:rFonts w:eastAsiaTheme="minorEastAsia"/>
          <w:sz w:val="20"/>
          <w:lang w:eastAsia="ko-KR"/>
        </w:rPr>
        <w:t>, vol. 372, no. 6538, p. eabg3055, Apr. 2021, doi: 10.1126/science.abg3055.</w:t>
      </w:r>
    </w:p>
    <w:p w14:paraId="446B72F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[9]</w:t>
      </w:r>
      <w:r w:rsidRPr="004540D4">
        <w:rPr>
          <w:rFonts w:eastAsiaTheme="minorEastAsia"/>
          <w:sz w:val="20"/>
          <w:lang w:eastAsia="ko-KR"/>
        </w:rPr>
        <w:tab/>
        <w:t xml:space="preserve">S. M. Kissler, C. Tedijanto, E. Goldstein, Y. H. Grad, and M. Lipsitch, “Projecting the transmission dynamics of SARS-CoV-2 through the postpandemic period,” </w:t>
      </w:r>
      <w:r w:rsidRPr="004540D4">
        <w:rPr>
          <w:rFonts w:eastAsiaTheme="minorEastAsia"/>
          <w:i/>
          <w:iCs/>
          <w:sz w:val="20"/>
          <w:lang w:eastAsia="ko-KR"/>
        </w:rPr>
        <w:t>Science</w:t>
      </w:r>
      <w:r w:rsidRPr="004540D4">
        <w:rPr>
          <w:rFonts w:eastAsiaTheme="minorEastAsia"/>
          <w:sz w:val="20"/>
          <w:lang w:eastAsia="ko-KR"/>
        </w:rPr>
        <w:t>, vol. 368, no. 6493, pp. 860–868, May 2020, doi: 10.1126/science.abb5793.</w:t>
      </w:r>
    </w:p>
    <w:p w14:paraId="6926207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[10]</w:t>
      </w:r>
      <w:r w:rsidRPr="004540D4">
        <w:rPr>
          <w:rFonts w:eastAsiaTheme="minorEastAsia"/>
          <w:sz w:val="20"/>
          <w:lang w:eastAsia="ko-KR"/>
        </w:rPr>
        <w:tab/>
        <w:t xml:space="preserve">Re3data.Org, “GISAID,” 2012, </w:t>
      </w:r>
      <w:r w:rsidRPr="004540D4">
        <w:rPr>
          <w:rFonts w:eastAsiaTheme="minorEastAsia"/>
          <w:i/>
          <w:iCs/>
          <w:sz w:val="20"/>
          <w:lang w:eastAsia="ko-KR"/>
        </w:rPr>
        <w:t>re3data.org - Registry of Research Data Repositories</w:t>
      </w:r>
      <w:r w:rsidRPr="004540D4">
        <w:rPr>
          <w:rFonts w:eastAsiaTheme="minorEastAsia"/>
          <w:sz w:val="20"/>
          <w:lang w:eastAsia="ko-KR"/>
        </w:rPr>
        <w:t>. doi: 10.17616/R3Q59F.</w:t>
      </w:r>
    </w:p>
    <w:p w14:paraId="76B80137"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[11]</w:t>
      </w:r>
      <w:r w:rsidRPr="004540D4">
        <w:rPr>
          <w:rFonts w:eastAsiaTheme="minorEastAsia"/>
          <w:sz w:val="20"/>
          <w:lang w:eastAsia="ko-KR"/>
        </w:rPr>
        <w:tab/>
        <w:t xml:space="preserve">B. D. Fulcher, M. A. Little, and N. S. Jones, “Highly comparative time-series analysis: The empirical structure of time series and their methods,” </w:t>
      </w:r>
      <w:r w:rsidRPr="004540D4">
        <w:rPr>
          <w:rFonts w:eastAsiaTheme="minorEastAsia"/>
          <w:i/>
          <w:iCs/>
          <w:sz w:val="20"/>
          <w:lang w:eastAsia="ko-KR"/>
        </w:rPr>
        <w:t>J. R. Soc. Interface</w:t>
      </w:r>
      <w:r w:rsidRPr="004540D4">
        <w:rPr>
          <w:rFonts w:eastAsiaTheme="minorEastAsia"/>
          <w:sz w:val="20"/>
          <w:lang w:eastAsia="ko-KR"/>
        </w:rPr>
        <w:t>, vol. 10, no. 83, p. 20130048, June 2013, doi: 10.1098/rsif.2013.0048.</w:t>
      </w:r>
    </w:p>
    <w:p w14:paraId="0C139D9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[12]</w:t>
      </w:r>
      <w:r w:rsidRPr="004540D4">
        <w:rPr>
          <w:rFonts w:eastAsiaTheme="minorEastAsia"/>
          <w:sz w:val="20"/>
          <w:lang w:eastAsia="ko-KR"/>
        </w:rPr>
        <w:tab/>
        <w:t xml:space="preserve">E. Volz </w:t>
      </w:r>
      <w:r w:rsidRPr="004540D4">
        <w:rPr>
          <w:rFonts w:eastAsiaTheme="minorEastAsia"/>
          <w:i/>
          <w:iCs/>
          <w:sz w:val="20"/>
          <w:lang w:eastAsia="ko-KR"/>
        </w:rPr>
        <w:t>et al.</w:t>
      </w:r>
      <w:r w:rsidRPr="004540D4">
        <w:rPr>
          <w:rFonts w:eastAsiaTheme="minorEastAsia"/>
          <w:sz w:val="20"/>
          <w:lang w:eastAsia="ko-KR"/>
        </w:rPr>
        <w:t xml:space="preserve">, “Assessing transmissibility of SARS-CoV-2 lineage B.1.1.7 in England,” </w:t>
      </w:r>
      <w:r w:rsidRPr="004540D4">
        <w:rPr>
          <w:rFonts w:eastAsiaTheme="minorEastAsia"/>
          <w:i/>
          <w:iCs/>
          <w:sz w:val="20"/>
          <w:lang w:eastAsia="ko-KR"/>
        </w:rPr>
        <w:t>Nature</w:t>
      </w:r>
      <w:r w:rsidRPr="004540D4">
        <w:rPr>
          <w:rFonts w:eastAsiaTheme="minorEastAsia"/>
          <w:sz w:val="20"/>
          <w:lang w:eastAsia="ko-KR"/>
        </w:rPr>
        <w:t>, vol. 593, no. 7858, pp. 266–269, May 2021, doi: 10.1038/s41586-021-03470-x.</w:t>
      </w:r>
    </w:p>
    <w:p w14:paraId="679127A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[13]</w:t>
      </w:r>
      <w:r w:rsidRPr="004540D4">
        <w:rPr>
          <w:rFonts w:eastAsiaTheme="minorEastAsia"/>
          <w:sz w:val="20"/>
          <w:lang w:eastAsia="ko-KR"/>
        </w:rPr>
        <w:tab/>
        <w:t xml:space="preserve">T. Chen and C. Guestrin, “XGBoost: A Scalable Tree Boosting System,” in </w:t>
      </w:r>
      <w:r w:rsidRPr="004540D4">
        <w:rPr>
          <w:rFonts w:eastAsiaTheme="minorEastAsia"/>
          <w:i/>
          <w:iCs/>
          <w:sz w:val="20"/>
          <w:lang w:eastAsia="ko-KR"/>
        </w:rPr>
        <w:t>Proceedings of the 22nd ACM SIGKDD International Conference on Knowledge Discovery and Data Mining</w:t>
      </w:r>
      <w:r w:rsidRPr="004540D4">
        <w:rPr>
          <w:rFonts w:eastAsiaTheme="minorEastAsia"/>
          <w:sz w:val="20"/>
          <w:lang w:eastAsia="ko-KR"/>
        </w:rPr>
        <w:t>, Aug. 2016, pp. 785–794. doi: 10.1145/2939672.2939785.</w:t>
      </w:r>
    </w:p>
    <w:p w14:paraId="46AC342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[14]</w:t>
      </w:r>
      <w:r w:rsidRPr="004540D4">
        <w:rPr>
          <w:rFonts w:eastAsiaTheme="minorEastAsia"/>
          <w:sz w:val="20"/>
          <w:lang w:eastAsia="ko-KR"/>
        </w:rPr>
        <w:tab/>
        <w:t xml:space="preserve">L. Breiman, “Random Forests,” </w:t>
      </w:r>
      <w:r w:rsidRPr="004540D4">
        <w:rPr>
          <w:rFonts w:eastAsiaTheme="minorEastAsia"/>
          <w:i/>
          <w:iCs/>
          <w:sz w:val="20"/>
          <w:lang w:eastAsia="ko-KR"/>
        </w:rPr>
        <w:t>Mach. Learn.</w:t>
      </w:r>
      <w:r w:rsidRPr="004540D4">
        <w:rPr>
          <w:rFonts w:eastAsiaTheme="minorEastAsia"/>
          <w:sz w:val="20"/>
          <w:lang w:eastAsia="ko-KR"/>
        </w:rPr>
        <w:t>, vol. 45, no. 1, pp. 5–32, Oct. 2001, doi: 10.1023/A:1010933404324.</w:t>
      </w:r>
    </w:p>
    <w:p w14:paraId="57596BE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[15]</w:t>
      </w:r>
      <w:r w:rsidRPr="004540D4">
        <w:rPr>
          <w:rFonts w:eastAsiaTheme="minorEastAsia"/>
          <w:sz w:val="20"/>
          <w:lang w:eastAsia="ko-KR"/>
        </w:rPr>
        <w:tab/>
        <w:t xml:space="preserve">G. Ke </w:t>
      </w:r>
      <w:r w:rsidRPr="004540D4">
        <w:rPr>
          <w:rFonts w:eastAsiaTheme="minorEastAsia"/>
          <w:i/>
          <w:iCs/>
          <w:sz w:val="20"/>
          <w:lang w:eastAsia="ko-KR"/>
        </w:rPr>
        <w:t>et al.</w:t>
      </w:r>
      <w:r w:rsidRPr="004540D4">
        <w:rPr>
          <w:rFonts w:eastAsiaTheme="minorEastAsia"/>
          <w:sz w:val="20"/>
          <w:lang w:eastAsia="ko-KR"/>
        </w:rPr>
        <w:t xml:space="preserve">, “LightGBM: a highly efficient gradient boosting decision tree,” in </w:t>
      </w:r>
      <w:r w:rsidRPr="004540D4">
        <w:rPr>
          <w:rFonts w:eastAsiaTheme="minorEastAsia"/>
          <w:i/>
          <w:iCs/>
          <w:sz w:val="20"/>
          <w:lang w:eastAsia="ko-KR"/>
        </w:rPr>
        <w:t>Proceedings of the 31st International Conference on Neural Information Processing Systems</w:t>
      </w:r>
      <w:r w:rsidRPr="004540D4">
        <w:rPr>
          <w:rFonts w:eastAsiaTheme="minorEastAsia"/>
          <w:sz w:val="20"/>
          <w:lang w:eastAsia="ko-KR"/>
        </w:rPr>
        <w:t>, in NIPS’17. Red Hook, NY, USA: Curran Associates Inc., Dec. 2017, pp. 3149–3157.</w:t>
      </w:r>
    </w:p>
    <w:p w14:paraId="1C8D25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[16]</w:t>
      </w:r>
      <w:r w:rsidRPr="004540D4">
        <w:rPr>
          <w:rFonts w:eastAsiaTheme="minorEastAsia"/>
          <w:sz w:val="20"/>
          <w:lang w:eastAsia="ko-KR"/>
        </w:rPr>
        <w:tab/>
        <w:t xml:space="preserve">Y. V. Tan and J. Roy, “Bayesian additive regression trees and the General BART model,” </w:t>
      </w:r>
      <w:r w:rsidRPr="004540D4">
        <w:rPr>
          <w:rFonts w:eastAsiaTheme="minorEastAsia"/>
          <w:i/>
          <w:iCs/>
          <w:sz w:val="20"/>
          <w:lang w:eastAsia="ko-KR"/>
        </w:rPr>
        <w:t>Stat. Med.</w:t>
      </w:r>
      <w:r w:rsidRPr="004540D4">
        <w:rPr>
          <w:rFonts w:eastAsiaTheme="minorEastAsia"/>
          <w:sz w:val="20"/>
          <w:lang w:eastAsia="ko-KR"/>
        </w:rPr>
        <w:t>, vol. 38, no. 25, pp. 5048–5069, Nov. 2019, doi: 10.1002/sim.8347.</w:t>
      </w:r>
    </w:p>
    <w:p w14:paraId="6DD457E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[17]</w:t>
      </w:r>
      <w:r w:rsidRPr="004540D4">
        <w:rPr>
          <w:rFonts w:eastAsiaTheme="minorEastAsia"/>
          <w:sz w:val="20"/>
          <w:lang w:eastAsia="ko-KR"/>
        </w:rPr>
        <w:tab/>
        <w:t xml:space="preserve">H. Drucker, C. J. C. Burges, L. Kaufman, A. Smola, and V. Vapnik, “Support vector regression machines,” in </w:t>
      </w:r>
      <w:r w:rsidRPr="004540D4">
        <w:rPr>
          <w:rFonts w:eastAsiaTheme="minorEastAsia"/>
          <w:i/>
          <w:iCs/>
          <w:sz w:val="20"/>
          <w:lang w:eastAsia="ko-KR"/>
        </w:rPr>
        <w:t>Proceedings of the 10th International Conference on Neural Information Processing Systems</w:t>
      </w:r>
      <w:r w:rsidRPr="004540D4">
        <w:rPr>
          <w:rFonts w:eastAsiaTheme="minorEastAsia"/>
          <w:sz w:val="20"/>
          <w:lang w:eastAsia="ko-KR"/>
        </w:rPr>
        <w:t>, in NIPS’96. Cambridge, MA, USA: MIT Press, Dec. 1996, pp. 155–161.</w:t>
      </w:r>
    </w:p>
    <w:p w14:paraId="063CA7B0"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[18]</w:t>
      </w:r>
      <w:r w:rsidRPr="004540D4">
        <w:rPr>
          <w:rFonts w:eastAsiaTheme="minorEastAsia"/>
          <w:sz w:val="20"/>
          <w:lang w:eastAsia="ko-KR"/>
        </w:rPr>
        <w:tab/>
        <w:t xml:space="preserve">G. Chowell, P. W. Fenimore, M. A. Castillo-Garsow, and C. Castillo-Chavez, “SARS outbreaks in Ontario, Hong Kong and Singapore: the role of diagnosis and isolation as a control mechanism,” </w:t>
      </w:r>
      <w:r w:rsidRPr="004540D4">
        <w:rPr>
          <w:rFonts w:eastAsiaTheme="minorEastAsia"/>
          <w:i/>
          <w:iCs/>
          <w:sz w:val="20"/>
          <w:lang w:eastAsia="ko-KR"/>
        </w:rPr>
        <w:t>J. Theor. Biol.</w:t>
      </w:r>
      <w:r w:rsidRPr="004540D4">
        <w:rPr>
          <w:rFonts w:eastAsiaTheme="minorEastAsia"/>
          <w:sz w:val="20"/>
          <w:lang w:eastAsia="ko-KR"/>
        </w:rPr>
        <w:t>, vol. 224, no. 1, pp. 1–8, Sept. 2003, doi: 10.1016/s0022-5193(03)00228-5.</w:t>
      </w:r>
    </w:p>
    <w:p w14:paraId="5FF9C6F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[19]</w:t>
      </w:r>
      <w:r w:rsidRPr="004540D4">
        <w:rPr>
          <w:rFonts w:eastAsiaTheme="minorEastAsia"/>
          <w:sz w:val="20"/>
          <w:lang w:eastAsia="ko-KR"/>
        </w:rPr>
        <w:tab/>
        <w:t xml:space="preserve">T. A and W. J, “Analysis of logistic growth models,” </w:t>
      </w:r>
      <w:r w:rsidRPr="004540D4">
        <w:rPr>
          <w:rFonts w:eastAsiaTheme="minorEastAsia"/>
          <w:i/>
          <w:iCs/>
          <w:sz w:val="20"/>
          <w:lang w:eastAsia="ko-KR"/>
        </w:rPr>
        <w:t>Math. Biosci.</w:t>
      </w:r>
      <w:r w:rsidRPr="004540D4">
        <w:rPr>
          <w:rFonts w:eastAsiaTheme="minorEastAsia"/>
          <w:sz w:val="20"/>
          <w:lang w:eastAsia="ko-KR"/>
        </w:rPr>
        <w:t>, vol. 179, no. 1, Aug. 2002, doi: 10.1016/s0025-5564(02)00096-2.</w:t>
      </w:r>
    </w:p>
    <w:p w14:paraId="0C526B71"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[20]</w:t>
      </w:r>
      <w:r w:rsidRPr="004540D4">
        <w:rPr>
          <w:rFonts w:eastAsiaTheme="minorEastAsia"/>
          <w:sz w:val="20"/>
          <w:lang w:eastAsia="ko-KR"/>
        </w:rPr>
        <w:tab/>
        <w:t xml:space="preserve">R. Karimi </w:t>
      </w:r>
      <w:r w:rsidRPr="004540D4">
        <w:rPr>
          <w:rFonts w:eastAsiaTheme="minorEastAsia"/>
          <w:i/>
          <w:iCs/>
          <w:sz w:val="20"/>
          <w:lang w:eastAsia="ko-KR"/>
        </w:rPr>
        <w:t>et al.</w:t>
      </w:r>
      <w:r w:rsidRPr="004540D4">
        <w:rPr>
          <w:rFonts w:eastAsiaTheme="minorEastAsia"/>
          <w:sz w:val="20"/>
          <w:lang w:eastAsia="ko-KR"/>
        </w:rPr>
        <w:t xml:space="preserve">, “Basic Reproduction Number (R0), Doubling Time, and Daily Growth Rate of the COVID-19 Epidemic: An Echological Study,” </w:t>
      </w:r>
      <w:r w:rsidRPr="004540D4">
        <w:rPr>
          <w:rFonts w:eastAsiaTheme="minorEastAsia"/>
          <w:i/>
          <w:iCs/>
          <w:sz w:val="20"/>
          <w:lang w:eastAsia="ko-KR"/>
        </w:rPr>
        <w:t>Arch. Acad. Emerg. Med.</w:t>
      </w:r>
      <w:r w:rsidRPr="004540D4">
        <w:rPr>
          <w:rFonts w:eastAsiaTheme="minorEastAsia"/>
          <w:sz w:val="20"/>
          <w:lang w:eastAsia="ko-KR"/>
        </w:rPr>
        <w:t>, vol. 12, no. 1, p. e66, Sept. 2024, doi: 10.22037/aaem.v12i1.2376.</w:t>
      </w:r>
    </w:p>
    <w:p w14:paraId="50F077A3"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[21]</w:t>
      </w:r>
      <w:r w:rsidRPr="004540D4">
        <w:rPr>
          <w:rFonts w:eastAsiaTheme="minorEastAsia"/>
          <w:sz w:val="20"/>
          <w:lang w:eastAsia="ko-KR"/>
        </w:rPr>
        <w:tab/>
        <w:t xml:space="preserve">A. Anzai and H. Nishiura, “Doubling time of infectious diseases,” </w:t>
      </w:r>
      <w:r w:rsidRPr="004540D4">
        <w:rPr>
          <w:rFonts w:eastAsiaTheme="minorEastAsia"/>
          <w:i/>
          <w:iCs/>
          <w:sz w:val="20"/>
          <w:lang w:eastAsia="ko-KR"/>
        </w:rPr>
        <w:t>J. Theor. Biol.</w:t>
      </w:r>
      <w:r w:rsidRPr="004540D4">
        <w:rPr>
          <w:rFonts w:eastAsiaTheme="minorEastAsia"/>
          <w:sz w:val="20"/>
          <w:lang w:eastAsia="ko-KR"/>
        </w:rPr>
        <w:t>, p. 111278, Sept. 2022, doi: 10.1016/j.jtbi.2022.111278.</w:t>
      </w:r>
    </w:p>
    <w:p w14:paraId="342A7AC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[22]</w:t>
      </w:r>
      <w:r w:rsidRPr="004540D4">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4540D4">
        <w:rPr>
          <w:rFonts w:eastAsiaTheme="minorEastAsia"/>
          <w:i/>
          <w:iCs/>
          <w:sz w:val="20"/>
          <w:lang w:eastAsia="ko-KR"/>
        </w:rPr>
        <w:t>Curr. Med. Sci.</w:t>
      </w:r>
      <w:r w:rsidRPr="004540D4">
        <w:rPr>
          <w:rFonts w:eastAsiaTheme="minorEastAsia"/>
          <w:sz w:val="20"/>
          <w:lang w:eastAsia="ko-KR"/>
        </w:rPr>
        <w:t>, vol. 44, no. 2, pp. 273–280, Apr. 2024, doi: 10.1007/s11596-024-2850-x.</w:t>
      </w:r>
    </w:p>
    <w:p w14:paraId="5CB5514D"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[23]</w:t>
      </w:r>
      <w:r w:rsidRPr="004540D4">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4540D4">
        <w:rPr>
          <w:rFonts w:eastAsiaTheme="minorEastAsia"/>
          <w:i/>
          <w:iCs/>
          <w:sz w:val="20"/>
          <w:lang w:eastAsia="ko-KR"/>
        </w:rPr>
        <w:t>Environ. Sci. Pollut. Res. Int.</w:t>
      </w:r>
      <w:r w:rsidRPr="004540D4">
        <w:rPr>
          <w:rFonts w:eastAsiaTheme="minorEastAsia"/>
          <w:sz w:val="20"/>
          <w:lang w:eastAsia="ko-KR"/>
        </w:rPr>
        <w:t>, vol. 30, no. 5, p. 13648, Sept. 2022, doi: 10.1007/s11356-022-23132-3.</w:t>
      </w:r>
    </w:p>
    <w:p w14:paraId="32FCE07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[24]</w:t>
      </w:r>
      <w:r w:rsidRPr="004540D4">
        <w:rPr>
          <w:rFonts w:eastAsiaTheme="minorEastAsia"/>
          <w:sz w:val="20"/>
          <w:lang w:eastAsia="ko-KR"/>
        </w:rPr>
        <w:tab/>
        <w:t xml:space="preserve">V. C </w:t>
      </w:r>
      <w:r w:rsidRPr="004540D4">
        <w:rPr>
          <w:rFonts w:eastAsiaTheme="minorEastAsia"/>
          <w:i/>
          <w:iCs/>
          <w:sz w:val="20"/>
          <w:lang w:eastAsia="ko-KR"/>
        </w:rPr>
        <w:t>et al.</w:t>
      </w:r>
      <w:r w:rsidRPr="004540D4">
        <w:rPr>
          <w:rFonts w:eastAsiaTheme="minorEastAsia"/>
          <w:sz w:val="20"/>
          <w:lang w:eastAsia="ko-KR"/>
        </w:rPr>
        <w:t xml:space="preserve">, “Demonstrating the use of high-volume electronic medical claims data to monitor local and regional influenza activity in the US,” </w:t>
      </w:r>
      <w:r w:rsidRPr="004540D4">
        <w:rPr>
          <w:rFonts w:eastAsiaTheme="minorEastAsia"/>
          <w:i/>
          <w:iCs/>
          <w:sz w:val="20"/>
          <w:lang w:eastAsia="ko-KR"/>
        </w:rPr>
        <w:t>PloS One</w:t>
      </w:r>
      <w:r w:rsidRPr="004540D4">
        <w:rPr>
          <w:rFonts w:eastAsiaTheme="minorEastAsia"/>
          <w:sz w:val="20"/>
          <w:lang w:eastAsia="ko-KR"/>
        </w:rPr>
        <w:t>, vol. 9, no. 7, July 2014, doi: 10.1371/journal.pone.0102429.</w:t>
      </w:r>
    </w:p>
    <w:p w14:paraId="2A3C523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[25]</w:t>
      </w:r>
      <w:r w:rsidRPr="004540D4">
        <w:rPr>
          <w:rFonts w:eastAsiaTheme="minorEastAsia"/>
          <w:sz w:val="20"/>
          <w:lang w:eastAsia="ko-KR"/>
        </w:rPr>
        <w:tab/>
        <w:t xml:space="preserve">C. Reed </w:t>
      </w:r>
      <w:r w:rsidRPr="004540D4">
        <w:rPr>
          <w:rFonts w:eastAsiaTheme="minorEastAsia"/>
          <w:i/>
          <w:iCs/>
          <w:sz w:val="20"/>
          <w:lang w:eastAsia="ko-KR"/>
        </w:rPr>
        <w:t>et al.</w:t>
      </w:r>
      <w:r w:rsidRPr="004540D4">
        <w:rPr>
          <w:rFonts w:eastAsiaTheme="minorEastAsia"/>
          <w:sz w:val="20"/>
          <w:lang w:eastAsia="ko-KR"/>
        </w:rPr>
        <w:t xml:space="preserve">, “Estimates of the prevalence of pandemic (H1N1) 2009, United States, April-July 2009,” </w:t>
      </w:r>
      <w:r w:rsidRPr="004540D4">
        <w:rPr>
          <w:rFonts w:eastAsiaTheme="minorEastAsia"/>
          <w:i/>
          <w:iCs/>
          <w:sz w:val="20"/>
          <w:lang w:eastAsia="ko-KR"/>
        </w:rPr>
        <w:t>Emerg. Infect. Dis.</w:t>
      </w:r>
      <w:r w:rsidRPr="004540D4">
        <w:rPr>
          <w:rFonts w:eastAsiaTheme="minorEastAsia"/>
          <w:sz w:val="20"/>
          <w:lang w:eastAsia="ko-KR"/>
        </w:rPr>
        <w:t>, vol. 15, no. 12, pp. 2004–2007, Dec. 2009, doi: 10.3201/eid1512.091413.</w:t>
      </w:r>
    </w:p>
    <w:p w14:paraId="672A835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[26]</w:t>
      </w:r>
      <w:r w:rsidRPr="004540D4">
        <w:rPr>
          <w:rFonts w:eastAsiaTheme="minorEastAsia"/>
          <w:sz w:val="20"/>
          <w:lang w:eastAsia="ko-KR"/>
        </w:rPr>
        <w:tab/>
        <w:t xml:space="preserve">X. Deng </w:t>
      </w:r>
      <w:r w:rsidRPr="004540D4">
        <w:rPr>
          <w:rFonts w:eastAsiaTheme="minorEastAsia"/>
          <w:i/>
          <w:iCs/>
          <w:sz w:val="20"/>
          <w:lang w:eastAsia="ko-KR"/>
        </w:rPr>
        <w:t>et al.</w:t>
      </w:r>
      <w:r w:rsidRPr="004540D4">
        <w:rPr>
          <w:rFonts w:eastAsiaTheme="minorEastAsia"/>
          <w:sz w:val="20"/>
          <w:lang w:eastAsia="ko-KR"/>
        </w:rPr>
        <w:t xml:space="preserve">, “Genomic surveillance reveals multiple introductions of SARS-CoV-2 into Northern California,” </w:t>
      </w:r>
      <w:r w:rsidRPr="004540D4">
        <w:rPr>
          <w:rFonts w:eastAsiaTheme="minorEastAsia"/>
          <w:i/>
          <w:iCs/>
          <w:sz w:val="20"/>
          <w:lang w:eastAsia="ko-KR"/>
        </w:rPr>
        <w:lastRenderedPageBreak/>
        <w:t>Science</w:t>
      </w:r>
      <w:r w:rsidRPr="004540D4">
        <w:rPr>
          <w:rFonts w:eastAsiaTheme="minorEastAsia"/>
          <w:sz w:val="20"/>
          <w:lang w:eastAsia="ko-KR"/>
        </w:rPr>
        <w:t>, vol. 369, no. 6503, pp. 582–587, July 2020, doi: 10.1126/science.abb9263.</w:t>
      </w:r>
    </w:p>
    <w:p w14:paraId="64FD4A0A"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[27]</w:t>
      </w:r>
      <w:r w:rsidRPr="004540D4">
        <w:rPr>
          <w:rFonts w:eastAsiaTheme="minorEastAsia"/>
          <w:sz w:val="20"/>
          <w:lang w:eastAsia="ko-KR"/>
        </w:rPr>
        <w:tab/>
        <w:t xml:space="preserve">T. Bedford </w:t>
      </w:r>
      <w:r w:rsidRPr="004540D4">
        <w:rPr>
          <w:rFonts w:eastAsiaTheme="minorEastAsia"/>
          <w:i/>
          <w:iCs/>
          <w:sz w:val="20"/>
          <w:lang w:eastAsia="ko-KR"/>
        </w:rPr>
        <w:t>et al.</w:t>
      </w:r>
      <w:r w:rsidRPr="004540D4">
        <w:rPr>
          <w:rFonts w:eastAsiaTheme="minorEastAsia"/>
          <w:sz w:val="20"/>
          <w:lang w:eastAsia="ko-KR"/>
        </w:rPr>
        <w:t xml:space="preserve">, “Cryptic transmission of SARS-CoV-2 in Washington state,” </w:t>
      </w:r>
      <w:r w:rsidRPr="004540D4">
        <w:rPr>
          <w:rFonts w:eastAsiaTheme="minorEastAsia"/>
          <w:i/>
          <w:iCs/>
          <w:sz w:val="20"/>
          <w:lang w:eastAsia="ko-KR"/>
        </w:rPr>
        <w:t>Science</w:t>
      </w:r>
      <w:r w:rsidRPr="004540D4">
        <w:rPr>
          <w:rFonts w:eastAsiaTheme="minorEastAsia"/>
          <w:sz w:val="20"/>
          <w:lang w:eastAsia="ko-KR"/>
        </w:rPr>
        <w:t>, vol. 370, no. 6516, pp. 571–575, Oct. 2020, doi: 10.1126/science.abc0523.</w:t>
      </w:r>
    </w:p>
    <w:p w14:paraId="5866BF10" w14:textId="640E4CA1" w:rsidR="00B374F0" w:rsidRDefault="00B374F0" w:rsidP="004540D4">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63DDEF17" w14:textId="77777777" w:rsidR="00654F15" w:rsidRDefault="00654F15" w:rsidP="00654F15">
      <w:pPr>
        <w:rPr>
          <w:lang w:eastAsia="zh-CN"/>
        </w:rPr>
      </w:pPr>
    </w:p>
    <w:p w14:paraId="0CD0E1FB" w14:textId="77777777" w:rsidR="00F0683D" w:rsidRDefault="00F0683D" w:rsidP="00654F15">
      <w:pPr>
        <w:rPr>
          <w:lang w:eastAsia="zh-CN"/>
        </w:rPr>
      </w:pPr>
    </w:p>
    <w:p w14:paraId="1803E4B3" w14:textId="77777777" w:rsidR="00F0683D" w:rsidRDefault="00F0683D" w:rsidP="00654F15">
      <w:pPr>
        <w:rPr>
          <w:lang w:eastAsia="zh-CN"/>
        </w:rPr>
      </w:pPr>
    </w:p>
    <w:p w14:paraId="350F597C" w14:textId="77777777" w:rsidR="00F0683D" w:rsidRDefault="00F0683D" w:rsidP="00654F15">
      <w:pPr>
        <w:rPr>
          <w:lang w:eastAsia="zh-CN"/>
        </w:rPr>
      </w:pPr>
    </w:p>
    <w:p w14:paraId="070A8B54" w14:textId="77777777" w:rsidR="00F0683D" w:rsidRDefault="00F0683D" w:rsidP="00654F15">
      <w:pPr>
        <w:rPr>
          <w:lang w:eastAsia="zh-CN"/>
        </w:rPr>
      </w:pPr>
    </w:p>
    <w:p w14:paraId="66DF41F7" w14:textId="77777777" w:rsidR="00F0683D" w:rsidRDefault="00F0683D" w:rsidP="00654F15">
      <w:pPr>
        <w:rPr>
          <w:lang w:eastAsia="zh-CN"/>
        </w:rPr>
      </w:pPr>
    </w:p>
    <w:p w14:paraId="2CA75C16" w14:textId="77777777" w:rsidR="00F0683D" w:rsidRDefault="00F0683D" w:rsidP="00654F15">
      <w:pPr>
        <w:rPr>
          <w:lang w:eastAsia="zh-CN"/>
        </w:rPr>
      </w:pPr>
    </w:p>
    <w:p w14:paraId="327DBB16" w14:textId="77777777" w:rsidR="00F0683D" w:rsidRDefault="00F0683D" w:rsidP="00654F15">
      <w:pPr>
        <w:rPr>
          <w:lang w:eastAsia="zh-CN"/>
        </w:rPr>
      </w:pPr>
    </w:p>
    <w:p w14:paraId="1BC1469E" w14:textId="77777777" w:rsidR="00F0683D" w:rsidRDefault="00F0683D" w:rsidP="00654F15">
      <w:pPr>
        <w:rPr>
          <w:lang w:eastAsia="zh-CN"/>
        </w:rPr>
      </w:pPr>
    </w:p>
    <w:p w14:paraId="57066569" w14:textId="77777777" w:rsidR="00F0683D" w:rsidRDefault="00F0683D" w:rsidP="00654F15">
      <w:pPr>
        <w:rPr>
          <w:lang w:eastAsia="zh-CN"/>
        </w:rPr>
      </w:pPr>
    </w:p>
    <w:p w14:paraId="081BCCAE" w14:textId="77777777" w:rsidR="00F0683D" w:rsidRDefault="00F0683D" w:rsidP="00654F15">
      <w:pPr>
        <w:rPr>
          <w:lang w:eastAsia="zh-CN"/>
        </w:rPr>
      </w:pPr>
    </w:p>
    <w:p w14:paraId="76677AFE" w14:textId="77777777" w:rsidR="00F0683D" w:rsidRDefault="00F0683D" w:rsidP="00654F15">
      <w:pPr>
        <w:rPr>
          <w:lang w:eastAsia="zh-CN"/>
        </w:rPr>
      </w:pPr>
    </w:p>
    <w:p w14:paraId="73C405AA" w14:textId="77777777" w:rsidR="00F0683D" w:rsidRDefault="00F0683D" w:rsidP="00654F15">
      <w:pPr>
        <w:rPr>
          <w:lang w:eastAsia="zh-CN"/>
        </w:rPr>
      </w:pPr>
    </w:p>
    <w:p w14:paraId="3791BF03" w14:textId="77777777" w:rsidR="00F0683D" w:rsidRDefault="00F0683D" w:rsidP="00654F15">
      <w:pPr>
        <w:rPr>
          <w:lang w:eastAsia="zh-CN"/>
        </w:rPr>
      </w:pPr>
    </w:p>
    <w:p w14:paraId="650F2017" w14:textId="72114BF2" w:rsidR="00654F15" w:rsidRDefault="00654F15" w:rsidP="00654F15">
      <w:pPr>
        <w:rPr>
          <w:rFonts w:eastAsiaTheme="minorEastAsia"/>
          <w:b/>
          <w:bCs/>
          <w:lang w:eastAsia="ko-KR"/>
        </w:rPr>
      </w:pPr>
      <w:r w:rsidRPr="000F4BFE">
        <w:rPr>
          <w:rFonts w:hint="eastAsia"/>
          <w:b/>
          <w:bCs/>
          <w:lang w:eastAsia="zh-CN"/>
        </w:rPr>
        <w:t>A</w:t>
      </w:r>
      <w:r w:rsidRPr="000F4BFE">
        <w:rPr>
          <w:b/>
          <w:bCs/>
          <w:lang w:eastAsia="zh-CN"/>
        </w:rPr>
        <w:t xml:space="preserve">ppendix </w:t>
      </w:r>
    </w:p>
    <w:p w14:paraId="6C5F79C7" w14:textId="49F32A75" w:rsidR="00C96FD2" w:rsidRPr="00C96FD2" w:rsidRDefault="00F87DB3" w:rsidP="00654F15">
      <w:pPr>
        <w:rPr>
          <w:rFonts w:eastAsiaTheme="minorEastAsia"/>
          <w:b/>
          <w:lang w:eastAsia="zh-CN"/>
        </w:rPr>
      </w:pPr>
      <w:r>
        <w:rPr>
          <w:rFonts w:eastAsiaTheme="minorEastAsia"/>
          <w:b/>
          <w:lang w:eastAsia="zh-CN"/>
        </w:rPr>
        <w:t xml:space="preserve">Data </w:t>
      </w:r>
      <w:r w:rsidR="008A53BF">
        <w:rPr>
          <w:rFonts w:eastAsiaTheme="minorEastAsia" w:hint="eastAsia"/>
          <w:b/>
          <w:lang w:eastAsia="zh-CN"/>
        </w:rPr>
        <w:t xml:space="preserve">Description </w:t>
      </w:r>
      <w:r>
        <w:rPr>
          <w:rFonts w:eastAsiaTheme="minorEastAsia"/>
          <w:b/>
          <w:lang w:eastAsia="zh-CN"/>
        </w:rPr>
        <w:t xml:space="preserve">(Stage </w:t>
      </w:r>
      <w:r w:rsidR="008A53BF">
        <w:rPr>
          <w:rFonts w:eastAsiaTheme="minorEastAsia" w:hint="eastAsia"/>
          <w:b/>
          <w:lang w:eastAsia="zh-CN"/>
        </w:rPr>
        <w:t>Zero</w:t>
      </w:r>
      <w:r>
        <w:rPr>
          <w:rFonts w:eastAsiaTheme="minorEastAsia"/>
          <w:b/>
          <w:lang w:eastAsia="zh-CN"/>
        </w:rPr>
        <w:t>)</w:t>
      </w:r>
    </w:p>
    <w:p w14:paraId="449DE773" w14:textId="264718F0" w:rsidR="005D17AA" w:rsidRDefault="008164FF" w:rsidP="00090DE5">
      <w:pPr>
        <w:jc w:val="center"/>
        <w:rPr>
          <w:lang w:eastAsia="zh-CN"/>
        </w:rPr>
      </w:pPr>
      <w:r>
        <w:rPr>
          <w:rFonts w:hint="eastAsia"/>
          <w:noProof/>
          <w:lang w:eastAsia="zh-CN"/>
          <w14:ligatures w14:val="standardContextual"/>
        </w:rPr>
        <w:drawing>
          <wp:inline distT="0" distB="0" distL="0" distR="0" wp14:anchorId="10946716" wp14:editId="3857C12A">
            <wp:extent cx="6191250" cy="4970780"/>
            <wp:effectExtent l="0" t="0" r="6350" b="0"/>
            <wp:docPr id="111702763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630" name="Picture 1" descr="A table of numbers and lett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191250" cy="4970780"/>
                    </a:xfrm>
                    <a:prstGeom prst="rect">
                      <a:avLst/>
                    </a:prstGeom>
                  </pic:spPr>
                </pic:pic>
              </a:graphicData>
            </a:graphic>
          </wp:inline>
        </w:drawing>
      </w:r>
    </w:p>
    <w:p w14:paraId="3EEC8827" w14:textId="61784CF6" w:rsidR="008164FF" w:rsidRDefault="00CA7642" w:rsidP="00090DE5">
      <w:pPr>
        <w:jc w:val="center"/>
        <w:rPr>
          <w:lang w:eastAsia="zh-CN"/>
        </w:rPr>
      </w:pPr>
      <w:r>
        <w:rPr>
          <w:rFonts w:hint="eastAsia"/>
          <w:noProof/>
          <w:lang w:eastAsia="zh-CN"/>
          <w14:ligatures w14:val="standardContextual"/>
        </w:rPr>
        <w:lastRenderedPageBreak/>
        <w:drawing>
          <wp:inline distT="0" distB="0" distL="0" distR="0" wp14:anchorId="5F2D6437" wp14:editId="31E800CB">
            <wp:extent cx="6191250" cy="6137275"/>
            <wp:effectExtent l="0" t="0" r="6350" b="0"/>
            <wp:docPr id="1786120873"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0873" name="Picture 2" descr="A table of numbers and lette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191250" cy="6137275"/>
                    </a:xfrm>
                    <a:prstGeom prst="rect">
                      <a:avLst/>
                    </a:prstGeom>
                  </pic:spPr>
                </pic:pic>
              </a:graphicData>
            </a:graphic>
          </wp:inline>
        </w:drawing>
      </w:r>
    </w:p>
    <w:p w14:paraId="71B0E449" w14:textId="77777777" w:rsidR="008B24D4" w:rsidRDefault="00654F15" w:rsidP="00654F15">
      <w:pPr>
        <w:rPr>
          <w:color w:val="C00000"/>
          <w:sz w:val="20"/>
          <w:szCs w:val="20"/>
          <w:lang w:eastAsia="zh-CN"/>
        </w:rPr>
      </w:pPr>
      <w:r w:rsidRPr="00A67708">
        <w:rPr>
          <w:color w:val="C00000"/>
          <w:sz w:val="20"/>
          <w:szCs w:val="20"/>
          <w:lang w:eastAsia="zh-CN"/>
        </w:rPr>
        <w:t xml:space="preserve">Table S1: </w:t>
      </w:r>
      <w:r w:rsidR="000F4BFE" w:rsidRPr="00A67708">
        <w:rPr>
          <w:color w:val="C00000"/>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572A3505" w:rsidR="008B24D4" w:rsidRPr="00C96FD2" w:rsidRDefault="008B24D4" w:rsidP="008B24D4">
      <w:pPr>
        <w:rPr>
          <w:rFonts w:eastAsiaTheme="minorEastAsia"/>
          <w:b/>
          <w:lang w:eastAsia="zh-CN"/>
        </w:rPr>
      </w:pPr>
      <w:r>
        <w:rPr>
          <w:rFonts w:eastAsiaTheme="minorEastAsia"/>
          <w:b/>
          <w:lang w:eastAsia="zh-CN"/>
        </w:rPr>
        <w:t xml:space="preserve">Data </w:t>
      </w:r>
      <w:r w:rsidR="00F71E25">
        <w:rPr>
          <w:rFonts w:eastAsiaTheme="minorEastAsia"/>
          <w:b/>
          <w:lang w:eastAsia="zh-CN"/>
        </w:rPr>
        <w:t>Processing</w:t>
      </w:r>
      <w:r>
        <w:rPr>
          <w:rFonts w:eastAsiaTheme="minorEastAsia" w:hint="eastAsia"/>
          <w:b/>
          <w:lang w:eastAsia="zh-CN"/>
        </w:rPr>
        <w:t xml:space="preserve"> </w:t>
      </w:r>
      <w:r>
        <w:rPr>
          <w:rFonts w:eastAsiaTheme="minorEastAsia"/>
          <w:b/>
          <w:lang w:eastAsia="zh-CN"/>
        </w:rPr>
        <w:t xml:space="preserve">(Stage </w:t>
      </w:r>
      <w:r>
        <w:rPr>
          <w:rFonts w:eastAsiaTheme="minorEastAsia" w:hint="eastAsia"/>
          <w:b/>
          <w:lang w:eastAsia="zh-CN"/>
        </w:rPr>
        <w:t>One</w:t>
      </w:r>
      <w:r>
        <w:rPr>
          <w:rFonts w:eastAsiaTheme="minorEastAsia"/>
          <w:b/>
          <w:lang w:eastAsia="zh-CN"/>
        </w:rPr>
        <w:t>)</w:t>
      </w:r>
    </w:p>
    <w:p w14:paraId="3EBACF32" w14:textId="0DE7B30B" w:rsidR="008B24D4" w:rsidRDefault="009F31A6" w:rsidP="00654F15">
      <w:pPr>
        <w:rPr>
          <w:lang w:eastAsia="zh-CN"/>
        </w:rPr>
      </w:pPr>
      <w:r w:rsidRPr="009F31A6">
        <w:rPr>
          <w:rFonts w:hint="eastAsia"/>
          <w:color w:val="C00000"/>
          <w:lang w:eastAsia="zh-CN"/>
        </w:rPr>
        <w:t>Fi</w:t>
      </w:r>
      <w:r w:rsidRPr="009F31A6">
        <w:rPr>
          <w:color w:val="C00000"/>
          <w:lang w:eastAsia="zh-CN"/>
        </w:rPr>
        <w:t>gureS1</w:t>
      </w:r>
      <w:r>
        <w:rPr>
          <w:lang w:eastAsia="zh-CN"/>
        </w:rPr>
        <w:t xml:space="preserve"> </w:t>
      </w:r>
      <w:r w:rsidRPr="009F31A6">
        <w:rPr>
          <w:lang w:eastAsia="zh-CN"/>
        </w:rPr>
        <w:t>shows the analytical periods for each country,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141D2FAD" w:rsidR="00E56B76" w:rsidRDefault="003C189E" w:rsidP="00654F15">
      <w:pPr>
        <w:rPr>
          <w:lang w:eastAsia="zh-CN"/>
        </w:rPr>
      </w:pPr>
      <w:r>
        <w:rPr>
          <w:noProof/>
          <w:lang w:eastAsia="zh-CN"/>
          <w14:ligatures w14:val="standardContextual"/>
        </w:rPr>
        <w:lastRenderedPageBreak/>
        <w:drawing>
          <wp:inline distT="0" distB="0" distL="0" distR="0" wp14:anchorId="05458473" wp14:editId="447D3BF6">
            <wp:extent cx="6191250" cy="3537585"/>
            <wp:effectExtent l="0" t="0" r="6350" b="5715"/>
            <wp:docPr id="19965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7966" name="Picture 1996597966"/>
                    <pic:cNvPicPr/>
                  </pic:nvPicPr>
                  <pic:blipFill>
                    <a:blip r:embed="rId23"/>
                    <a:stretch>
                      <a:fillRect/>
                    </a:stretch>
                  </pic:blipFill>
                  <pic:spPr>
                    <a:xfrm>
                      <a:off x="0" y="0"/>
                      <a:ext cx="6191250" cy="3537585"/>
                    </a:xfrm>
                    <a:prstGeom prst="rect">
                      <a:avLst/>
                    </a:prstGeom>
                  </pic:spPr>
                </pic:pic>
              </a:graphicData>
            </a:graphic>
          </wp:inline>
        </w:drawing>
      </w:r>
    </w:p>
    <w:p w14:paraId="3E18FB9E" w14:textId="46F7287B" w:rsidR="003C189E" w:rsidRDefault="003C189E" w:rsidP="00654F15">
      <w:pPr>
        <w:rPr>
          <w:color w:val="C00000"/>
          <w:sz w:val="20"/>
          <w:szCs w:val="20"/>
          <w:lang w:eastAsia="zh-CN"/>
        </w:rPr>
      </w:pPr>
      <w:r w:rsidRPr="008B24D4">
        <w:rPr>
          <w:color w:val="C00000"/>
          <w:sz w:val="20"/>
          <w:szCs w:val="20"/>
          <w:lang w:eastAsia="zh-CN"/>
        </w:rPr>
        <w:t xml:space="preserve">Figure S1: </w:t>
      </w:r>
      <w:r w:rsidR="00877AED" w:rsidRPr="008B24D4">
        <w:rPr>
          <w:color w:val="C00000"/>
          <w:sz w:val="20"/>
          <w:szCs w:val="20"/>
          <w:lang w:eastAsia="zh-CN"/>
        </w:rPr>
        <w:t>Analytical periods (blue vertical lines) defined for the 15 study countries, overlaid on their sequencing denominators across time.</w:t>
      </w:r>
    </w:p>
    <w:p w14:paraId="54178C3F" w14:textId="77777777" w:rsidR="0058310D" w:rsidRDefault="0058310D" w:rsidP="00654F15">
      <w:pPr>
        <w:rPr>
          <w:color w:val="C00000"/>
          <w:sz w:val="20"/>
          <w:szCs w:val="20"/>
          <w:lang w:eastAsia="zh-CN"/>
        </w:rPr>
      </w:pPr>
    </w:p>
    <w:p w14:paraId="69CCF0A8" w14:textId="65186583" w:rsidR="0058310D" w:rsidRPr="0058310D" w:rsidRDefault="0058310D" w:rsidP="00654F15">
      <w:pPr>
        <w:rPr>
          <w:color w:val="000000" w:themeColor="text1"/>
          <w:lang w:eastAsia="zh-CN"/>
        </w:rPr>
      </w:pPr>
      <w:r w:rsidRPr="0058310D">
        <w:rPr>
          <w:color w:val="000000" w:themeColor="text1"/>
          <w:lang w:eastAsia="zh-CN"/>
        </w:rPr>
        <w:t>These three panels illustrate the major SARS-CoV-2 variants from the United States (</w:t>
      </w:r>
      <w:r w:rsidRPr="00996802">
        <w:rPr>
          <w:color w:val="C00000"/>
          <w:lang w:eastAsia="zh-CN"/>
        </w:rPr>
        <w:t>Figure S2a</w:t>
      </w:r>
      <w:r w:rsidRPr="0058310D">
        <w:rPr>
          <w:color w:val="000000" w:themeColor="text1"/>
          <w:lang w:eastAsia="zh-CN"/>
        </w:rPr>
        <w:t>), the United Kingdom (</w:t>
      </w:r>
      <w:r w:rsidRPr="00996802">
        <w:rPr>
          <w:color w:val="C00000"/>
          <w:lang w:eastAsia="zh-CN"/>
        </w:rPr>
        <w:t>Figure S2b</w:t>
      </w:r>
      <w:r w:rsidRPr="0058310D">
        <w:rPr>
          <w:color w:val="000000" w:themeColor="text1"/>
          <w:lang w:eastAsia="zh-CN"/>
        </w:rPr>
        <w:t>), and South Korea (</w:t>
      </w:r>
      <w:r w:rsidRPr="00996802">
        <w:rPr>
          <w:color w:val="C00000"/>
          <w:lang w:eastAsia="zh-CN"/>
        </w:rPr>
        <w:t>Figure S2c</w:t>
      </w:r>
      <w:r w:rsidRPr="0058310D">
        <w:rPr>
          <w:color w:val="000000" w:themeColor="text1"/>
          <w:lang w:eastAsia="zh-CN"/>
        </w:rPr>
        <w:t>)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Default="006E0B5A" w:rsidP="00B600B0">
      <w:pPr>
        <w:jc w:val="center"/>
        <w:rPr>
          <w:lang w:eastAsia="zh-CN"/>
        </w:rPr>
      </w:pPr>
      <w:r>
        <w:rPr>
          <w:noProof/>
          <w:lang w:eastAsia="zh-CN"/>
          <w14:ligatures w14:val="standardContextual"/>
        </w:rPr>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4"/>
                    <a:stretch>
                      <a:fillRect/>
                    </a:stretch>
                  </pic:blipFill>
                  <pic:spPr>
                    <a:xfrm>
                      <a:off x="0" y="0"/>
                      <a:ext cx="4572000" cy="2286000"/>
                    </a:xfrm>
                    <a:prstGeom prst="rect">
                      <a:avLst/>
                    </a:prstGeom>
                  </pic:spPr>
                </pic:pic>
              </a:graphicData>
            </a:graphic>
          </wp:inline>
        </w:drawing>
      </w:r>
    </w:p>
    <w:p w14:paraId="2A83CC15" w14:textId="3851F9E3" w:rsidR="003460DE" w:rsidRPr="008B24D4" w:rsidRDefault="00076112" w:rsidP="00654F15">
      <w:pPr>
        <w:rPr>
          <w:color w:val="C00000"/>
          <w:sz w:val="20"/>
          <w:szCs w:val="20"/>
          <w:lang w:eastAsia="zh-CN"/>
        </w:rPr>
      </w:pPr>
      <w:r w:rsidRPr="008B24D4">
        <w:rPr>
          <w:color w:val="C00000"/>
          <w:sz w:val="20"/>
          <w:szCs w:val="20"/>
          <w:lang w:eastAsia="zh-CN"/>
        </w:rPr>
        <w:t xml:space="preserve">Figure S2 (a): </w:t>
      </w:r>
      <w:r w:rsidR="00CE7369" w:rsidRPr="008B24D4">
        <w:rPr>
          <w:color w:val="C00000"/>
          <w:sz w:val="20"/>
          <w:szCs w:val="20"/>
          <w:lang w:eastAsia="zh-CN"/>
        </w:rPr>
        <w:t>Main SARS-CoV-2 variants from the United States in the GISAID dataset that were excluded from the analytical scope.</w:t>
      </w:r>
    </w:p>
    <w:p w14:paraId="2E9664BB" w14:textId="77777777" w:rsidR="00BE1EB6" w:rsidRDefault="00076112" w:rsidP="00B600B0">
      <w:pPr>
        <w:jc w:val="center"/>
        <w:rPr>
          <w:lang w:eastAsia="zh-CN"/>
        </w:rPr>
      </w:pPr>
      <w:r>
        <w:rPr>
          <w:noProof/>
          <w:lang w:eastAsia="zh-CN"/>
          <w14:ligatures w14:val="standardContextual"/>
        </w:rPr>
        <w:lastRenderedPageBreak/>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5"/>
                    <a:stretch>
                      <a:fillRect/>
                    </a:stretch>
                  </pic:blipFill>
                  <pic:spPr>
                    <a:xfrm>
                      <a:off x="0" y="0"/>
                      <a:ext cx="4572000" cy="2286000"/>
                    </a:xfrm>
                    <a:prstGeom prst="rect">
                      <a:avLst/>
                    </a:prstGeom>
                  </pic:spPr>
                </pic:pic>
              </a:graphicData>
            </a:graphic>
          </wp:inline>
        </w:drawing>
      </w:r>
    </w:p>
    <w:p w14:paraId="35C47DE7" w14:textId="15CC865E" w:rsidR="00A53999" w:rsidRPr="008B24D4" w:rsidRDefault="00BE1EB6" w:rsidP="00A53999">
      <w:pPr>
        <w:rPr>
          <w:color w:val="C00000"/>
          <w:sz w:val="20"/>
          <w:szCs w:val="20"/>
          <w:lang w:eastAsia="zh-CN"/>
        </w:rPr>
      </w:pPr>
      <w:r w:rsidRPr="008B24D4">
        <w:rPr>
          <w:color w:val="C00000"/>
          <w:sz w:val="20"/>
          <w:szCs w:val="20"/>
          <w:lang w:eastAsia="zh-CN"/>
        </w:rPr>
        <w:t>Figure S2 (</w:t>
      </w:r>
      <w:r w:rsidR="00A53999" w:rsidRPr="008B24D4">
        <w:rPr>
          <w:color w:val="C00000"/>
          <w:sz w:val="20"/>
          <w:szCs w:val="20"/>
          <w:lang w:eastAsia="zh-CN"/>
        </w:rPr>
        <w:t>b</w:t>
      </w:r>
      <w:r w:rsidRPr="008B24D4">
        <w:rPr>
          <w:color w:val="C00000"/>
          <w:sz w:val="20"/>
          <w:szCs w:val="20"/>
          <w:lang w:eastAsia="zh-CN"/>
        </w:rPr>
        <w:t xml:space="preserve">): </w:t>
      </w:r>
      <w:r w:rsidR="00CE7369" w:rsidRPr="008B24D4">
        <w:rPr>
          <w:color w:val="C00000"/>
          <w:sz w:val="20"/>
          <w:szCs w:val="20"/>
          <w:lang w:eastAsia="zh-CN"/>
        </w:rPr>
        <w:t>Main SARS-CoV-2 variants from the United Kingdom in the GISAID dataset that were excluded from the analytical scope.</w:t>
      </w:r>
    </w:p>
    <w:p w14:paraId="4AC5CBA4" w14:textId="5BE6868C" w:rsidR="003C189E" w:rsidRDefault="00076112" w:rsidP="00A53999">
      <w:pPr>
        <w:jc w:val="center"/>
        <w:rPr>
          <w:highlight w:val="yellow"/>
          <w:lang w:eastAsia="zh-CN"/>
        </w:rPr>
      </w:pPr>
      <w:r>
        <w:rPr>
          <w:noProof/>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6"/>
                    <a:stretch>
                      <a:fillRect/>
                    </a:stretch>
                  </pic:blipFill>
                  <pic:spPr>
                    <a:xfrm>
                      <a:off x="0" y="0"/>
                      <a:ext cx="4572000" cy="2286000"/>
                    </a:xfrm>
                    <a:prstGeom prst="rect">
                      <a:avLst/>
                    </a:prstGeom>
                  </pic:spPr>
                </pic:pic>
              </a:graphicData>
            </a:graphic>
          </wp:inline>
        </w:drawing>
      </w:r>
    </w:p>
    <w:p w14:paraId="28094B19" w14:textId="23B2C4CD" w:rsidR="00BE1EB6" w:rsidRPr="008B24D4" w:rsidRDefault="00BE1EB6" w:rsidP="00BE1EB6">
      <w:pPr>
        <w:rPr>
          <w:color w:val="C00000"/>
          <w:sz w:val="20"/>
          <w:szCs w:val="20"/>
          <w:lang w:eastAsia="zh-CN"/>
        </w:rPr>
      </w:pPr>
      <w:r w:rsidRPr="008B24D4">
        <w:rPr>
          <w:color w:val="C00000"/>
          <w:sz w:val="20"/>
          <w:szCs w:val="20"/>
          <w:lang w:eastAsia="zh-CN"/>
        </w:rPr>
        <w:t>Figure S2 (</w:t>
      </w:r>
      <w:r w:rsidR="00A53999" w:rsidRPr="008B24D4">
        <w:rPr>
          <w:color w:val="C00000"/>
          <w:sz w:val="20"/>
          <w:szCs w:val="20"/>
          <w:lang w:eastAsia="zh-CN"/>
        </w:rPr>
        <w:t>c</w:t>
      </w:r>
      <w:r w:rsidRPr="008B24D4">
        <w:rPr>
          <w:color w:val="C00000"/>
          <w:sz w:val="20"/>
          <w:szCs w:val="20"/>
          <w:lang w:eastAsia="zh-CN"/>
        </w:rPr>
        <w:t xml:space="preserve">): </w:t>
      </w:r>
      <w:r w:rsidR="00CE7369" w:rsidRPr="008B24D4">
        <w:rPr>
          <w:color w:val="C00000"/>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25591F26" w14:textId="12DF7B48" w:rsidR="009B10B5" w:rsidRPr="009B10B5" w:rsidRDefault="009B10B5" w:rsidP="00654F15">
      <w:pPr>
        <w:rPr>
          <w:rFonts w:eastAsiaTheme="minorEastAsia"/>
          <w:b/>
          <w:lang w:eastAsia="zh-CN"/>
        </w:rPr>
      </w:pPr>
      <w:r>
        <w:rPr>
          <w:rFonts w:eastAsiaTheme="minorEastAsia"/>
          <w:b/>
          <w:lang w:eastAsia="zh-CN"/>
        </w:rPr>
        <w:t xml:space="preserve">Data </w:t>
      </w:r>
      <w:r>
        <w:rPr>
          <w:rFonts w:eastAsiaTheme="minorEastAsia" w:hint="eastAsia"/>
          <w:b/>
          <w:lang w:eastAsia="zh-CN"/>
        </w:rPr>
        <w:t xml:space="preserve">Description </w:t>
      </w:r>
      <w:r>
        <w:rPr>
          <w:rFonts w:eastAsiaTheme="minorEastAsia"/>
          <w:b/>
          <w:lang w:eastAsia="zh-CN"/>
        </w:rPr>
        <w:t>(Stage Three)</w:t>
      </w:r>
    </w:p>
    <w:p w14:paraId="2AE26C71" w14:textId="4EA75946" w:rsidR="00A13AB5" w:rsidRDefault="00A13AB5" w:rsidP="00A13AB5">
      <w:pPr>
        <w:rPr>
          <w:lang w:eastAsia="zh-CN"/>
        </w:rPr>
      </w:pPr>
      <w:r>
        <w:rPr>
          <w:lang w:eastAsia="zh-CN"/>
        </w:rPr>
        <w:t>We extracted two complementary sets of features from the lineage time-series data.</w:t>
      </w:r>
    </w:p>
    <w:p w14:paraId="4B66F468" w14:textId="77777777" w:rsidR="00A13AB5" w:rsidRDefault="00A13AB5" w:rsidP="00A13AB5">
      <w:pPr>
        <w:rPr>
          <w:lang w:eastAsia="zh-CN"/>
        </w:rPr>
      </w:pPr>
      <w:r>
        <w:rPr>
          <w:lang w:eastAsia="zh-CN"/>
        </w:rPr>
        <w:t>Manual features (epidemiologically motivated):</w:t>
      </w:r>
    </w:p>
    <w:p w14:paraId="47BB0CF4" w14:textId="77777777" w:rsidR="00A13AB5" w:rsidRDefault="00A13AB5" w:rsidP="00A13AB5">
      <w:pPr>
        <w:rPr>
          <w:lang w:eastAsia="zh-CN"/>
        </w:rPr>
      </w:pPr>
      <w:r>
        <w:rPr>
          <w:lang w:eastAsia="zh-CN"/>
        </w:rPr>
        <w:tab/>
        <w:t>•</w:t>
      </w:r>
      <w:r>
        <w:rPr>
          <w:lang w:eastAsia="zh-CN"/>
        </w:rPr>
        <w:tab/>
        <w:t>Log-linear slope: Growth or decline trend estimated from the log-transformed time series.</w:t>
      </w:r>
    </w:p>
    <w:p w14:paraId="6DECB7F1" w14:textId="77777777" w:rsidR="00A13AB5" w:rsidRDefault="00A13AB5" w:rsidP="00A13AB5">
      <w:pPr>
        <w:rPr>
          <w:lang w:eastAsia="zh-CN"/>
        </w:rPr>
      </w:pPr>
      <w:r>
        <w:rPr>
          <w:lang w:eastAsia="zh-CN"/>
        </w:rPr>
        <w:tab/>
        <w:t>•</w:t>
      </w:r>
      <w:r>
        <w:rPr>
          <w:lang w:eastAsia="zh-CN"/>
        </w:rPr>
        <w:tab/>
        <w:t>Short-window slopes: Early growth rates estimated from the first k days (e.g., 7 days).</w:t>
      </w:r>
    </w:p>
    <w:p w14:paraId="2D598772" w14:textId="77777777" w:rsidR="00A13AB5" w:rsidRDefault="00A13AB5" w:rsidP="00A13AB5">
      <w:pPr>
        <w:rPr>
          <w:lang w:eastAsia="zh-CN"/>
        </w:rPr>
      </w:pPr>
      <w:r>
        <w:rPr>
          <w:lang w:eastAsia="zh-CN"/>
        </w:rPr>
        <w:tab/>
        <w:t>•</w:t>
      </w:r>
      <w:r>
        <w:rPr>
          <w:lang w:eastAsia="zh-CN"/>
        </w:rPr>
        <w:tab/>
        <w:t>Peak value: Maximum observed share in the time window.</w:t>
      </w:r>
    </w:p>
    <w:p w14:paraId="5EADF3A8" w14:textId="77777777" w:rsidR="00A13AB5" w:rsidRDefault="00A13AB5" w:rsidP="00A13AB5">
      <w:pPr>
        <w:rPr>
          <w:lang w:eastAsia="zh-CN"/>
        </w:rPr>
      </w:pPr>
      <w:r>
        <w:rPr>
          <w:lang w:eastAsia="zh-CN"/>
        </w:rPr>
        <w:tab/>
        <w:t>•</w:t>
      </w:r>
      <w:r>
        <w:rPr>
          <w:lang w:eastAsia="zh-CN"/>
        </w:rPr>
        <w:tab/>
        <w:t>Normalized area under the curve (AUC): Average prevalence across the time window.</w:t>
      </w:r>
    </w:p>
    <w:p w14:paraId="52696CAA" w14:textId="77777777" w:rsidR="00A13AB5" w:rsidRDefault="00A13AB5" w:rsidP="00A13AB5">
      <w:pPr>
        <w:rPr>
          <w:lang w:eastAsia="zh-CN"/>
        </w:rPr>
      </w:pPr>
      <w:r>
        <w:rPr>
          <w:lang w:eastAsia="zh-CN"/>
        </w:rPr>
        <w:tab/>
        <w:t>•</w:t>
      </w:r>
      <w:r>
        <w:rPr>
          <w:lang w:eastAsia="zh-CN"/>
        </w:rPr>
        <w:tab/>
        <w:t>Longest increasing run: Maximum number of consecutive days with strictly increasing values.</w:t>
      </w:r>
    </w:p>
    <w:p w14:paraId="317AA088" w14:textId="77777777" w:rsidR="00A13AB5" w:rsidRDefault="00A13AB5" w:rsidP="00A13AB5">
      <w:pPr>
        <w:rPr>
          <w:lang w:eastAsia="zh-CN"/>
        </w:rPr>
      </w:pPr>
      <w:r>
        <w:rPr>
          <w:lang w:eastAsia="zh-CN"/>
        </w:rPr>
        <w:tab/>
        <w:t>•</w:t>
      </w:r>
      <w:r>
        <w:rPr>
          <w:lang w:eastAsia="zh-CN"/>
        </w:rPr>
        <w:tab/>
        <w:t>Zero count: Number of days with zero observed share.</w:t>
      </w:r>
    </w:p>
    <w:p w14:paraId="486D5507" w14:textId="77777777" w:rsidR="00A13AB5" w:rsidRDefault="00A13AB5" w:rsidP="00A13AB5">
      <w:pPr>
        <w:rPr>
          <w:lang w:eastAsia="zh-CN"/>
        </w:rPr>
      </w:pPr>
    </w:p>
    <w:p w14:paraId="7E3B5F69" w14:textId="36F3F809" w:rsidR="00A13AB5" w:rsidRDefault="00A13AB5" w:rsidP="00A13AB5">
      <w:pPr>
        <w:rPr>
          <w:lang w:eastAsia="zh-CN"/>
        </w:rPr>
      </w:pPr>
      <w:r>
        <w:rPr>
          <w:lang w:eastAsia="zh-CN"/>
        </w:rPr>
        <w:t>catch22 features (statistically motivated, 22 canonical time-series descriptors):</w:t>
      </w:r>
    </w:p>
    <w:p w14:paraId="46C83B00" w14:textId="77777777" w:rsidR="00A13AB5" w:rsidRDefault="00A13AB5" w:rsidP="00A13AB5">
      <w:pPr>
        <w:rPr>
          <w:lang w:eastAsia="zh-CN"/>
        </w:rPr>
      </w:pPr>
      <w:r>
        <w:rPr>
          <w:lang w:eastAsia="zh-CN"/>
        </w:rPr>
        <w:t>Distributional properties</w:t>
      </w:r>
    </w:p>
    <w:p w14:paraId="0A8C5295" w14:textId="77777777" w:rsidR="00A13AB5" w:rsidRDefault="00A13AB5" w:rsidP="00A13AB5">
      <w:pPr>
        <w:rPr>
          <w:lang w:eastAsia="zh-CN"/>
        </w:rPr>
      </w:pPr>
      <w:r>
        <w:rPr>
          <w:lang w:eastAsia="zh-CN"/>
        </w:rPr>
        <w:tab/>
        <w:t>1.</w:t>
      </w:r>
      <w:r>
        <w:rPr>
          <w:lang w:eastAsia="zh-CN"/>
        </w:rPr>
        <w:tab/>
        <w:t>DN_HistogramMode_5: Mode of z-scored distribution using 5 bins.</w:t>
      </w:r>
    </w:p>
    <w:p w14:paraId="4448E0F7" w14:textId="77777777" w:rsidR="00A13AB5" w:rsidRDefault="00A13AB5" w:rsidP="00A13AB5">
      <w:pPr>
        <w:rPr>
          <w:lang w:eastAsia="zh-CN"/>
        </w:rPr>
      </w:pPr>
      <w:r>
        <w:rPr>
          <w:lang w:eastAsia="zh-CN"/>
        </w:rPr>
        <w:tab/>
        <w:t>2.</w:t>
      </w:r>
      <w:r>
        <w:rPr>
          <w:lang w:eastAsia="zh-CN"/>
        </w:rPr>
        <w:tab/>
        <w:t>DN_HistogramMode_10: Mode of z-scored distribution using 10 bins.</w:t>
      </w:r>
    </w:p>
    <w:p w14:paraId="3AEB3E78" w14:textId="77777777" w:rsidR="00A13AB5" w:rsidRDefault="00A13AB5" w:rsidP="00A13AB5">
      <w:pPr>
        <w:rPr>
          <w:lang w:eastAsia="zh-CN"/>
        </w:rPr>
      </w:pPr>
      <w:r>
        <w:rPr>
          <w:lang w:eastAsia="zh-CN"/>
        </w:rPr>
        <w:tab/>
        <w:t>3.</w:t>
      </w:r>
      <w:r>
        <w:rPr>
          <w:lang w:eastAsia="zh-CN"/>
        </w:rPr>
        <w:tab/>
        <w:t>DN_OutlierInclude_p_001_mdrmd: Median distance including upper-tail outliers (&gt;0.1%).</w:t>
      </w:r>
    </w:p>
    <w:p w14:paraId="6DC85A28" w14:textId="77777777" w:rsidR="00A13AB5" w:rsidRDefault="00A13AB5" w:rsidP="00A13AB5">
      <w:pPr>
        <w:rPr>
          <w:lang w:eastAsia="zh-CN"/>
        </w:rPr>
      </w:pPr>
      <w:r>
        <w:rPr>
          <w:lang w:eastAsia="zh-CN"/>
        </w:rPr>
        <w:tab/>
        <w:t>4.</w:t>
      </w:r>
      <w:r>
        <w:rPr>
          <w:lang w:eastAsia="zh-CN"/>
        </w:rPr>
        <w:tab/>
        <w:t>DN_OutlierInclude_n_001_mdrmd: Median distance including lower-tail outliers (&lt;0.1%).</w:t>
      </w:r>
    </w:p>
    <w:p w14:paraId="3A37A532" w14:textId="77777777" w:rsidR="00A13AB5" w:rsidRDefault="00A13AB5" w:rsidP="00A13AB5">
      <w:pPr>
        <w:rPr>
          <w:lang w:eastAsia="zh-CN"/>
        </w:rPr>
      </w:pPr>
    </w:p>
    <w:p w14:paraId="03C941F7" w14:textId="77777777" w:rsidR="00A13AB5" w:rsidRDefault="00A13AB5" w:rsidP="00A13AB5">
      <w:pPr>
        <w:rPr>
          <w:lang w:eastAsia="zh-CN"/>
        </w:rPr>
      </w:pPr>
      <w:r>
        <w:rPr>
          <w:lang w:eastAsia="zh-CN"/>
        </w:rPr>
        <w:t>Autocorrelation and temporal dependence</w:t>
      </w:r>
    </w:p>
    <w:p w14:paraId="5AF44931" w14:textId="77777777" w:rsidR="00A13AB5" w:rsidRDefault="00A13AB5" w:rsidP="00A13AB5">
      <w:pPr>
        <w:rPr>
          <w:lang w:eastAsia="zh-CN"/>
        </w:rPr>
      </w:pPr>
      <w:r>
        <w:rPr>
          <w:lang w:eastAsia="zh-CN"/>
        </w:rPr>
        <w:t>5. CO_AutoCorr_1: Autocorrelation coefficient at lag 1.</w:t>
      </w:r>
    </w:p>
    <w:p w14:paraId="68A8B9EF" w14:textId="77777777" w:rsidR="00A13AB5" w:rsidRDefault="00A13AB5" w:rsidP="00A13AB5">
      <w:pPr>
        <w:rPr>
          <w:lang w:eastAsia="zh-CN"/>
        </w:rPr>
      </w:pPr>
      <w:r>
        <w:rPr>
          <w:lang w:eastAsia="zh-CN"/>
        </w:rPr>
        <w:t xml:space="preserve">6. </w:t>
      </w:r>
      <w:proofErr w:type="spellStart"/>
      <w:r>
        <w:rPr>
          <w:lang w:eastAsia="zh-CN"/>
        </w:rPr>
        <w:t>CO_FirstMin_ac</w:t>
      </w:r>
      <w:proofErr w:type="spellEnd"/>
      <w:r>
        <w:rPr>
          <w:lang w:eastAsia="zh-CN"/>
        </w:rPr>
        <w:t>: First minimum of the autocorrelation function.</w:t>
      </w:r>
    </w:p>
    <w:p w14:paraId="2BF1FD90" w14:textId="77777777" w:rsidR="00A13AB5" w:rsidRDefault="00A13AB5" w:rsidP="00A13AB5">
      <w:pPr>
        <w:rPr>
          <w:lang w:eastAsia="zh-CN"/>
        </w:rPr>
      </w:pPr>
      <w:r>
        <w:rPr>
          <w:lang w:eastAsia="zh-CN"/>
        </w:rPr>
        <w:t>7. CO_f1ecac: First minimum of the embedded autocorrelation function.</w:t>
      </w:r>
    </w:p>
    <w:p w14:paraId="7D993AD3" w14:textId="77777777" w:rsidR="00A13AB5" w:rsidRDefault="00A13AB5" w:rsidP="00A13AB5">
      <w:pPr>
        <w:rPr>
          <w:lang w:eastAsia="zh-CN"/>
        </w:rPr>
      </w:pPr>
      <w:r>
        <w:rPr>
          <w:lang w:eastAsia="zh-CN"/>
        </w:rPr>
        <w:t xml:space="preserve">8. IN_AutoMutualInfoStats_40_gaussian_fmmi: First minimum of </w:t>
      </w:r>
      <w:proofErr w:type="spellStart"/>
      <w:r>
        <w:rPr>
          <w:lang w:eastAsia="zh-CN"/>
        </w:rPr>
        <w:t>automutual</w:t>
      </w:r>
      <w:proofErr w:type="spellEnd"/>
      <w:r>
        <w:rPr>
          <w:lang w:eastAsia="zh-CN"/>
        </w:rPr>
        <w:t xml:space="preserve"> information (lag ≤40).</w:t>
      </w:r>
    </w:p>
    <w:p w14:paraId="7A72B5B9" w14:textId="77777777" w:rsidR="00A13AB5" w:rsidRDefault="00A13AB5" w:rsidP="00A13AB5">
      <w:pPr>
        <w:rPr>
          <w:lang w:eastAsia="zh-CN"/>
        </w:rPr>
      </w:pPr>
    </w:p>
    <w:p w14:paraId="1DB26AD4" w14:textId="77777777" w:rsidR="00A13AB5" w:rsidRDefault="00A13AB5" w:rsidP="00A13AB5">
      <w:pPr>
        <w:rPr>
          <w:lang w:eastAsia="zh-CN"/>
        </w:rPr>
      </w:pPr>
      <w:r>
        <w:rPr>
          <w:lang w:eastAsia="zh-CN"/>
        </w:rPr>
        <w:t>Time irreversibility and asymmetry</w:t>
      </w:r>
    </w:p>
    <w:p w14:paraId="60B8FACA" w14:textId="77777777" w:rsidR="00A13AB5" w:rsidRDefault="00A13AB5" w:rsidP="00A13AB5">
      <w:pPr>
        <w:rPr>
          <w:lang w:eastAsia="zh-CN"/>
        </w:rPr>
      </w:pPr>
      <w:r>
        <w:rPr>
          <w:lang w:eastAsia="zh-CN"/>
        </w:rPr>
        <w:t>9. CO_trev_1_num: Numerical time irreversibility statistic.</w:t>
      </w:r>
    </w:p>
    <w:p w14:paraId="337A04EE" w14:textId="77777777" w:rsidR="00A13AB5" w:rsidRDefault="00A13AB5" w:rsidP="00A13AB5">
      <w:pPr>
        <w:rPr>
          <w:lang w:eastAsia="zh-CN"/>
        </w:rPr>
      </w:pPr>
      <w:r>
        <w:rPr>
          <w:lang w:eastAsia="zh-CN"/>
        </w:rPr>
        <w:t>10. CO_trev_1_raw: Raw time irreversibility measure.</w:t>
      </w:r>
    </w:p>
    <w:p w14:paraId="6B1BE75D" w14:textId="77777777" w:rsidR="00A13AB5" w:rsidRDefault="00A13AB5" w:rsidP="00A13AB5">
      <w:pPr>
        <w:rPr>
          <w:lang w:eastAsia="zh-CN"/>
        </w:rPr>
      </w:pPr>
    </w:p>
    <w:p w14:paraId="2887D0E0" w14:textId="77777777" w:rsidR="00A13AB5" w:rsidRDefault="00A13AB5" w:rsidP="00A13AB5">
      <w:pPr>
        <w:rPr>
          <w:lang w:eastAsia="zh-CN"/>
        </w:rPr>
      </w:pPr>
      <w:r>
        <w:rPr>
          <w:lang w:eastAsia="zh-CN"/>
        </w:rPr>
        <w:t>Spectral properties</w:t>
      </w:r>
    </w:p>
    <w:p w14:paraId="7D64DF0A" w14:textId="77777777" w:rsidR="00A13AB5" w:rsidRDefault="00A13AB5" w:rsidP="00A13AB5">
      <w:pPr>
        <w:rPr>
          <w:lang w:eastAsia="zh-CN"/>
        </w:rPr>
      </w:pPr>
      <w:r>
        <w:rPr>
          <w:lang w:eastAsia="zh-CN"/>
        </w:rPr>
        <w:t>11. SP_Summaries_welch_rect_area_5_1: Area under Welch power spectrum in low-frequency band.</w:t>
      </w:r>
    </w:p>
    <w:p w14:paraId="21CD6F48" w14:textId="77777777" w:rsidR="00A13AB5" w:rsidRDefault="00A13AB5" w:rsidP="00A13AB5">
      <w:pPr>
        <w:rPr>
          <w:lang w:eastAsia="zh-CN"/>
        </w:rPr>
      </w:pPr>
      <w:r>
        <w:rPr>
          <w:lang w:eastAsia="zh-CN"/>
        </w:rPr>
        <w:t xml:space="preserve">12. </w:t>
      </w:r>
      <w:proofErr w:type="spellStart"/>
      <w:r>
        <w:rPr>
          <w:lang w:eastAsia="zh-CN"/>
        </w:rPr>
        <w:t>SP_Summaries_welch_rect_centroid</w:t>
      </w:r>
      <w:proofErr w:type="spellEnd"/>
      <w:r>
        <w:rPr>
          <w:lang w:eastAsia="zh-CN"/>
        </w:rPr>
        <w:t>: Spectral centroid using Welch periodogram.</w:t>
      </w:r>
    </w:p>
    <w:p w14:paraId="6132DF2B" w14:textId="77777777" w:rsidR="00A13AB5" w:rsidRDefault="00A13AB5" w:rsidP="00A13AB5">
      <w:pPr>
        <w:rPr>
          <w:lang w:eastAsia="zh-CN"/>
        </w:rPr>
      </w:pPr>
    </w:p>
    <w:p w14:paraId="77A84F6E" w14:textId="77777777" w:rsidR="00A13AB5" w:rsidRDefault="00A13AB5" w:rsidP="00A13AB5">
      <w:pPr>
        <w:rPr>
          <w:lang w:eastAsia="zh-CN"/>
        </w:rPr>
      </w:pPr>
      <w:r>
        <w:rPr>
          <w:lang w:eastAsia="zh-CN"/>
        </w:rPr>
        <w:t>Local model and forecast error</w:t>
      </w:r>
    </w:p>
    <w:p w14:paraId="0EFC34DC" w14:textId="77777777" w:rsidR="00A13AB5" w:rsidRDefault="00A13AB5" w:rsidP="00A13AB5">
      <w:pPr>
        <w:rPr>
          <w:lang w:eastAsia="zh-CN"/>
        </w:rPr>
      </w:pPr>
      <w:r>
        <w:rPr>
          <w:lang w:eastAsia="zh-CN"/>
        </w:rPr>
        <w:t>13. FC_LocalSimple_mean1_tauresrat: Ratio of mean to residual variance in a simple local model.</w:t>
      </w:r>
    </w:p>
    <w:p w14:paraId="7C84A62C" w14:textId="77777777" w:rsidR="00A13AB5" w:rsidRDefault="00A13AB5" w:rsidP="00A13AB5">
      <w:pPr>
        <w:rPr>
          <w:lang w:eastAsia="zh-CN"/>
        </w:rPr>
      </w:pPr>
      <w:r>
        <w:rPr>
          <w:lang w:eastAsia="zh-CN"/>
        </w:rPr>
        <w:t>14. FC_LocalSimple_mean3_stderr: Standard error from a 3-point local simple forecast.</w:t>
      </w:r>
    </w:p>
    <w:p w14:paraId="07E7E66A" w14:textId="77777777" w:rsidR="00A13AB5" w:rsidRDefault="00A13AB5" w:rsidP="00A13AB5">
      <w:pPr>
        <w:rPr>
          <w:lang w:eastAsia="zh-CN"/>
        </w:rPr>
      </w:pPr>
    </w:p>
    <w:p w14:paraId="667F30B8" w14:textId="77777777" w:rsidR="00A13AB5" w:rsidRDefault="00A13AB5" w:rsidP="00A13AB5">
      <w:pPr>
        <w:rPr>
          <w:lang w:eastAsia="zh-CN"/>
        </w:rPr>
      </w:pPr>
      <w:r>
        <w:rPr>
          <w:lang w:eastAsia="zh-CN"/>
        </w:rPr>
        <w:t>Embedding and nonlinear dynamics</w:t>
      </w:r>
    </w:p>
    <w:p w14:paraId="387CF63C" w14:textId="77777777" w:rsidR="00A13AB5" w:rsidRDefault="00A13AB5" w:rsidP="00A13AB5">
      <w:pPr>
        <w:rPr>
          <w:lang w:eastAsia="zh-CN"/>
        </w:rPr>
      </w:pPr>
      <w:r>
        <w:rPr>
          <w:lang w:eastAsia="zh-CN"/>
        </w:rPr>
        <w:t>15. CO_Embed2_Dist_tau_d_expfit_meandiff: Exponential fit of mean differences in 2D embedding distances.</w:t>
      </w:r>
    </w:p>
    <w:p w14:paraId="2CFF2B26" w14:textId="77777777" w:rsidR="00A13AB5" w:rsidRDefault="00A13AB5" w:rsidP="00A13AB5">
      <w:pPr>
        <w:rPr>
          <w:lang w:eastAsia="zh-CN"/>
        </w:rPr>
      </w:pPr>
      <w:r>
        <w:rPr>
          <w:lang w:eastAsia="zh-CN"/>
        </w:rPr>
        <w:t>16. CO_Embed2_Dist_tau_d_expfit_meandiff2: Variant of embedding distance statistic.</w:t>
      </w:r>
    </w:p>
    <w:p w14:paraId="542711FE" w14:textId="77777777" w:rsidR="00A13AB5" w:rsidRDefault="00A13AB5" w:rsidP="00A13AB5">
      <w:pPr>
        <w:rPr>
          <w:lang w:eastAsia="zh-CN"/>
        </w:rPr>
      </w:pPr>
    </w:p>
    <w:p w14:paraId="79EA1829" w14:textId="77777777" w:rsidR="00A13AB5" w:rsidRDefault="00A13AB5" w:rsidP="00A13AB5">
      <w:pPr>
        <w:rPr>
          <w:lang w:eastAsia="zh-CN"/>
        </w:rPr>
      </w:pPr>
      <w:r>
        <w:rPr>
          <w:lang w:eastAsia="zh-CN"/>
        </w:rPr>
        <w:t>Heart-rate variability analogues (variability of successive changes)</w:t>
      </w:r>
    </w:p>
    <w:p w14:paraId="24ADC366" w14:textId="77777777" w:rsidR="00A13AB5" w:rsidRDefault="00A13AB5" w:rsidP="00A13AB5">
      <w:pPr>
        <w:rPr>
          <w:lang w:eastAsia="zh-CN"/>
        </w:rPr>
      </w:pPr>
      <w:r>
        <w:rPr>
          <w:lang w:eastAsia="zh-CN"/>
        </w:rPr>
        <w:t>17. MD_hrv_classic_pnn40: Proportion of successive differences &gt;40% of the standard deviation.</w:t>
      </w:r>
    </w:p>
    <w:p w14:paraId="392DE61D" w14:textId="77777777" w:rsidR="00A13AB5" w:rsidRDefault="00A13AB5" w:rsidP="00A13AB5">
      <w:pPr>
        <w:rPr>
          <w:lang w:eastAsia="zh-CN"/>
        </w:rPr>
      </w:pPr>
      <w:r>
        <w:rPr>
          <w:lang w:eastAsia="zh-CN"/>
        </w:rPr>
        <w:t>18. MD_hrv_classic_pnn50: Proportion of successive differences &gt;50% of the standard deviation.</w:t>
      </w:r>
    </w:p>
    <w:p w14:paraId="30E1BA02" w14:textId="77777777" w:rsidR="00A13AB5" w:rsidRDefault="00A13AB5" w:rsidP="00A13AB5">
      <w:pPr>
        <w:rPr>
          <w:lang w:eastAsia="zh-CN"/>
        </w:rPr>
      </w:pPr>
    </w:p>
    <w:p w14:paraId="5EA99F8A" w14:textId="77777777" w:rsidR="00A13AB5" w:rsidRDefault="00A13AB5" w:rsidP="00A13AB5">
      <w:pPr>
        <w:rPr>
          <w:lang w:eastAsia="zh-CN"/>
        </w:rPr>
      </w:pPr>
      <w:r>
        <w:rPr>
          <w:lang w:eastAsia="zh-CN"/>
        </w:rPr>
        <w:t>Motif and binary sequence patterns</w:t>
      </w:r>
    </w:p>
    <w:p w14:paraId="2C5A4F8B" w14:textId="77777777" w:rsidR="00A13AB5" w:rsidRDefault="00A13AB5" w:rsidP="00A13AB5">
      <w:pPr>
        <w:rPr>
          <w:lang w:eastAsia="zh-CN"/>
        </w:rPr>
      </w:pPr>
      <w:r>
        <w:rPr>
          <w:lang w:eastAsia="zh-CN"/>
        </w:rPr>
        <w:t>19. SB_BinaryStats_mean_longstretch1: Longest run of consecutive positive or negative values.</w:t>
      </w:r>
    </w:p>
    <w:p w14:paraId="1FAA5C3E" w14:textId="77777777" w:rsidR="00A13AB5" w:rsidRDefault="00A13AB5" w:rsidP="00A13AB5">
      <w:pPr>
        <w:rPr>
          <w:lang w:eastAsia="zh-CN"/>
        </w:rPr>
      </w:pPr>
      <w:r>
        <w:rPr>
          <w:lang w:eastAsia="zh-CN"/>
        </w:rPr>
        <w:t>20. SB_TransitionMatrix_3ac_sumdiagcov: Covariance of diagonal entries in a 3-state transition matrix.</w:t>
      </w:r>
    </w:p>
    <w:p w14:paraId="65A17AB5" w14:textId="77777777" w:rsidR="00A13AB5" w:rsidRDefault="00A13AB5" w:rsidP="00A13AB5">
      <w:pPr>
        <w:rPr>
          <w:lang w:eastAsia="zh-CN"/>
        </w:rPr>
      </w:pPr>
      <w:r>
        <w:rPr>
          <w:lang w:eastAsia="zh-CN"/>
        </w:rPr>
        <w:t xml:space="preserve">21. </w:t>
      </w:r>
      <w:proofErr w:type="spellStart"/>
      <w:r>
        <w:rPr>
          <w:lang w:eastAsia="zh-CN"/>
        </w:rPr>
        <w:t>SB_MotifThree_quantile_hh</w:t>
      </w:r>
      <w:proofErr w:type="spellEnd"/>
      <w:r>
        <w:rPr>
          <w:lang w:eastAsia="zh-CN"/>
        </w:rPr>
        <w:t>: Quantile-based statistic of three-point motifs.</w:t>
      </w:r>
    </w:p>
    <w:p w14:paraId="7EED56D4" w14:textId="77777777" w:rsidR="00A13AB5" w:rsidRDefault="00A13AB5" w:rsidP="00A13AB5">
      <w:pPr>
        <w:rPr>
          <w:lang w:eastAsia="zh-CN"/>
        </w:rPr>
      </w:pPr>
    </w:p>
    <w:p w14:paraId="7229047D" w14:textId="77777777" w:rsidR="00A13AB5" w:rsidRDefault="00A13AB5" w:rsidP="00A13AB5">
      <w:pPr>
        <w:rPr>
          <w:lang w:eastAsia="zh-CN"/>
        </w:rPr>
      </w:pPr>
      <w:r>
        <w:rPr>
          <w:lang w:eastAsia="zh-CN"/>
        </w:rPr>
        <w:t>Periodicity</w:t>
      </w:r>
    </w:p>
    <w:p w14:paraId="2A9E2AD2" w14:textId="77777777" w:rsidR="00A13AB5" w:rsidRDefault="00A13AB5" w:rsidP="00A13AB5">
      <w:pPr>
        <w:rPr>
          <w:lang w:eastAsia="zh-CN"/>
        </w:rPr>
      </w:pPr>
      <w:r>
        <w:rPr>
          <w:lang w:eastAsia="zh-CN"/>
        </w:rPr>
        <w:t xml:space="preserve">22. PD_PeriodicityWang_th0_01: Periodicity measure based on Wang’s </w:t>
      </w:r>
      <w:proofErr w:type="spellStart"/>
      <w:r>
        <w:rPr>
          <w:lang w:eastAsia="zh-CN"/>
        </w:rPr>
        <w:t>thresholded</w:t>
      </w:r>
      <w:proofErr w:type="spellEnd"/>
      <w:r>
        <w:rPr>
          <w:lang w:eastAsia="zh-CN"/>
        </w:rPr>
        <w:t xml:space="preserve"> statistic.</w:t>
      </w:r>
    </w:p>
    <w:p w14:paraId="10DD7410" w14:textId="77777777" w:rsidR="00A13AB5" w:rsidRDefault="00A13AB5" w:rsidP="00A13AB5">
      <w:pPr>
        <w:rPr>
          <w:lang w:eastAsia="zh-CN"/>
        </w:rPr>
      </w:pPr>
    </w:p>
    <w:p w14:paraId="1ABA3F04" w14:textId="77777777" w:rsidR="00A13AB5" w:rsidRDefault="00A13AB5" w:rsidP="00A13AB5">
      <w:pPr>
        <w:rPr>
          <w:lang w:eastAsia="zh-CN"/>
        </w:rPr>
      </w:pPr>
      <w:r>
        <w:rPr>
          <w:lang w:eastAsia="zh-CN"/>
        </w:rPr>
        <w:t>Together, these manual and catch22 features capture both epidemiologically meaningful summaries of growth and prevalence as well as diverse statistical, spectral, nonlinear, and motif-based characteristics of the time series.</w:t>
      </w:r>
    </w:p>
    <w:p w14:paraId="2256F6C9" w14:textId="58964173" w:rsidR="00654F15" w:rsidRPr="00654F15" w:rsidRDefault="00654F15" w:rsidP="00A13AB5">
      <w:pPr>
        <w:rPr>
          <w:lang w:eastAsia="zh-CN"/>
        </w:rPr>
      </w:pPr>
    </w:p>
    <w:sectPr w:rsidR="00654F15" w:rsidRPr="00654F15"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C426D" w14:textId="77777777" w:rsidR="00C62B82" w:rsidRDefault="00C62B82" w:rsidP="00D3651D">
      <w:r>
        <w:separator/>
      </w:r>
    </w:p>
  </w:endnote>
  <w:endnote w:type="continuationSeparator" w:id="0">
    <w:p w14:paraId="6F8370EE" w14:textId="77777777" w:rsidR="00C62B82" w:rsidRDefault="00C62B82" w:rsidP="00D3651D">
      <w:r>
        <w:continuationSeparator/>
      </w:r>
    </w:p>
  </w:endnote>
  <w:endnote w:type="continuationNotice" w:id="1">
    <w:p w14:paraId="59A30394" w14:textId="77777777" w:rsidR="00C62B82" w:rsidRDefault="00C62B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6C094" w14:textId="77777777" w:rsidR="00C62B82" w:rsidRDefault="00C62B82" w:rsidP="00D3651D">
      <w:r>
        <w:separator/>
      </w:r>
    </w:p>
  </w:footnote>
  <w:footnote w:type="continuationSeparator" w:id="0">
    <w:p w14:paraId="5596E5FB" w14:textId="77777777" w:rsidR="00C62B82" w:rsidRDefault="00C62B82" w:rsidP="00D3651D">
      <w:r>
        <w:continuationSeparator/>
      </w:r>
    </w:p>
  </w:footnote>
  <w:footnote w:type="continuationNotice" w:id="1">
    <w:p w14:paraId="722CE21B" w14:textId="77777777" w:rsidR="00C62B82" w:rsidRDefault="00C62B8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4"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9"/>
  </w:num>
  <w:num w:numId="4" w16cid:durableId="914169778">
    <w:abstractNumId w:val="7"/>
  </w:num>
  <w:num w:numId="5" w16cid:durableId="1840387213">
    <w:abstractNumId w:val="14"/>
  </w:num>
  <w:num w:numId="6" w16cid:durableId="842284517">
    <w:abstractNumId w:val="3"/>
  </w:num>
  <w:num w:numId="7" w16cid:durableId="2114398685">
    <w:abstractNumId w:val="5"/>
  </w:num>
  <w:num w:numId="8" w16cid:durableId="209802491">
    <w:abstractNumId w:val="11"/>
  </w:num>
  <w:num w:numId="9" w16cid:durableId="2133552152">
    <w:abstractNumId w:val="12"/>
  </w:num>
  <w:num w:numId="10" w16cid:durableId="1481530932">
    <w:abstractNumId w:val="1"/>
  </w:num>
  <w:num w:numId="11" w16cid:durableId="29302338">
    <w:abstractNumId w:val="0"/>
  </w:num>
  <w:num w:numId="12" w16cid:durableId="2146391294">
    <w:abstractNumId w:val="13"/>
  </w:num>
  <w:num w:numId="13" w16cid:durableId="1509322224">
    <w:abstractNumId w:val="8"/>
  </w:num>
  <w:num w:numId="14" w16cid:durableId="1305158378">
    <w:abstractNumId w:val="6"/>
  </w:num>
  <w:num w:numId="15" w16cid:durableId="1436755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MagFANl/ViM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B75"/>
    <w:rsid w:val="000055E9"/>
    <w:rsid w:val="00005F9C"/>
    <w:rsid w:val="00007C9A"/>
    <w:rsid w:val="00011F6A"/>
    <w:rsid w:val="00012339"/>
    <w:rsid w:val="00013595"/>
    <w:rsid w:val="0001394A"/>
    <w:rsid w:val="000153B5"/>
    <w:rsid w:val="00015853"/>
    <w:rsid w:val="00016151"/>
    <w:rsid w:val="000163E7"/>
    <w:rsid w:val="0002007F"/>
    <w:rsid w:val="000211C4"/>
    <w:rsid w:val="00026503"/>
    <w:rsid w:val="0002700B"/>
    <w:rsid w:val="00031BE9"/>
    <w:rsid w:val="000327AB"/>
    <w:rsid w:val="0003523D"/>
    <w:rsid w:val="00035343"/>
    <w:rsid w:val="00036B85"/>
    <w:rsid w:val="0003732D"/>
    <w:rsid w:val="000403BE"/>
    <w:rsid w:val="000405E1"/>
    <w:rsid w:val="00044391"/>
    <w:rsid w:val="000478C2"/>
    <w:rsid w:val="00047B70"/>
    <w:rsid w:val="00047BB5"/>
    <w:rsid w:val="000504BA"/>
    <w:rsid w:val="00052C70"/>
    <w:rsid w:val="00053002"/>
    <w:rsid w:val="00055229"/>
    <w:rsid w:val="0005615D"/>
    <w:rsid w:val="00056424"/>
    <w:rsid w:val="00056D19"/>
    <w:rsid w:val="00056EB5"/>
    <w:rsid w:val="00060A34"/>
    <w:rsid w:val="00061552"/>
    <w:rsid w:val="00063192"/>
    <w:rsid w:val="00064590"/>
    <w:rsid w:val="00064AA8"/>
    <w:rsid w:val="00064B0A"/>
    <w:rsid w:val="00064CEB"/>
    <w:rsid w:val="00065C4D"/>
    <w:rsid w:val="0006614D"/>
    <w:rsid w:val="00066BD1"/>
    <w:rsid w:val="000677AD"/>
    <w:rsid w:val="0007052F"/>
    <w:rsid w:val="000709C8"/>
    <w:rsid w:val="00070E0A"/>
    <w:rsid w:val="00072F62"/>
    <w:rsid w:val="000760A2"/>
    <w:rsid w:val="00076112"/>
    <w:rsid w:val="000777C9"/>
    <w:rsid w:val="00080B5E"/>
    <w:rsid w:val="00081D90"/>
    <w:rsid w:val="00082357"/>
    <w:rsid w:val="0008267D"/>
    <w:rsid w:val="00083925"/>
    <w:rsid w:val="00085D02"/>
    <w:rsid w:val="000869CA"/>
    <w:rsid w:val="00086BEB"/>
    <w:rsid w:val="00087FC7"/>
    <w:rsid w:val="000904F4"/>
    <w:rsid w:val="00090DE5"/>
    <w:rsid w:val="000920E0"/>
    <w:rsid w:val="0009276B"/>
    <w:rsid w:val="00093074"/>
    <w:rsid w:val="0009354D"/>
    <w:rsid w:val="00093D97"/>
    <w:rsid w:val="0009508F"/>
    <w:rsid w:val="000954AD"/>
    <w:rsid w:val="0009595F"/>
    <w:rsid w:val="0009600A"/>
    <w:rsid w:val="000A0BDF"/>
    <w:rsid w:val="000A0EBF"/>
    <w:rsid w:val="000A1BDB"/>
    <w:rsid w:val="000A2145"/>
    <w:rsid w:val="000A2F62"/>
    <w:rsid w:val="000A3165"/>
    <w:rsid w:val="000A32B2"/>
    <w:rsid w:val="000A4626"/>
    <w:rsid w:val="000A5A36"/>
    <w:rsid w:val="000A5CCE"/>
    <w:rsid w:val="000A5FCB"/>
    <w:rsid w:val="000A63AA"/>
    <w:rsid w:val="000A7226"/>
    <w:rsid w:val="000B303F"/>
    <w:rsid w:val="000B3DDE"/>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163"/>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4BFE"/>
    <w:rsid w:val="000F7068"/>
    <w:rsid w:val="000F7E0B"/>
    <w:rsid w:val="0010034F"/>
    <w:rsid w:val="00100CBC"/>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230"/>
    <w:rsid w:val="001303D3"/>
    <w:rsid w:val="001305B3"/>
    <w:rsid w:val="00132071"/>
    <w:rsid w:val="001329AD"/>
    <w:rsid w:val="00132FFC"/>
    <w:rsid w:val="00133223"/>
    <w:rsid w:val="001335A5"/>
    <w:rsid w:val="0013390E"/>
    <w:rsid w:val="00133E2A"/>
    <w:rsid w:val="001363CD"/>
    <w:rsid w:val="001408C9"/>
    <w:rsid w:val="0014174E"/>
    <w:rsid w:val="00141E6F"/>
    <w:rsid w:val="00143368"/>
    <w:rsid w:val="00143948"/>
    <w:rsid w:val="00145879"/>
    <w:rsid w:val="00147C6C"/>
    <w:rsid w:val="0015016F"/>
    <w:rsid w:val="00150359"/>
    <w:rsid w:val="00150B56"/>
    <w:rsid w:val="001511D4"/>
    <w:rsid w:val="0015240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104"/>
    <w:rsid w:val="0019248F"/>
    <w:rsid w:val="00192897"/>
    <w:rsid w:val="0019295C"/>
    <w:rsid w:val="00193073"/>
    <w:rsid w:val="00194C4F"/>
    <w:rsid w:val="00194D91"/>
    <w:rsid w:val="00194FF1"/>
    <w:rsid w:val="00195BAA"/>
    <w:rsid w:val="00196297"/>
    <w:rsid w:val="00196BCC"/>
    <w:rsid w:val="0019794B"/>
    <w:rsid w:val="001A0746"/>
    <w:rsid w:val="001A1CFF"/>
    <w:rsid w:val="001A2CC0"/>
    <w:rsid w:val="001A2F8A"/>
    <w:rsid w:val="001A311C"/>
    <w:rsid w:val="001A36B9"/>
    <w:rsid w:val="001A4394"/>
    <w:rsid w:val="001A5193"/>
    <w:rsid w:val="001A568B"/>
    <w:rsid w:val="001A5699"/>
    <w:rsid w:val="001A70B1"/>
    <w:rsid w:val="001A730F"/>
    <w:rsid w:val="001B0213"/>
    <w:rsid w:val="001B025D"/>
    <w:rsid w:val="001B150C"/>
    <w:rsid w:val="001B1814"/>
    <w:rsid w:val="001B2667"/>
    <w:rsid w:val="001B3B25"/>
    <w:rsid w:val="001B6E66"/>
    <w:rsid w:val="001B7157"/>
    <w:rsid w:val="001C1B31"/>
    <w:rsid w:val="001C2032"/>
    <w:rsid w:val="001C25BD"/>
    <w:rsid w:val="001C29D5"/>
    <w:rsid w:val="001C62A0"/>
    <w:rsid w:val="001C6C8F"/>
    <w:rsid w:val="001C719D"/>
    <w:rsid w:val="001D07B1"/>
    <w:rsid w:val="001D0A47"/>
    <w:rsid w:val="001D0EDB"/>
    <w:rsid w:val="001D12D9"/>
    <w:rsid w:val="001D235D"/>
    <w:rsid w:val="001D2D50"/>
    <w:rsid w:val="001D5103"/>
    <w:rsid w:val="001D7471"/>
    <w:rsid w:val="001E076F"/>
    <w:rsid w:val="001E15E1"/>
    <w:rsid w:val="001E3485"/>
    <w:rsid w:val="001E5393"/>
    <w:rsid w:val="001F14B9"/>
    <w:rsid w:val="001F1A57"/>
    <w:rsid w:val="001F2151"/>
    <w:rsid w:val="001F2D1B"/>
    <w:rsid w:val="001F5482"/>
    <w:rsid w:val="001F5972"/>
    <w:rsid w:val="001F5CCC"/>
    <w:rsid w:val="001F5E3E"/>
    <w:rsid w:val="001F7722"/>
    <w:rsid w:val="00200539"/>
    <w:rsid w:val="00201469"/>
    <w:rsid w:val="00204DB5"/>
    <w:rsid w:val="0020548E"/>
    <w:rsid w:val="0020770B"/>
    <w:rsid w:val="0021060E"/>
    <w:rsid w:val="002114F0"/>
    <w:rsid w:val="0021246D"/>
    <w:rsid w:val="002130E0"/>
    <w:rsid w:val="00213C1F"/>
    <w:rsid w:val="002145D9"/>
    <w:rsid w:val="00216908"/>
    <w:rsid w:val="0021721F"/>
    <w:rsid w:val="002200AF"/>
    <w:rsid w:val="00220517"/>
    <w:rsid w:val="00221259"/>
    <w:rsid w:val="002215AC"/>
    <w:rsid w:val="00221611"/>
    <w:rsid w:val="0022273F"/>
    <w:rsid w:val="00223903"/>
    <w:rsid w:val="00224C5A"/>
    <w:rsid w:val="00230D4D"/>
    <w:rsid w:val="0023173A"/>
    <w:rsid w:val="00231E9E"/>
    <w:rsid w:val="00232AA1"/>
    <w:rsid w:val="00232C63"/>
    <w:rsid w:val="002331B2"/>
    <w:rsid w:val="00234576"/>
    <w:rsid w:val="00235AE2"/>
    <w:rsid w:val="00236044"/>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693"/>
    <w:rsid w:val="00293B18"/>
    <w:rsid w:val="00294694"/>
    <w:rsid w:val="00294E1E"/>
    <w:rsid w:val="002953F6"/>
    <w:rsid w:val="00295AE9"/>
    <w:rsid w:val="0029605B"/>
    <w:rsid w:val="00297062"/>
    <w:rsid w:val="0029786B"/>
    <w:rsid w:val="002A00E6"/>
    <w:rsid w:val="002A0797"/>
    <w:rsid w:val="002A1CBF"/>
    <w:rsid w:val="002A2763"/>
    <w:rsid w:val="002A37BB"/>
    <w:rsid w:val="002A3A41"/>
    <w:rsid w:val="002A4AC4"/>
    <w:rsid w:val="002A4FCB"/>
    <w:rsid w:val="002A5D90"/>
    <w:rsid w:val="002A784F"/>
    <w:rsid w:val="002B184B"/>
    <w:rsid w:val="002B1FEC"/>
    <w:rsid w:val="002B207F"/>
    <w:rsid w:val="002B2723"/>
    <w:rsid w:val="002B2D8E"/>
    <w:rsid w:val="002B4772"/>
    <w:rsid w:val="002B51F2"/>
    <w:rsid w:val="002B5470"/>
    <w:rsid w:val="002B5EAA"/>
    <w:rsid w:val="002B6656"/>
    <w:rsid w:val="002B6757"/>
    <w:rsid w:val="002B7870"/>
    <w:rsid w:val="002B7E36"/>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3519"/>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4BBF"/>
    <w:rsid w:val="002F4E39"/>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0C2E"/>
    <w:rsid w:val="00332756"/>
    <w:rsid w:val="00336107"/>
    <w:rsid w:val="00337CD2"/>
    <w:rsid w:val="00340897"/>
    <w:rsid w:val="00342CA7"/>
    <w:rsid w:val="00344153"/>
    <w:rsid w:val="003460DE"/>
    <w:rsid w:val="0034613C"/>
    <w:rsid w:val="0034616C"/>
    <w:rsid w:val="003465FF"/>
    <w:rsid w:val="003472DC"/>
    <w:rsid w:val="00350081"/>
    <w:rsid w:val="00350801"/>
    <w:rsid w:val="00350814"/>
    <w:rsid w:val="00352A5A"/>
    <w:rsid w:val="00352C35"/>
    <w:rsid w:val="00353751"/>
    <w:rsid w:val="00354098"/>
    <w:rsid w:val="00354BF7"/>
    <w:rsid w:val="00354EB3"/>
    <w:rsid w:val="00355977"/>
    <w:rsid w:val="00355C4A"/>
    <w:rsid w:val="00355DFC"/>
    <w:rsid w:val="0035724B"/>
    <w:rsid w:val="00360815"/>
    <w:rsid w:val="00361A7A"/>
    <w:rsid w:val="00361FF3"/>
    <w:rsid w:val="003627DB"/>
    <w:rsid w:val="00362CE7"/>
    <w:rsid w:val="00362F40"/>
    <w:rsid w:val="003632B4"/>
    <w:rsid w:val="003634A3"/>
    <w:rsid w:val="00363DC6"/>
    <w:rsid w:val="00365132"/>
    <w:rsid w:val="00365F91"/>
    <w:rsid w:val="003661E7"/>
    <w:rsid w:val="003671EC"/>
    <w:rsid w:val="0036748A"/>
    <w:rsid w:val="0037002D"/>
    <w:rsid w:val="00371C56"/>
    <w:rsid w:val="003723A5"/>
    <w:rsid w:val="00372EFC"/>
    <w:rsid w:val="00373644"/>
    <w:rsid w:val="00373DE4"/>
    <w:rsid w:val="003749F0"/>
    <w:rsid w:val="003762D1"/>
    <w:rsid w:val="00377F05"/>
    <w:rsid w:val="00377FF6"/>
    <w:rsid w:val="00380234"/>
    <w:rsid w:val="00380E92"/>
    <w:rsid w:val="00381385"/>
    <w:rsid w:val="00381819"/>
    <w:rsid w:val="00382154"/>
    <w:rsid w:val="00382677"/>
    <w:rsid w:val="0038271B"/>
    <w:rsid w:val="00382752"/>
    <w:rsid w:val="00382B27"/>
    <w:rsid w:val="00385151"/>
    <w:rsid w:val="00385C63"/>
    <w:rsid w:val="003860CC"/>
    <w:rsid w:val="003864F8"/>
    <w:rsid w:val="00387A87"/>
    <w:rsid w:val="00390782"/>
    <w:rsid w:val="00391116"/>
    <w:rsid w:val="00392E2B"/>
    <w:rsid w:val="0039391B"/>
    <w:rsid w:val="00393F15"/>
    <w:rsid w:val="003946BD"/>
    <w:rsid w:val="0039495C"/>
    <w:rsid w:val="00394B34"/>
    <w:rsid w:val="00394ED8"/>
    <w:rsid w:val="00396F53"/>
    <w:rsid w:val="00397A84"/>
    <w:rsid w:val="003A043A"/>
    <w:rsid w:val="003A164D"/>
    <w:rsid w:val="003A2DFC"/>
    <w:rsid w:val="003A2F36"/>
    <w:rsid w:val="003A31A0"/>
    <w:rsid w:val="003A3CE9"/>
    <w:rsid w:val="003A50A0"/>
    <w:rsid w:val="003A5A7C"/>
    <w:rsid w:val="003A7085"/>
    <w:rsid w:val="003A70B4"/>
    <w:rsid w:val="003A7D76"/>
    <w:rsid w:val="003B0B65"/>
    <w:rsid w:val="003B359E"/>
    <w:rsid w:val="003B39AD"/>
    <w:rsid w:val="003B4747"/>
    <w:rsid w:val="003B4D5B"/>
    <w:rsid w:val="003B4DAE"/>
    <w:rsid w:val="003B62B9"/>
    <w:rsid w:val="003C0B01"/>
    <w:rsid w:val="003C172B"/>
    <w:rsid w:val="003C189E"/>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177"/>
    <w:rsid w:val="003E5DCC"/>
    <w:rsid w:val="003E717F"/>
    <w:rsid w:val="003E7D75"/>
    <w:rsid w:val="003F18C8"/>
    <w:rsid w:val="003F2FAB"/>
    <w:rsid w:val="003F351E"/>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6C7"/>
    <w:rsid w:val="00414941"/>
    <w:rsid w:val="00414ADF"/>
    <w:rsid w:val="00415AE6"/>
    <w:rsid w:val="004167DB"/>
    <w:rsid w:val="0041755B"/>
    <w:rsid w:val="00417907"/>
    <w:rsid w:val="00420681"/>
    <w:rsid w:val="00420D2D"/>
    <w:rsid w:val="00420EBA"/>
    <w:rsid w:val="004238C9"/>
    <w:rsid w:val="00423939"/>
    <w:rsid w:val="004239BB"/>
    <w:rsid w:val="00423F43"/>
    <w:rsid w:val="00424BD0"/>
    <w:rsid w:val="00424E8B"/>
    <w:rsid w:val="00426451"/>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14C"/>
    <w:rsid w:val="0045595E"/>
    <w:rsid w:val="004567C4"/>
    <w:rsid w:val="0045688E"/>
    <w:rsid w:val="00460521"/>
    <w:rsid w:val="004608F6"/>
    <w:rsid w:val="00460C23"/>
    <w:rsid w:val="00461BF9"/>
    <w:rsid w:val="00462C84"/>
    <w:rsid w:val="004636E7"/>
    <w:rsid w:val="00465898"/>
    <w:rsid w:val="00466C6A"/>
    <w:rsid w:val="00466D4A"/>
    <w:rsid w:val="00466E22"/>
    <w:rsid w:val="00470B6C"/>
    <w:rsid w:val="00471695"/>
    <w:rsid w:val="00473546"/>
    <w:rsid w:val="00474DFE"/>
    <w:rsid w:val="0047520D"/>
    <w:rsid w:val="004754BB"/>
    <w:rsid w:val="00476B85"/>
    <w:rsid w:val="00476E46"/>
    <w:rsid w:val="00476F8E"/>
    <w:rsid w:val="0047766B"/>
    <w:rsid w:val="0048029C"/>
    <w:rsid w:val="00480D37"/>
    <w:rsid w:val="004812BA"/>
    <w:rsid w:val="00481420"/>
    <w:rsid w:val="00481A64"/>
    <w:rsid w:val="0048232A"/>
    <w:rsid w:val="00482997"/>
    <w:rsid w:val="00483F2C"/>
    <w:rsid w:val="00484037"/>
    <w:rsid w:val="004858AB"/>
    <w:rsid w:val="00486EB5"/>
    <w:rsid w:val="00487E20"/>
    <w:rsid w:val="0049103E"/>
    <w:rsid w:val="00491AD5"/>
    <w:rsid w:val="00491E92"/>
    <w:rsid w:val="0049289D"/>
    <w:rsid w:val="00493B87"/>
    <w:rsid w:val="00494B3C"/>
    <w:rsid w:val="00494F3E"/>
    <w:rsid w:val="004A03B0"/>
    <w:rsid w:val="004A0A22"/>
    <w:rsid w:val="004A0A9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6A73"/>
    <w:rsid w:val="004C7FAB"/>
    <w:rsid w:val="004D01B4"/>
    <w:rsid w:val="004D03EE"/>
    <w:rsid w:val="004D118C"/>
    <w:rsid w:val="004D1340"/>
    <w:rsid w:val="004D19C3"/>
    <w:rsid w:val="004D3131"/>
    <w:rsid w:val="004D31F0"/>
    <w:rsid w:val="004D48EF"/>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14B"/>
    <w:rsid w:val="004E570B"/>
    <w:rsid w:val="004E5C31"/>
    <w:rsid w:val="004E5F12"/>
    <w:rsid w:val="004E6258"/>
    <w:rsid w:val="004F0165"/>
    <w:rsid w:val="004F04CC"/>
    <w:rsid w:val="004F3AF2"/>
    <w:rsid w:val="004F6852"/>
    <w:rsid w:val="004F6A66"/>
    <w:rsid w:val="004F6D27"/>
    <w:rsid w:val="004F7D56"/>
    <w:rsid w:val="004F7FD4"/>
    <w:rsid w:val="0050006C"/>
    <w:rsid w:val="0050125B"/>
    <w:rsid w:val="005018EF"/>
    <w:rsid w:val="00502378"/>
    <w:rsid w:val="00502848"/>
    <w:rsid w:val="0050291F"/>
    <w:rsid w:val="00504D34"/>
    <w:rsid w:val="00505AB3"/>
    <w:rsid w:val="00506B4B"/>
    <w:rsid w:val="005075DC"/>
    <w:rsid w:val="00510515"/>
    <w:rsid w:val="00510776"/>
    <w:rsid w:val="005113A3"/>
    <w:rsid w:val="00513AA3"/>
    <w:rsid w:val="00513BB3"/>
    <w:rsid w:val="00514A53"/>
    <w:rsid w:val="00514C05"/>
    <w:rsid w:val="005165D0"/>
    <w:rsid w:val="00516683"/>
    <w:rsid w:val="005166C0"/>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6BE"/>
    <w:rsid w:val="00531B47"/>
    <w:rsid w:val="00531CA6"/>
    <w:rsid w:val="00531D9A"/>
    <w:rsid w:val="00532104"/>
    <w:rsid w:val="0053429E"/>
    <w:rsid w:val="00534F91"/>
    <w:rsid w:val="00534FC1"/>
    <w:rsid w:val="0053536F"/>
    <w:rsid w:val="00536B72"/>
    <w:rsid w:val="00537A33"/>
    <w:rsid w:val="005404C9"/>
    <w:rsid w:val="005429EE"/>
    <w:rsid w:val="00544577"/>
    <w:rsid w:val="005447EA"/>
    <w:rsid w:val="00544BA9"/>
    <w:rsid w:val="00545322"/>
    <w:rsid w:val="005468BE"/>
    <w:rsid w:val="00546FB1"/>
    <w:rsid w:val="005475D1"/>
    <w:rsid w:val="00550201"/>
    <w:rsid w:val="00550F85"/>
    <w:rsid w:val="005512D0"/>
    <w:rsid w:val="005520DA"/>
    <w:rsid w:val="00554364"/>
    <w:rsid w:val="005553A5"/>
    <w:rsid w:val="005569BA"/>
    <w:rsid w:val="00557BD0"/>
    <w:rsid w:val="00560211"/>
    <w:rsid w:val="00560814"/>
    <w:rsid w:val="00560A59"/>
    <w:rsid w:val="00560CC6"/>
    <w:rsid w:val="00561999"/>
    <w:rsid w:val="00562811"/>
    <w:rsid w:val="00563EA8"/>
    <w:rsid w:val="00563F52"/>
    <w:rsid w:val="005646E8"/>
    <w:rsid w:val="00565335"/>
    <w:rsid w:val="0056606A"/>
    <w:rsid w:val="00566361"/>
    <w:rsid w:val="005664FD"/>
    <w:rsid w:val="00570395"/>
    <w:rsid w:val="0057200F"/>
    <w:rsid w:val="00573686"/>
    <w:rsid w:val="00574936"/>
    <w:rsid w:val="00574942"/>
    <w:rsid w:val="00575388"/>
    <w:rsid w:val="005753D1"/>
    <w:rsid w:val="00575C18"/>
    <w:rsid w:val="005769CD"/>
    <w:rsid w:val="00576EFE"/>
    <w:rsid w:val="00580117"/>
    <w:rsid w:val="0058310D"/>
    <w:rsid w:val="0058313A"/>
    <w:rsid w:val="005842FD"/>
    <w:rsid w:val="00586477"/>
    <w:rsid w:val="00586964"/>
    <w:rsid w:val="005869D9"/>
    <w:rsid w:val="0059058B"/>
    <w:rsid w:val="00591365"/>
    <w:rsid w:val="00591AC7"/>
    <w:rsid w:val="00593BA1"/>
    <w:rsid w:val="0059710B"/>
    <w:rsid w:val="005A0381"/>
    <w:rsid w:val="005A1BBB"/>
    <w:rsid w:val="005A210E"/>
    <w:rsid w:val="005A2826"/>
    <w:rsid w:val="005A3146"/>
    <w:rsid w:val="005A5581"/>
    <w:rsid w:val="005A7D81"/>
    <w:rsid w:val="005A7F04"/>
    <w:rsid w:val="005B31A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0319"/>
    <w:rsid w:val="005D132A"/>
    <w:rsid w:val="005D17AA"/>
    <w:rsid w:val="005D2F52"/>
    <w:rsid w:val="005D6B60"/>
    <w:rsid w:val="005D6C44"/>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65DB"/>
    <w:rsid w:val="006070D6"/>
    <w:rsid w:val="0060762A"/>
    <w:rsid w:val="00611341"/>
    <w:rsid w:val="00611A3B"/>
    <w:rsid w:val="0061237A"/>
    <w:rsid w:val="00613F72"/>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67BF"/>
    <w:rsid w:val="006279F7"/>
    <w:rsid w:val="00627E6C"/>
    <w:rsid w:val="006311D8"/>
    <w:rsid w:val="006317FB"/>
    <w:rsid w:val="00631D3B"/>
    <w:rsid w:val="00635A4E"/>
    <w:rsid w:val="00636098"/>
    <w:rsid w:val="00636457"/>
    <w:rsid w:val="0063752D"/>
    <w:rsid w:val="00640949"/>
    <w:rsid w:val="00640A37"/>
    <w:rsid w:val="00641B2E"/>
    <w:rsid w:val="00642DD1"/>
    <w:rsid w:val="00643641"/>
    <w:rsid w:val="00644254"/>
    <w:rsid w:val="00645A14"/>
    <w:rsid w:val="00647CB5"/>
    <w:rsid w:val="006500D0"/>
    <w:rsid w:val="0065058D"/>
    <w:rsid w:val="00650ACE"/>
    <w:rsid w:val="00650E1C"/>
    <w:rsid w:val="006532D7"/>
    <w:rsid w:val="00653434"/>
    <w:rsid w:val="00654D07"/>
    <w:rsid w:val="00654F15"/>
    <w:rsid w:val="0066008C"/>
    <w:rsid w:val="00660D96"/>
    <w:rsid w:val="00661694"/>
    <w:rsid w:val="00662910"/>
    <w:rsid w:val="006631D5"/>
    <w:rsid w:val="006644B1"/>
    <w:rsid w:val="0066524B"/>
    <w:rsid w:val="00666738"/>
    <w:rsid w:val="00666EF0"/>
    <w:rsid w:val="00667F47"/>
    <w:rsid w:val="00667F69"/>
    <w:rsid w:val="00670A09"/>
    <w:rsid w:val="00674597"/>
    <w:rsid w:val="0067481B"/>
    <w:rsid w:val="00676E4E"/>
    <w:rsid w:val="00681211"/>
    <w:rsid w:val="006819EF"/>
    <w:rsid w:val="006821C4"/>
    <w:rsid w:val="00683109"/>
    <w:rsid w:val="00683607"/>
    <w:rsid w:val="0068407D"/>
    <w:rsid w:val="0068774B"/>
    <w:rsid w:val="00690652"/>
    <w:rsid w:val="006923F8"/>
    <w:rsid w:val="006928B8"/>
    <w:rsid w:val="00692FDA"/>
    <w:rsid w:val="006935A7"/>
    <w:rsid w:val="006946AE"/>
    <w:rsid w:val="00694ADB"/>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478B"/>
    <w:rsid w:val="006C5924"/>
    <w:rsid w:val="006C5B96"/>
    <w:rsid w:val="006C602B"/>
    <w:rsid w:val="006C699C"/>
    <w:rsid w:val="006C75D6"/>
    <w:rsid w:val="006C77A7"/>
    <w:rsid w:val="006D1062"/>
    <w:rsid w:val="006D271F"/>
    <w:rsid w:val="006D3AC9"/>
    <w:rsid w:val="006D5874"/>
    <w:rsid w:val="006D6499"/>
    <w:rsid w:val="006D7036"/>
    <w:rsid w:val="006E045C"/>
    <w:rsid w:val="006E0B5A"/>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475EF"/>
    <w:rsid w:val="007500F2"/>
    <w:rsid w:val="00750294"/>
    <w:rsid w:val="007509F0"/>
    <w:rsid w:val="00750D29"/>
    <w:rsid w:val="00751669"/>
    <w:rsid w:val="0075171F"/>
    <w:rsid w:val="007527D9"/>
    <w:rsid w:val="00754A10"/>
    <w:rsid w:val="00755265"/>
    <w:rsid w:val="007568D0"/>
    <w:rsid w:val="007572F8"/>
    <w:rsid w:val="00757D34"/>
    <w:rsid w:val="00757D7D"/>
    <w:rsid w:val="00760687"/>
    <w:rsid w:val="00761D8E"/>
    <w:rsid w:val="00762C93"/>
    <w:rsid w:val="00763032"/>
    <w:rsid w:val="00763A70"/>
    <w:rsid w:val="00764455"/>
    <w:rsid w:val="00765064"/>
    <w:rsid w:val="00766CAA"/>
    <w:rsid w:val="00767470"/>
    <w:rsid w:val="00767B9C"/>
    <w:rsid w:val="007711A0"/>
    <w:rsid w:val="007722E8"/>
    <w:rsid w:val="007724ED"/>
    <w:rsid w:val="007744FE"/>
    <w:rsid w:val="00776020"/>
    <w:rsid w:val="00776B42"/>
    <w:rsid w:val="007772F3"/>
    <w:rsid w:val="00777679"/>
    <w:rsid w:val="0078085B"/>
    <w:rsid w:val="0078148E"/>
    <w:rsid w:val="00784B3A"/>
    <w:rsid w:val="00785081"/>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1DD9"/>
    <w:rsid w:val="007B324F"/>
    <w:rsid w:val="007B4946"/>
    <w:rsid w:val="007B4FC3"/>
    <w:rsid w:val="007B70CE"/>
    <w:rsid w:val="007C1009"/>
    <w:rsid w:val="007C2070"/>
    <w:rsid w:val="007C2579"/>
    <w:rsid w:val="007C268B"/>
    <w:rsid w:val="007C2810"/>
    <w:rsid w:val="007C287D"/>
    <w:rsid w:val="007C2988"/>
    <w:rsid w:val="007C32E6"/>
    <w:rsid w:val="007C4A56"/>
    <w:rsid w:val="007C4D7B"/>
    <w:rsid w:val="007C52A5"/>
    <w:rsid w:val="007C5CAB"/>
    <w:rsid w:val="007C5F1F"/>
    <w:rsid w:val="007C6237"/>
    <w:rsid w:val="007C6646"/>
    <w:rsid w:val="007C675A"/>
    <w:rsid w:val="007C6842"/>
    <w:rsid w:val="007C6B67"/>
    <w:rsid w:val="007C741D"/>
    <w:rsid w:val="007C772F"/>
    <w:rsid w:val="007D0C5A"/>
    <w:rsid w:val="007D0F75"/>
    <w:rsid w:val="007D20D9"/>
    <w:rsid w:val="007D2BD0"/>
    <w:rsid w:val="007D39CC"/>
    <w:rsid w:val="007D4587"/>
    <w:rsid w:val="007D4A34"/>
    <w:rsid w:val="007D4D74"/>
    <w:rsid w:val="007D639C"/>
    <w:rsid w:val="007D6A93"/>
    <w:rsid w:val="007D7E58"/>
    <w:rsid w:val="007E04A7"/>
    <w:rsid w:val="007E11FE"/>
    <w:rsid w:val="007E196E"/>
    <w:rsid w:val="007E1A03"/>
    <w:rsid w:val="007E367D"/>
    <w:rsid w:val="007E46EA"/>
    <w:rsid w:val="007E4721"/>
    <w:rsid w:val="007E5FFC"/>
    <w:rsid w:val="007E6123"/>
    <w:rsid w:val="007E6683"/>
    <w:rsid w:val="007E67BF"/>
    <w:rsid w:val="007E6BFC"/>
    <w:rsid w:val="007F03F8"/>
    <w:rsid w:val="007F064D"/>
    <w:rsid w:val="007F0881"/>
    <w:rsid w:val="007F0C91"/>
    <w:rsid w:val="007F15B8"/>
    <w:rsid w:val="007F191A"/>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64FF"/>
    <w:rsid w:val="008171AE"/>
    <w:rsid w:val="00820EBA"/>
    <w:rsid w:val="0082111B"/>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4B7B"/>
    <w:rsid w:val="008561C3"/>
    <w:rsid w:val="008567A1"/>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72E"/>
    <w:rsid w:val="0087591A"/>
    <w:rsid w:val="00875F69"/>
    <w:rsid w:val="00876DCD"/>
    <w:rsid w:val="00876E00"/>
    <w:rsid w:val="008774E8"/>
    <w:rsid w:val="008779B0"/>
    <w:rsid w:val="00877AED"/>
    <w:rsid w:val="00877C8B"/>
    <w:rsid w:val="008803CA"/>
    <w:rsid w:val="008805C8"/>
    <w:rsid w:val="00882470"/>
    <w:rsid w:val="008835BC"/>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4D40"/>
    <w:rsid w:val="008A53BF"/>
    <w:rsid w:val="008A6D2E"/>
    <w:rsid w:val="008A7006"/>
    <w:rsid w:val="008B1F6C"/>
    <w:rsid w:val="008B24D4"/>
    <w:rsid w:val="008B3373"/>
    <w:rsid w:val="008B69E7"/>
    <w:rsid w:val="008B7B1F"/>
    <w:rsid w:val="008C0311"/>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959"/>
    <w:rsid w:val="008D5C18"/>
    <w:rsid w:val="008D64BA"/>
    <w:rsid w:val="008E0F0E"/>
    <w:rsid w:val="008E3801"/>
    <w:rsid w:val="008E55C0"/>
    <w:rsid w:val="008E5C89"/>
    <w:rsid w:val="008E7D6D"/>
    <w:rsid w:val="008F074D"/>
    <w:rsid w:val="008F1E37"/>
    <w:rsid w:val="008F3103"/>
    <w:rsid w:val="008F3517"/>
    <w:rsid w:val="008F3F91"/>
    <w:rsid w:val="008F40EA"/>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170B"/>
    <w:rsid w:val="009356E5"/>
    <w:rsid w:val="00936CA8"/>
    <w:rsid w:val="009378FF"/>
    <w:rsid w:val="009379E1"/>
    <w:rsid w:val="00937ED7"/>
    <w:rsid w:val="00940A0A"/>
    <w:rsid w:val="00942976"/>
    <w:rsid w:val="00943CEC"/>
    <w:rsid w:val="009445D2"/>
    <w:rsid w:val="009468B5"/>
    <w:rsid w:val="00947292"/>
    <w:rsid w:val="00947492"/>
    <w:rsid w:val="00947609"/>
    <w:rsid w:val="00947641"/>
    <w:rsid w:val="009500A1"/>
    <w:rsid w:val="00950989"/>
    <w:rsid w:val="0095139E"/>
    <w:rsid w:val="00952291"/>
    <w:rsid w:val="009527B3"/>
    <w:rsid w:val="009529AD"/>
    <w:rsid w:val="009541A3"/>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71E"/>
    <w:rsid w:val="00970A5C"/>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7FDD"/>
    <w:rsid w:val="00990374"/>
    <w:rsid w:val="00990F37"/>
    <w:rsid w:val="00991F15"/>
    <w:rsid w:val="0099248C"/>
    <w:rsid w:val="00992DD5"/>
    <w:rsid w:val="00994E67"/>
    <w:rsid w:val="009951A5"/>
    <w:rsid w:val="0099554C"/>
    <w:rsid w:val="00996802"/>
    <w:rsid w:val="00996B08"/>
    <w:rsid w:val="00996C49"/>
    <w:rsid w:val="00997234"/>
    <w:rsid w:val="00997D3F"/>
    <w:rsid w:val="009A0DF7"/>
    <w:rsid w:val="009A2F5B"/>
    <w:rsid w:val="009A41A3"/>
    <w:rsid w:val="009A4689"/>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C0DFF"/>
    <w:rsid w:val="009C1F52"/>
    <w:rsid w:val="009C219E"/>
    <w:rsid w:val="009C2CFF"/>
    <w:rsid w:val="009C4226"/>
    <w:rsid w:val="009C6E3B"/>
    <w:rsid w:val="009C6EF7"/>
    <w:rsid w:val="009D0503"/>
    <w:rsid w:val="009D2636"/>
    <w:rsid w:val="009D2CEB"/>
    <w:rsid w:val="009D403A"/>
    <w:rsid w:val="009D5229"/>
    <w:rsid w:val="009D546C"/>
    <w:rsid w:val="009D57D3"/>
    <w:rsid w:val="009D6666"/>
    <w:rsid w:val="009D66F9"/>
    <w:rsid w:val="009D7578"/>
    <w:rsid w:val="009D787E"/>
    <w:rsid w:val="009D7D44"/>
    <w:rsid w:val="009E02F7"/>
    <w:rsid w:val="009E0AD7"/>
    <w:rsid w:val="009E110E"/>
    <w:rsid w:val="009E3D48"/>
    <w:rsid w:val="009E6050"/>
    <w:rsid w:val="009E767F"/>
    <w:rsid w:val="009E7B71"/>
    <w:rsid w:val="009F008C"/>
    <w:rsid w:val="009F0303"/>
    <w:rsid w:val="009F2BFF"/>
    <w:rsid w:val="009F31A6"/>
    <w:rsid w:val="009F3515"/>
    <w:rsid w:val="009F4686"/>
    <w:rsid w:val="009F563C"/>
    <w:rsid w:val="009F5C98"/>
    <w:rsid w:val="009F6D30"/>
    <w:rsid w:val="009F78DF"/>
    <w:rsid w:val="009F7E18"/>
    <w:rsid w:val="00A00DEA"/>
    <w:rsid w:val="00A00E3F"/>
    <w:rsid w:val="00A04B29"/>
    <w:rsid w:val="00A0702B"/>
    <w:rsid w:val="00A10AF4"/>
    <w:rsid w:val="00A10BFF"/>
    <w:rsid w:val="00A10D8B"/>
    <w:rsid w:val="00A11B4F"/>
    <w:rsid w:val="00A12FA2"/>
    <w:rsid w:val="00A136CE"/>
    <w:rsid w:val="00A13957"/>
    <w:rsid w:val="00A13AB5"/>
    <w:rsid w:val="00A14B13"/>
    <w:rsid w:val="00A150A5"/>
    <w:rsid w:val="00A15AA3"/>
    <w:rsid w:val="00A16CEF"/>
    <w:rsid w:val="00A178E2"/>
    <w:rsid w:val="00A2060A"/>
    <w:rsid w:val="00A20B29"/>
    <w:rsid w:val="00A20C71"/>
    <w:rsid w:val="00A2168C"/>
    <w:rsid w:val="00A2237C"/>
    <w:rsid w:val="00A2369E"/>
    <w:rsid w:val="00A25362"/>
    <w:rsid w:val="00A25AC7"/>
    <w:rsid w:val="00A2687D"/>
    <w:rsid w:val="00A26C6F"/>
    <w:rsid w:val="00A26E54"/>
    <w:rsid w:val="00A26F7E"/>
    <w:rsid w:val="00A27663"/>
    <w:rsid w:val="00A27729"/>
    <w:rsid w:val="00A30454"/>
    <w:rsid w:val="00A31145"/>
    <w:rsid w:val="00A33504"/>
    <w:rsid w:val="00A33F8C"/>
    <w:rsid w:val="00A34C54"/>
    <w:rsid w:val="00A35109"/>
    <w:rsid w:val="00A40EB4"/>
    <w:rsid w:val="00A418A9"/>
    <w:rsid w:val="00A420CB"/>
    <w:rsid w:val="00A4248B"/>
    <w:rsid w:val="00A42C60"/>
    <w:rsid w:val="00A42CCC"/>
    <w:rsid w:val="00A4322C"/>
    <w:rsid w:val="00A448D7"/>
    <w:rsid w:val="00A45B7B"/>
    <w:rsid w:val="00A47146"/>
    <w:rsid w:val="00A471F9"/>
    <w:rsid w:val="00A47268"/>
    <w:rsid w:val="00A5049D"/>
    <w:rsid w:val="00A5050C"/>
    <w:rsid w:val="00A50855"/>
    <w:rsid w:val="00A51DA8"/>
    <w:rsid w:val="00A52AEE"/>
    <w:rsid w:val="00A5310F"/>
    <w:rsid w:val="00A53999"/>
    <w:rsid w:val="00A53E36"/>
    <w:rsid w:val="00A5673C"/>
    <w:rsid w:val="00A56CB8"/>
    <w:rsid w:val="00A602D3"/>
    <w:rsid w:val="00A616D8"/>
    <w:rsid w:val="00A61A5D"/>
    <w:rsid w:val="00A61F03"/>
    <w:rsid w:val="00A63C0A"/>
    <w:rsid w:val="00A6438F"/>
    <w:rsid w:val="00A643A5"/>
    <w:rsid w:val="00A64F38"/>
    <w:rsid w:val="00A65198"/>
    <w:rsid w:val="00A654FA"/>
    <w:rsid w:val="00A65DF0"/>
    <w:rsid w:val="00A67708"/>
    <w:rsid w:val="00A67CF3"/>
    <w:rsid w:val="00A67E1B"/>
    <w:rsid w:val="00A702A8"/>
    <w:rsid w:val="00A70E9B"/>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7695"/>
    <w:rsid w:val="00AA4492"/>
    <w:rsid w:val="00AA4851"/>
    <w:rsid w:val="00AA4AF2"/>
    <w:rsid w:val="00AA66A9"/>
    <w:rsid w:val="00AA69E7"/>
    <w:rsid w:val="00AA6B93"/>
    <w:rsid w:val="00AB0159"/>
    <w:rsid w:val="00AB111B"/>
    <w:rsid w:val="00AB1483"/>
    <w:rsid w:val="00AB2295"/>
    <w:rsid w:val="00AB23B3"/>
    <w:rsid w:val="00AB3A98"/>
    <w:rsid w:val="00AB4BFA"/>
    <w:rsid w:val="00AB76A2"/>
    <w:rsid w:val="00AB7767"/>
    <w:rsid w:val="00AB7844"/>
    <w:rsid w:val="00AC19CD"/>
    <w:rsid w:val="00AC2914"/>
    <w:rsid w:val="00AC2FBD"/>
    <w:rsid w:val="00AC54A1"/>
    <w:rsid w:val="00AC5793"/>
    <w:rsid w:val="00AC6A28"/>
    <w:rsid w:val="00AC7C40"/>
    <w:rsid w:val="00AD0318"/>
    <w:rsid w:val="00AD0613"/>
    <w:rsid w:val="00AD0E99"/>
    <w:rsid w:val="00AD15B7"/>
    <w:rsid w:val="00AD1CBC"/>
    <w:rsid w:val="00AD2D6F"/>
    <w:rsid w:val="00AD3921"/>
    <w:rsid w:val="00AD3D31"/>
    <w:rsid w:val="00AD67BD"/>
    <w:rsid w:val="00AD6D8E"/>
    <w:rsid w:val="00AD6DE1"/>
    <w:rsid w:val="00AE157C"/>
    <w:rsid w:val="00AE1C85"/>
    <w:rsid w:val="00AE219D"/>
    <w:rsid w:val="00AE3047"/>
    <w:rsid w:val="00AE4E5A"/>
    <w:rsid w:val="00AE5C8F"/>
    <w:rsid w:val="00AE6A5E"/>
    <w:rsid w:val="00AF0C60"/>
    <w:rsid w:val="00AF2EEC"/>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1F22"/>
    <w:rsid w:val="00B12904"/>
    <w:rsid w:val="00B12E2B"/>
    <w:rsid w:val="00B13BB1"/>
    <w:rsid w:val="00B1681C"/>
    <w:rsid w:val="00B16ACE"/>
    <w:rsid w:val="00B16B45"/>
    <w:rsid w:val="00B16C60"/>
    <w:rsid w:val="00B17DFC"/>
    <w:rsid w:val="00B2077A"/>
    <w:rsid w:val="00B21274"/>
    <w:rsid w:val="00B215A1"/>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51A"/>
    <w:rsid w:val="00B369F1"/>
    <w:rsid w:val="00B36B7C"/>
    <w:rsid w:val="00B36C55"/>
    <w:rsid w:val="00B373A8"/>
    <w:rsid w:val="00B374F0"/>
    <w:rsid w:val="00B401B0"/>
    <w:rsid w:val="00B40370"/>
    <w:rsid w:val="00B408ED"/>
    <w:rsid w:val="00B409E9"/>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5759F"/>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7B4"/>
    <w:rsid w:val="00B7390E"/>
    <w:rsid w:val="00B73E9A"/>
    <w:rsid w:val="00B74B1E"/>
    <w:rsid w:val="00B74EF8"/>
    <w:rsid w:val="00B751DF"/>
    <w:rsid w:val="00B7682C"/>
    <w:rsid w:val="00B7689E"/>
    <w:rsid w:val="00B81B0B"/>
    <w:rsid w:val="00B81D01"/>
    <w:rsid w:val="00B828F1"/>
    <w:rsid w:val="00B8340E"/>
    <w:rsid w:val="00B83C31"/>
    <w:rsid w:val="00B84274"/>
    <w:rsid w:val="00B8445C"/>
    <w:rsid w:val="00B85898"/>
    <w:rsid w:val="00B8751A"/>
    <w:rsid w:val="00B900F8"/>
    <w:rsid w:val="00B92D5C"/>
    <w:rsid w:val="00B94146"/>
    <w:rsid w:val="00B9638B"/>
    <w:rsid w:val="00B96411"/>
    <w:rsid w:val="00B97E59"/>
    <w:rsid w:val="00BA03D6"/>
    <w:rsid w:val="00BA05ED"/>
    <w:rsid w:val="00BA0CB7"/>
    <w:rsid w:val="00BA1641"/>
    <w:rsid w:val="00BA2399"/>
    <w:rsid w:val="00BA27FE"/>
    <w:rsid w:val="00BA2D99"/>
    <w:rsid w:val="00BA3C67"/>
    <w:rsid w:val="00BA3DF3"/>
    <w:rsid w:val="00BA3EA1"/>
    <w:rsid w:val="00BA4FF4"/>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6C2E"/>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A38"/>
    <w:rsid w:val="00BD4D37"/>
    <w:rsid w:val="00BD5793"/>
    <w:rsid w:val="00BD5F5C"/>
    <w:rsid w:val="00BD6124"/>
    <w:rsid w:val="00BD751D"/>
    <w:rsid w:val="00BD7835"/>
    <w:rsid w:val="00BD7E47"/>
    <w:rsid w:val="00BE097F"/>
    <w:rsid w:val="00BE1984"/>
    <w:rsid w:val="00BE1EB6"/>
    <w:rsid w:val="00BE28D7"/>
    <w:rsid w:val="00BE2CDC"/>
    <w:rsid w:val="00BE2EF3"/>
    <w:rsid w:val="00BE3A9B"/>
    <w:rsid w:val="00BE50A3"/>
    <w:rsid w:val="00BE630E"/>
    <w:rsid w:val="00BE7979"/>
    <w:rsid w:val="00BE7C56"/>
    <w:rsid w:val="00BF106B"/>
    <w:rsid w:val="00BF4C1D"/>
    <w:rsid w:val="00BF4E63"/>
    <w:rsid w:val="00BF54EA"/>
    <w:rsid w:val="00BF6DFE"/>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27D54"/>
    <w:rsid w:val="00C31152"/>
    <w:rsid w:val="00C319AC"/>
    <w:rsid w:val="00C31FED"/>
    <w:rsid w:val="00C325AF"/>
    <w:rsid w:val="00C3372B"/>
    <w:rsid w:val="00C365C1"/>
    <w:rsid w:val="00C371ED"/>
    <w:rsid w:val="00C3789B"/>
    <w:rsid w:val="00C43328"/>
    <w:rsid w:val="00C4388C"/>
    <w:rsid w:val="00C44255"/>
    <w:rsid w:val="00C44913"/>
    <w:rsid w:val="00C452BF"/>
    <w:rsid w:val="00C4583D"/>
    <w:rsid w:val="00C46BA7"/>
    <w:rsid w:val="00C4760A"/>
    <w:rsid w:val="00C47FF5"/>
    <w:rsid w:val="00C50C09"/>
    <w:rsid w:val="00C5192E"/>
    <w:rsid w:val="00C51E06"/>
    <w:rsid w:val="00C546A6"/>
    <w:rsid w:val="00C54FBA"/>
    <w:rsid w:val="00C555E3"/>
    <w:rsid w:val="00C55650"/>
    <w:rsid w:val="00C570FF"/>
    <w:rsid w:val="00C57E5A"/>
    <w:rsid w:val="00C610AC"/>
    <w:rsid w:val="00C61CCB"/>
    <w:rsid w:val="00C61F62"/>
    <w:rsid w:val="00C620AB"/>
    <w:rsid w:val="00C62B82"/>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48F0"/>
    <w:rsid w:val="00C864F2"/>
    <w:rsid w:val="00C9049B"/>
    <w:rsid w:val="00C90F43"/>
    <w:rsid w:val="00C92186"/>
    <w:rsid w:val="00C92742"/>
    <w:rsid w:val="00C92BDE"/>
    <w:rsid w:val="00C92C7B"/>
    <w:rsid w:val="00C94074"/>
    <w:rsid w:val="00C94D5C"/>
    <w:rsid w:val="00C961F3"/>
    <w:rsid w:val="00C969AD"/>
    <w:rsid w:val="00C96FD2"/>
    <w:rsid w:val="00C9745D"/>
    <w:rsid w:val="00CA0B44"/>
    <w:rsid w:val="00CA1386"/>
    <w:rsid w:val="00CA19F0"/>
    <w:rsid w:val="00CA23C0"/>
    <w:rsid w:val="00CA2495"/>
    <w:rsid w:val="00CA429D"/>
    <w:rsid w:val="00CA44E2"/>
    <w:rsid w:val="00CA5021"/>
    <w:rsid w:val="00CA51AD"/>
    <w:rsid w:val="00CA7642"/>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E2C6E"/>
    <w:rsid w:val="00CE2F18"/>
    <w:rsid w:val="00CE3F8C"/>
    <w:rsid w:val="00CE409D"/>
    <w:rsid w:val="00CE6EAB"/>
    <w:rsid w:val="00CE7366"/>
    <w:rsid w:val="00CE7369"/>
    <w:rsid w:val="00CF16AA"/>
    <w:rsid w:val="00CF180B"/>
    <w:rsid w:val="00CF2A22"/>
    <w:rsid w:val="00CF2B0B"/>
    <w:rsid w:val="00CF301C"/>
    <w:rsid w:val="00CF3030"/>
    <w:rsid w:val="00CF33D9"/>
    <w:rsid w:val="00CF454E"/>
    <w:rsid w:val="00CF47C0"/>
    <w:rsid w:val="00CF4E7F"/>
    <w:rsid w:val="00CF5B0B"/>
    <w:rsid w:val="00CF5BAC"/>
    <w:rsid w:val="00CF6DCC"/>
    <w:rsid w:val="00CF6E6E"/>
    <w:rsid w:val="00CF6EF4"/>
    <w:rsid w:val="00CF7D6D"/>
    <w:rsid w:val="00D0236F"/>
    <w:rsid w:val="00D02B19"/>
    <w:rsid w:val="00D03D9C"/>
    <w:rsid w:val="00D042B0"/>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857"/>
    <w:rsid w:val="00D1694D"/>
    <w:rsid w:val="00D16AB7"/>
    <w:rsid w:val="00D209B1"/>
    <w:rsid w:val="00D20A5C"/>
    <w:rsid w:val="00D21846"/>
    <w:rsid w:val="00D239E0"/>
    <w:rsid w:val="00D25F77"/>
    <w:rsid w:val="00D264FC"/>
    <w:rsid w:val="00D2659A"/>
    <w:rsid w:val="00D2783E"/>
    <w:rsid w:val="00D30CFC"/>
    <w:rsid w:val="00D32178"/>
    <w:rsid w:val="00D32313"/>
    <w:rsid w:val="00D348B0"/>
    <w:rsid w:val="00D349BC"/>
    <w:rsid w:val="00D3599B"/>
    <w:rsid w:val="00D3651D"/>
    <w:rsid w:val="00D37288"/>
    <w:rsid w:val="00D37ED3"/>
    <w:rsid w:val="00D405E3"/>
    <w:rsid w:val="00D447F3"/>
    <w:rsid w:val="00D44EB0"/>
    <w:rsid w:val="00D44EF5"/>
    <w:rsid w:val="00D450DD"/>
    <w:rsid w:val="00D45D8D"/>
    <w:rsid w:val="00D460CA"/>
    <w:rsid w:val="00D466C6"/>
    <w:rsid w:val="00D46A30"/>
    <w:rsid w:val="00D50964"/>
    <w:rsid w:val="00D52F71"/>
    <w:rsid w:val="00D536EF"/>
    <w:rsid w:val="00D53E6A"/>
    <w:rsid w:val="00D53EFE"/>
    <w:rsid w:val="00D53FEE"/>
    <w:rsid w:val="00D54634"/>
    <w:rsid w:val="00D55FE7"/>
    <w:rsid w:val="00D563AC"/>
    <w:rsid w:val="00D5658E"/>
    <w:rsid w:val="00D568A2"/>
    <w:rsid w:val="00D57254"/>
    <w:rsid w:val="00D5728E"/>
    <w:rsid w:val="00D600BF"/>
    <w:rsid w:val="00D628CF"/>
    <w:rsid w:val="00D62FEB"/>
    <w:rsid w:val="00D631BA"/>
    <w:rsid w:val="00D64D42"/>
    <w:rsid w:val="00D6547A"/>
    <w:rsid w:val="00D66100"/>
    <w:rsid w:val="00D662CD"/>
    <w:rsid w:val="00D665FA"/>
    <w:rsid w:val="00D67BFA"/>
    <w:rsid w:val="00D67DAE"/>
    <w:rsid w:val="00D67E58"/>
    <w:rsid w:val="00D70917"/>
    <w:rsid w:val="00D724A5"/>
    <w:rsid w:val="00D7274A"/>
    <w:rsid w:val="00D72878"/>
    <w:rsid w:val="00D80917"/>
    <w:rsid w:val="00D81FAC"/>
    <w:rsid w:val="00D82EDF"/>
    <w:rsid w:val="00D83092"/>
    <w:rsid w:val="00D84368"/>
    <w:rsid w:val="00D84EE2"/>
    <w:rsid w:val="00D84F8E"/>
    <w:rsid w:val="00D85F29"/>
    <w:rsid w:val="00D86912"/>
    <w:rsid w:val="00D86C03"/>
    <w:rsid w:val="00D86CB3"/>
    <w:rsid w:val="00D87ABE"/>
    <w:rsid w:val="00D92561"/>
    <w:rsid w:val="00D9313F"/>
    <w:rsid w:val="00D9358C"/>
    <w:rsid w:val="00D9451E"/>
    <w:rsid w:val="00D94F20"/>
    <w:rsid w:val="00D97490"/>
    <w:rsid w:val="00DA04BD"/>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54A4"/>
    <w:rsid w:val="00DB6572"/>
    <w:rsid w:val="00DB7C99"/>
    <w:rsid w:val="00DC0195"/>
    <w:rsid w:val="00DC0B3C"/>
    <w:rsid w:val="00DC1D5D"/>
    <w:rsid w:val="00DC1EF2"/>
    <w:rsid w:val="00DC2AA8"/>
    <w:rsid w:val="00DC3D95"/>
    <w:rsid w:val="00DC4BE3"/>
    <w:rsid w:val="00DC590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4C9C"/>
    <w:rsid w:val="00DE5E1B"/>
    <w:rsid w:val="00DE71AF"/>
    <w:rsid w:val="00DE72D1"/>
    <w:rsid w:val="00DE7BB8"/>
    <w:rsid w:val="00DF1C0D"/>
    <w:rsid w:val="00DF3753"/>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4B5"/>
    <w:rsid w:val="00E2196F"/>
    <w:rsid w:val="00E2284B"/>
    <w:rsid w:val="00E23253"/>
    <w:rsid w:val="00E244F8"/>
    <w:rsid w:val="00E24EA8"/>
    <w:rsid w:val="00E25160"/>
    <w:rsid w:val="00E255D2"/>
    <w:rsid w:val="00E2625C"/>
    <w:rsid w:val="00E2696D"/>
    <w:rsid w:val="00E26B14"/>
    <w:rsid w:val="00E278D8"/>
    <w:rsid w:val="00E27E12"/>
    <w:rsid w:val="00E30B62"/>
    <w:rsid w:val="00E30DDD"/>
    <w:rsid w:val="00E30E33"/>
    <w:rsid w:val="00E32CBF"/>
    <w:rsid w:val="00E3374B"/>
    <w:rsid w:val="00E34DEC"/>
    <w:rsid w:val="00E35A73"/>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56B76"/>
    <w:rsid w:val="00E6010B"/>
    <w:rsid w:val="00E60E5D"/>
    <w:rsid w:val="00E61467"/>
    <w:rsid w:val="00E627F9"/>
    <w:rsid w:val="00E630E7"/>
    <w:rsid w:val="00E63F5E"/>
    <w:rsid w:val="00E66D42"/>
    <w:rsid w:val="00E66FD3"/>
    <w:rsid w:val="00E70D17"/>
    <w:rsid w:val="00E71B84"/>
    <w:rsid w:val="00E71CAE"/>
    <w:rsid w:val="00E7312C"/>
    <w:rsid w:val="00E73698"/>
    <w:rsid w:val="00E73F8F"/>
    <w:rsid w:val="00E74379"/>
    <w:rsid w:val="00E745D8"/>
    <w:rsid w:val="00E75AB8"/>
    <w:rsid w:val="00E7623B"/>
    <w:rsid w:val="00E76838"/>
    <w:rsid w:val="00E777A7"/>
    <w:rsid w:val="00E77DFE"/>
    <w:rsid w:val="00E8099C"/>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6849"/>
    <w:rsid w:val="00E97F7E"/>
    <w:rsid w:val="00EA4A19"/>
    <w:rsid w:val="00EA4D06"/>
    <w:rsid w:val="00EA4FDE"/>
    <w:rsid w:val="00EA5404"/>
    <w:rsid w:val="00EA59BC"/>
    <w:rsid w:val="00EA59F2"/>
    <w:rsid w:val="00EA7465"/>
    <w:rsid w:val="00EB00C2"/>
    <w:rsid w:val="00EB06DF"/>
    <w:rsid w:val="00EB1092"/>
    <w:rsid w:val="00EB19A6"/>
    <w:rsid w:val="00EB20DA"/>
    <w:rsid w:val="00EB68C2"/>
    <w:rsid w:val="00EB6D4F"/>
    <w:rsid w:val="00EB7371"/>
    <w:rsid w:val="00EC001C"/>
    <w:rsid w:val="00EC0944"/>
    <w:rsid w:val="00EC1596"/>
    <w:rsid w:val="00EC226C"/>
    <w:rsid w:val="00EC2E70"/>
    <w:rsid w:val="00EC3827"/>
    <w:rsid w:val="00EC5A89"/>
    <w:rsid w:val="00EC5EF3"/>
    <w:rsid w:val="00EC79CC"/>
    <w:rsid w:val="00ED1E37"/>
    <w:rsid w:val="00ED4E00"/>
    <w:rsid w:val="00ED7B47"/>
    <w:rsid w:val="00EE01F9"/>
    <w:rsid w:val="00EE0346"/>
    <w:rsid w:val="00EE131C"/>
    <w:rsid w:val="00EE1D5E"/>
    <w:rsid w:val="00EE2185"/>
    <w:rsid w:val="00EE2561"/>
    <w:rsid w:val="00EE3459"/>
    <w:rsid w:val="00EE37BB"/>
    <w:rsid w:val="00EE4A11"/>
    <w:rsid w:val="00EE6242"/>
    <w:rsid w:val="00EE6699"/>
    <w:rsid w:val="00EF14D3"/>
    <w:rsid w:val="00EF1DAE"/>
    <w:rsid w:val="00EF42C8"/>
    <w:rsid w:val="00EF4464"/>
    <w:rsid w:val="00EF46AC"/>
    <w:rsid w:val="00EF4B5B"/>
    <w:rsid w:val="00EF5112"/>
    <w:rsid w:val="00F009B6"/>
    <w:rsid w:val="00F01E31"/>
    <w:rsid w:val="00F03FBD"/>
    <w:rsid w:val="00F043CB"/>
    <w:rsid w:val="00F04CCF"/>
    <w:rsid w:val="00F05266"/>
    <w:rsid w:val="00F0683D"/>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605"/>
    <w:rsid w:val="00F34BEB"/>
    <w:rsid w:val="00F36242"/>
    <w:rsid w:val="00F37557"/>
    <w:rsid w:val="00F436E1"/>
    <w:rsid w:val="00F44629"/>
    <w:rsid w:val="00F46DD1"/>
    <w:rsid w:val="00F4797D"/>
    <w:rsid w:val="00F47A15"/>
    <w:rsid w:val="00F526BA"/>
    <w:rsid w:val="00F53C54"/>
    <w:rsid w:val="00F548DD"/>
    <w:rsid w:val="00F551FE"/>
    <w:rsid w:val="00F5666B"/>
    <w:rsid w:val="00F5697F"/>
    <w:rsid w:val="00F576F2"/>
    <w:rsid w:val="00F57AB2"/>
    <w:rsid w:val="00F605DF"/>
    <w:rsid w:val="00F606AC"/>
    <w:rsid w:val="00F60B31"/>
    <w:rsid w:val="00F6467D"/>
    <w:rsid w:val="00F64DFF"/>
    <w:rsid w:val="00F65C58"/>
    <w:rsid w:val="00F67FA4"/>
    <w:rsid w:val="00F712EB"/>
    <w:rsid w:val="00F71D2D"/>
    <w:rsid w:val="00F71E25"/>
    <w:rsid w:val="00F720BE"/>
    <w:rsid w:val="00F727A1"/>
    <w:rsid w:val="00F729E7"/>
    <w:rsid w:val="00F73DEF"/>
    <w:rsid w:val="00F74ED4"/>
    <w:rsid w:val="00F753F9"/>
    <w:rsid w:val="00F75607"/>
    <w:rsid w:val="00F81047"/>
    <w:rsid w:val="00F82548"/>
    <w:rsid w:val="00F8392A"/>
    <w:rsid w:val="00F8551A"/>
    <w:rsid w:val="00F856E1"/>
    <w:rsid w:val="00F85D0D"/>
    <w:rsid w:val="00F8660C"/>
    <w:rsid w:val="00F8753F"/>
    <w:rsid w:val="00F879A5"/>
    <w:rsid w:val="00F87DB3"/>
    <w:rsid w:val="00F905A7"/>
    <w:rsid w:val="00F90AD0"/>
    <w:rsid w:val="00F90EDF"/>
    <w:rsid w:val="00F910E3"/>
    <w:rsid w:val="00F9124C"/>
    <w:rsid w:val="00F91499"/>
    <w:rsid w:val="00F9283C"/>
    <w:rsid w:val="00F935B7"/>
    <w:rsid w:val="00F94560"/>
    <w:rsid w:val="00F9511E"/>
    <w:rsid w:val="00F96E2A"/>
    <w:rsid w:val="00F974EA"/>
    <w:rsid w:val="00FA06FD"/>
    <w:rsid w:val="00FA081B"/>
    <w:rsid w:val="00FA1177"/>
    <w:rsid w:val="00FA1289"/>
    <w:rsid w:val="00FA2089"/>
    <w:rsid w:val="00FA226A"/>
    <w:rsid w:val="00FA3393"/>
    <w:rsid w:val="00FA3CE2"/>
    <w:rsid w:val="00FA3E7A"/>
    <w:rsid w:val="00FA7F1A"/>
    <w:rsid w:val="00FB0605"/>
    <w:rsid w:val="00FB08DA"/>
    <w:rsid w:val="00FB3510"/>
    <w:rsid w:val="00FB45BE"/>
    <w:rsid w:val="00FB49A1"/>
    <w:rsid w:val="00FB57F3"/>
    <w:rsid w:val="00FB5807"/>
    <w:rsid w:val="00FB5F3B"/>
    <w:rsid w:val="00FC11FC"/>
    <w:rsid w:val="00FC4B93"/>
    <w:rsid w:val="00FC4EF2"/>
    <w:rsid w:val="00FC550D"/>
    <w:rsid w:val="00FC5FF8"/>
    <w:rsid w:val="00FC7F1B"/>
    <w:rsid w:val="00FD0812"/>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18</Pages>
  <Words>15681</Words>
  <Characters>89388</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221</cp:revision>
  <dcterms:created xsi:type="dcterms:W3CDTF">2025-08-07T13:33:00Z</dcterms:created>
  <dcterms:modified xsi:type="dcterms:W3CDTF">2025-09-17T14:40:00Z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zotero-version="7.0.21"&gt;&lt;session id="Rwn8s2rV"/&gt;&lt;style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