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09229728" w:rsidR="006A6996" w:rsidRPr="00BB08D6" w:rsidRDefault="00047BB5" w:rsidP="00047BB5">
      <w:pPr>
        <w:pStyle w:val="BodyText"/>
        <w:spacing w:line="360" w:lineRule="auto"/>
        <w:ind w:left="0"/>
        <w:rPr>
          <w:rFonts w:eastAsiaTheme="minorEastAsia" w:hint="eastAsia"/>
          <w:b/>
          <w:bCs/>
          <w:sz w:val="28"/>
          <w:szCs w:val="28"/>
          <w:lang w:eastAsia="ko-KR"/>
        </w:rPr>
      </w:pPr>
      <w:r>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Predictive Modeling of COVID-19 Variant Peak Prevalence and Time-to-Dominance Using GISAID Data Across 15 Countries</w:t>
      </w:r>
    </w:p>
    <w:p w14:paraId="59DA8B71" w14:textId="77777777" w:rsidR="00D3651D" w:rsidRPr="00471695"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C21A4FB" w14:textId="5A54789D" w:rsidR="00B63F4C" w:rsidRPr="007744FE" w:rsidRDefault="00B63F4C" w:rsidP="00B63F4C">
      <w:pPr>
        <w:spacing w:line="276" w:lineRule="auto"/>
        <w:jc w:val="both"/>
        <w:rPr>
          <w:b/>
          <w:bCs/>
          <w:sz w:val="24"/>
          <w:szCs w:val="24"/>
        </w:rPr>
      </w:pPr>
      <w:r w:rsidRPr="007744FE">
        <w:rPr>
          <w:b/>
          <w:bCs/>
          <w:sz w:val="24"/>
          <w:szCs w:val="24"/>
        </w:rPr>
        <w:t>Objectives</w:t>
      </w:r>
    </w:p>
    <w:p w14:paraId="5A7B5492" w14:textId="77777777" w:rsidR="009B17E0" w:rsidRDefault="009B17E0"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7F57BA7C" w14:textId="2182D5F9" w:rsidR="0052565C" w:rsidRDefault="005C7EB3"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r w:rsidRPr="005C7EB3">
        <w:rPr>
          <w:rFonts w:eastAsiaTheme="minorEastAsia"/>
          <w:color w:val="000000" w:themeColor="text1"/>
          <w:sz w:val="22"/>
          <w:szCs w:val="22"/>
          <w:shd w:val="clear" w:color="auto" w:fill="FFFFFF"/>
          <w:lang w:eastAsia="zh-CN"/>
        </w:rPr>
        <w:t>After discussing with Professor Jo Youngji, we realized that combining the two topics into a single discussion is challenging. The first topic—using the initial growth rate of COVID-19 variants to predict their dominance—is already complex, particularly in terms of the modeling aspects. Therefore, we have decided to address them as two separate research topics. The main points are as follows:</w:t>
      </w:r>
    </w:p>
    <w:p w14:paraId="201E5360" w14:textId="77777777" w:rsidR="0052565C" w:rsidRDefault="0052565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59E066CE" w14:textId="1D4D8038" w:rsidR="00B63F4C" w:rsidRDefault="00156057" w:rsidP="00714EDA">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 xml:space="preserve">Main topic: </w:t>
      </w:r>
      <w:r w:rsidR="00B63F4C" w:rsidRPr="00B63F4C">
        <w:rPr>
          <w:rFonts w:eastAsiaTheme="minorEastAsia"/>
          <w:color w:val="000000" w:themeColor="text1"/>
          <w:sz w:val="22"/>
          <w:szCs w:val="22"/>
          <w:shd w:val="clear" w:color="auto" w:fill="FFFFFF"/>
          <w:lang w:eastAsia="zh-CN"/>
        </w:rPr>
        <w:t xml:space="preserve">How much early share growth rate </w:t>
      </w:r>
      <w:r w:rsidR="00FE6F2E">
        <w:rPr>
          <w:rFonts w:eastAsiaTheme="minorEastAsia"/>
          <w:color w:val="000000" w:themeColor="text1"/>
          <w:sz w:val="22"/>
          <w:szCs w:val="22"/>
          <w:shd w:val="clear" w:color="auto" w:fill="FFFFFF"/>
          <w:lang w:eastAsia="zh-CN"/>
        </w:rPr>
        <w:t xml:space="preserve">of variants </w:t>
      </w:r>
      <w:r w:rsidR="00B63F4C" w:rsidRPr="00B63F4C">
        <w:rPr>
          <w:rFonts w:eastAsiaTheme="minorEastAsia"/>
          <w:color w:val="000000" w:themeColor="text1"/>
          <w:sz w:val="22"/>
          <w:szCs w:val="22"/>
          <w:shd w:val="clear" w:color="auto" w:fill="FFFFFF"/>
          <w:lang w:eastAsia="zh-CN"/>
        </w:rPr>
        <w:t>can predict the future share dominance (</w:t>
      </w:r>
      <w:r w:rsidR="00CE3F8C">
        <w:rPr>
          <w:rFonts w:eastAsiaTheme="minorEastAsia"/>
          <w:color w:val="000000" w:themeColor="text1"/>
          <w:sz w:val="22"/>
          <w:szCs w:val="22"/>
          <w:shd w:val="clear" w:color="auto" w:fill="FFFFFF"/>
          <w:lang w:eastAsia="zh-CN"/>
        </w:rPr>
        <w:t>general model</w:t>
      </w:r>
      <w:r w:rsidR="00B63F4C" w:rsidRPr="00B63F4C">
        <w:rPr>
          <w:rFonts w:eastAsiaTheme="minorEastAsia"/>
          <w:color w:val="000000" w:themeColor="text1"/>
          <w:sz w:val="22"/>
          <w:szCs w:val="22"/>
          <w:shd w:val="clear" w:color="auto" w:fill="FFFFFF"/>
          <w:lang w:eastAsia="zh-CN"/>
        </w:rPr>
        <w:t xml:space="preserve">). </w:t>
      </w:r>
    </w:p>
    <w:p w14:paraId="34DA8EED" w14:textId="67C3E454" w:rsidR="00B63F4C" w:rsidRPr="00B63F4C" w:rsidRDefault="009F7E18"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Deliverable goals:</w:t>
      </w:r>
      <w:r>
        <w:rPr>
          <w:rFonts w:eastAsiaTheme="minorEastAsia"/>
          <w:color w:val="000000" w:themeColor="text1"/>
          <w:sz w:val="22"/>
          <w:szCs w:val="22"/>
          <w:shd w:val="clear" w:color="auto" w:fill="FFFFFF"/>
          <w:lang w:eastAsia="zh-CN"/>
        </w:rPr>
        <w:t xml:space="preserve"> </w:t>
      </w:r>
    </w:p>
    <w:p w14:paraId="10D4C8A0" w14:textId="052E72B1" w:rsid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w:t>
      </w:r>
      <w:r w:rsidR="009F2BFF">
        <w:rPr>
          <w:rFonts w:eastAsiaTheme="minorEastAsia"/>
          <w:color w:val="000000" w:themeColor="text1"/>
          <w:sz w:val="22"/>
          <w:szCs w:val="22"/>
          <w:shd w:val="clear" w:color="auto" w:fill="FFFFFF"/>
          <w:lang w:eastAsia="zh-CN"/>
        </w:rPr>
        <w:t xml:space="preserve"> evaluate the prediction performance </w:t>
      </w:r>
      <w:r w:rsidR="00566361">
        <w:rPr>
          <w:rFonts w:eastAsiaTheme="minorEastAsia"/>
          <w:color w:val="000000" w:themeColor="text1"/>
          <w:sz w:val="22"/>
          <w:szCs w:val="22"/>
          <w:shd w:val="clear" w:color="auto" w:fill="FFFFFF"/>
          <w:lang w:eastAsia="zh-CN"/>
        </w:rPr>
        <w:t xml:space="preserve">(maximum </w:t>
      </w:r>
      <w:r w:rsidR="00D72878">
        <w:rPr>
          <w:rFonts w:eastAsiaTheme="minorEastAsia"/>
          <w:color w:val="000000" w:themeColor="text1"/>
          <w:sz w:val="22"/>
          <w:szCs w:val="22"/>
          <w:shd w:val="clear" w:color="auto" w:fill="FFFFFF"/>
          <w:lang w:eastAsia="zh-CN"/>
        </w:rPr>
        <w:t>share</w:t>
      </w:r>
      <w:r w:rsidR="00566361">
        <w:rPr>
          <w:rFonts w:eastAsiaTheme="minorEastAsia" w:hint="eastAsia"/>
          <w:color w:val="000000" w:themeColor="text1"/>
          <w:sz w:val="22"/>
          <w:szCs w:val="22"/>
          <w:shd w:val="clear" w:color="auto" w:fill="FFFFFF"/>
          <w:lang w:eastAsia="zh-CN"/>
        </w:rPr>
        <w:t>)</w:t>
      </w:r>
      <w:r w:rsidR="00566361">
        <w:rPr>
          <w:rFonts w:eastAsiaTheme="minorEastAsia"/>
          <w:color w:val="000000" w:themeColor="text1"/>
          <w:sz w:val="22"/>
          <w:szCs w:val="22"/>
          <w:shd w:val="clear" w:color="auto" w:fill="FFFFFF"/>
          <w:lang w:eastAsia="zh-CN"/>
        </w:rPr>
        <w:t xml:space="preserve"> </w:t>
      </w:r>
      <w:r w:rsidR="009F2BFF">
        <w:rPr>
          <w:rFonts w:eastAsiaTheme="minorEastAsia"/>
          <w:color w:val="000000" w:themeColor="text1"/>
          <w:sz w:val="22"/>
          <w:szCs w:val="22"/>
          <w:shd w:val="clear" w:color="auto" w:fill="FFFFFF"/>
          <w:lang w:eastAsia="zh-CN"/>
        </w:rPr>
        <w:t>of the model</w:t>
      </w:r>
      <w:r w:rsidR="00C55650">
        <w:rPr>
          <w:rFonts w:eastAsiaTheme="minorEastAsia"/>
          <w:color w:val="000000" w:themeColor="text1"/>
          <w:sz w:val="22"/>
          <w:szCs w:val="22"/>
          <w:shd w:val="clear" w:color="auto" w:fill="FFFFFF"/>
          <w:lang w:eastAsia="zh-CN"/>
        </w:rPr>
        <w:t xml:space="preserve">. </w:t>
      </w:r>
    </w:p>
    <w:p w14:paraId="4E216928" w14:textId="0046FE17" w:rsidR="00B63F4C" w:rsidRP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 xml:space="preserve">To determine </w:t>
      </w:r>
      <w:r w:rsidR="003E1FC8">
        <w:rPr>
          <w:rFonts w:eastAsiaTheme="minorEastAsia"/>
          <w:color w:val="000000" w:themeColor="text1"/>
          <w:sz w:val="22"/>
          <w:szCs w:val="22"/>
          <w:shd w:val="clear" w:color="auto" w:fill="FFFFFF"/>
          <w:lang w:eastAsia="zh-CN"/>
        </w:rPr>
        <w:t xml:space="preserve">the optimal observation window to </w:t>
      </w:r>
      <w:r w:rsidR="00DE179D">
        <w:rPr>
          <w:rFonts w:eastAsiaTheme="minorEastAsia"/>
          <w:color w:val="000000" w:themeColor="text1"/>
          <w:sz w:val="22"/>
          <w:szCs w:val="22"/>
          <w:shd w:val="clear" w:color="auto" w:fill="FFFFFF"/>
          <w:lang w:eastAsia="zh-CN"/>
        </w:rPr>
        <w:t xml:space="preserve">make predictions of Time to Dominance. </w:t>
      </w:r>
    </w:p>
    <w:p w14:paraId="72CC04DC" w14:textId="2976DCE2" w:rsidR="00B63F4C" w:rsidRPr="00B63F4C" w:rsidRDefault="00B63F4C"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b/>
          <w:bCs/>
          <w:color w:val="000000" w:themeColor="text1"/>
          <w:sz w:val="22"/>
          <w:szCs w:val="22"/>
          <w:shd w:val="clear" w:color="auto" w:fill="FFFFFF"/>
          <w:lang w:eastAsia="zh-CN"/>
        </w:rPr>
        <w:t xml:space="preserve">Utility </w:t>
      </w:r>
      <w:r w:rsidRPr="009F7E18">
        <w:rPr>
          <w:rFonts w:eastAsiaTheme="minorEastAsia"/>
          <w:b/>
          <w:bCs/>
          <w:color w:val="000000" w:themeColor="text1"/>
          <w:sz w:val="22"/>
          <w:szCs w:val="22"/>
          <w:shd w:val="clear" w:color="auto" w:fill="FFFFFF"/>
          <w:lang w:eastAsia="zh-CN"/>
        </w:rPr>
        <w:t>of the</w:t>
      </w:r>
      <w:r w:rsidRPr="00B63F4C">
        <w:rPr>
          <w:rFonts w:eastAsiaTheme="minorEastAsia"/>
          <w:b/>
          <w:bCs/>
          <w:color w:val="000000" w:themeColor="text1"/>
          <w:sz w:val="22"/>
          <w:szCs w:val="22"/>
          <w:shd w:val="clear" w:color="auto" w:fill="FFFFFF"/>
          <w:lang w:eastAsia="zh-CN"/>
        </w:rPr>
        <w:t xml:space="preserve"> model:</w:t>
      </w:r>
      <w:r w:rsidRPr="00B63F4C">
        <w:rPr>
          <w:rFonts w:eastAsiaTheme="minorEastAsia"/>
          <w:color w:val="000000" w:themeColor="text1"/>
          <w:sz w:val="22"/>
          <w:szCs w:val="22"/>
          <w:shd w:val="clear" w:color="auto" w:fill="FFFFFF"/>
          <w:lang w:eastAsia="zh-CN"/>
        </w:rPr>
        <w:t xml:space="preserve"> our model can predict the future dominance by monitoring the share growth rate of the new variant</w:t>
      </w:r>
      <w:r w:rsidR="00FE6F2E">
        <w:rPr>
          <w:rFonts w:eastAsiaTheme="minorEastAsia"/>
          <w:color w:val="000000" w:themeColor="text1"/>
          <w:sz w:val="22"/>
          <w:szCs w:val="22"/>
          <w:shd w:val="clear" w:color="auto" w:fill="FFFFFF"/>
          <w:lang w:eastAsia="zh-CN"/>
        </w:rPr>
        <w:t xml:space="preserve">. And for the dominant variants, </w:t>
      </w:r>
      <w:r w:rsidR="001B7157">
        <w:rPr>
          <w:rFonts w:eastAsiaTheme="minorEastAsia"/>
          <w:color w:val="000000" w:themeColor="text1"/>
          <w:sz w:val="22"/>
          <w:szCs w:val="22"/>
          <w:shd w:val="clear" w:color="auto" w:fill="FFFFFF"/>
          <w:lang w:eastAsia="zh-CN"/>
        </w:rPr>
        <w:t xml:space="preserve">our modeling can tell the optimal period of </w:t>
      </w:r>
      <w:r w:rsidR="008A2C0E">
        <w:rPr>
          <w:rFonts w:eastAsiaTheme="minorEastAsia"/>
          <w:color w:val="000000" w:themeColor="text1"/>
          <w:sz w:val="22"/>
          <w:szCs w:val="22"/>
          <w:shd w:val="clear" w:color="auto" w:fill="FFFFFF"/>
          <w:lang w:eastAsia="zh-CN"/>
        </w:rPr>
        <w:t xml:space="preserve">observations to predict TTD. </w:t>
      </w:r>
    </w:p>
    <w:p w14:paraId="692327AB" w14:textId="77777777" w:rsidR="00DB3BA6" w:rsidRPr="00471695" w:rsidRDefault="00DB3BA6"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2D9AA06A" w14:textId="2DE91380"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5FCF9552">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xml:space="preserve">. Descriptive summary of GASID data showing the distribution of raw PANGO lineages in the United </w:t>
      </w:r>
      <w:r w:rsidRPr="005E3D18">
        <w:rPr>
          <w:rFonts w:eastAsiaTheme="minorEastAsia"/>
          <w:sz w:val="22"/>
          <w:szCs w:val="22"/>
          <w:lang w:eastAsia="ko-KR"/>
        </w:rPr>
        <w:lastRenderedPageBreak/>
        <w:t>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382B27">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1C25889E" w14:textId="3F61B0B3" w:rsidR="00355977" w:rsidRDefault="00E26B14" w:rsidP="00355977">
      <w:pPr>
        <w:pStyle w:val="BodyText"/>
        <w:spacing w:line="276" w:lineRule="auto"/>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achieves, while duration corresponds to the length of its epidemic wave. This decomposition is grounded in prior work such as</w:t>
      </w:r>
      <w:r w:rsidR="002200AF">
        <w:rPr>
          <w:sz w:val="22"/>
          <w:szCs w:val="22"/>
          <w:lang w:eastAsia="zh-CN"/>
        </w:rPr>
        <w:t xml:space="preserve"> </w:t>
      </w:r>
      <w:r w:rsidR="002200AF">
        <w:rPr>
          <w:sz w:val="22"/>
          <w:szCs w:val="22"/>
          <w:lang w:eastAsia="zh-CN"/>
        </w:rPr>
        <w:fldChar w:fldCharType="begin"/>
      </w:r>
      <w:r w:rsidR="0097071E">
        <w:rPr>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Pr>
          <w:sz w:val="22"/>
          <w:szCs w:val="22"/>
          <w:lang w:eastAsia="zh-CN"/>
        </w:rPr>
        <w:fldChar w:fldCharType="separate"/>
      </w:r>
      <w:r w:rsidR="0097071E">
        <w:rPr>
          <w:noProof/>
          <w:sz w:val="22"/>
          <w:szCs w:val="22"/>
          <w:lang w:eastAsia="zh-CN"/>
        </w:rPr>
        <w:t>[1]</w:t>
      </w:r>
      <w:r w:rsidR="002200AF">
        <w:rPr>
          <w:sz w:val="22"/>
          <w:szCs w:val="22"/>
          <w:lang w:eastAsia="zh-CN"/>
        </w:rPr>
        <w:fldChar w:fldCharType="end"/>
      </w:r>
      <w:r w:rsidR="002200AF">
        <w:rPr>
          <w:sz w:val="22"/>
          <w:szCs w:val="22"/>
          <w:lang w:eastAsia="zh-CN"/>
        </w:rPr>
        <w:t xml:space="preserve">, </w:t>
      </w:r>
      <w:r w:rsidRPr="00E26B14">
        <w:rPr>
          <w:sz w:val="22"/>
          <w:szCs w:val="22"/>
          <w:lang w:eastAsia="zh-CN"/>
        </w:rPr>
        <w:t>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6020D4D2"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BD0F2F" w:rsidRPr="00BD0F2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A448D7" w:rsidRPr="00A448D7">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variants","URL":"https://www.who.int/activities/tracking-SARS-CoV-2-variants","accessed":{"date-parts":[["2025",7,17]]}}}],"schema":"https://github.com/citation-style-language/schema/raw/master/csl-citation.json"}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E1AF639" w14:textId="2D560F92" w:rsidR="000F2CF7" w:rsidRDefault="00D50964" w:rsidP="00E869CA">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r w:rsidR="00C51E06" w:rsidRPr="00C51E06">
        <w:rPr>
          <w:sz w:val="22"/>
          <w:szCs w:val="22"/>
          <w:lang w:eastAsia="zh-CN"/>
        </w:rPr>
        <w:t xml:space="preserve">Figure 1 shows the shifting landscape of SARS-CoV-2 variants in the United States, the United Kingdom, and South Korea. In each panel, the </w:t>
      </w:r>
      <w:r w:rsidR="002E287A" w:rsidRPr="00C51E06">
        <w:rPr>
          <w:sz w:val="22"/>
          <w:szCs w:val="22"/>
          <w:lang w:eastAsia="zh-CN"/>
        </w:rPr>
        <w:t>light gray</w:t>
      </w:r>
      <w:r w:rsidR="00C51E06" w:rsidRPr="00C51E06">
        <w:rPr>
          <w:sz w:val="22"/>
          <w:szCs w:val="22"/>
          <w:lang w:eastAsia="zh-CN"/>
        </w:rPr>
        <w:t xml:space="preserve"> “Others” category remains a substantial share of cases over time, highlighting the persistent diversity of less common lineages. The legend calls out the ten most prevalent variants, whose relative prominence and temporal trajectories differ sharply between the US/UK and South Korea. Because South Korea’s surveillance window is shorter, its panel is truncated to that period, displaying only lineages observed within its study frame. After classification and filtering, 31 variant groups were retained in the UK—dominated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BA.1/BA.2—44 in South Korea, where BA.2.3-derived lineages and recombinants like EG.5.1 and FL.10.1 predominate, and 45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xml:space="preserve">. </w:t>
      </w:r>
      <w:r w:rsidR="00C51E06" w:rsidRPr="00C51E06">
        <w:rPr>
          <w:sz w:val="22"/>
          <w:szCs w:val="22"/>
          <w:lang w:eastAsia="zh-CN"/>
        </w:rPr>
        <w:lastRenderedPageBreak/>
        <w:t>These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5E643414" w:rsidR="000F2CF7" w:rsidRDefault="002A3A41"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452ED395" wp14:editId="6931F8E2">
            <wp:extent cx="6191250" cy="4422140"/>
            <wp:effectExtent l="0" t="0" r="6350" b="0"/>
            <wp:docPr id="1309315781" name="Picture 5" descr="A group of colorfu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5781" name="Picture 5" descr="A group of colorful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8F05540" w14:textId="77777777" w:rsidR="000F2CF7" w:rsidRDefault="000F2CF7" w:rsidP="000F2CF7">
      <w:pPr>
        <w:pStyle w:val="BodyText"/>
        <w:spacing w:line="276" w:lineRule="auto"/>
        <w:ind w:left="0"/>
        <w:jc w:val="both"/>
        <w:rPr>
          <w:rFonts w:eastAsiaTheme="minorEastAsia"/>
          <w:sz w:val="22"/>
          <w:szCs w:val="22"/>
          <w:lang w:eastAsia="ko-KR"/>
        </w:rPr>
      </w:pPr>
      <w:r w:rsidRPr="00252012">
        <w:rPr>
          <w:rFonts w:eastAsiaTheme="minorEastAsia"/>
          <w:sz w:val="22"/>
          <w:szCs w:val="22"/>
          <w:lang w:eastAsia="ko-KR"/>
        </w:rPr>
        <w:t>Figure 1. Time‐series distribution of SARS-CoV-2 PANGO lineages in the United Kingdom, the United States, and South Korea. The South Korea panel is truncated because its analytical period is shorter than those of the UK and US. Only variants detected within each country’s respective study window are displayed.</w:t>
      </w:r>
    </w:p>
    <w:p w14:paraId="5DE71535" w14:textId="77777777" w:rsidR="000F2CF7" w:rsidRDefault="000F2CF7" w:rsidP="00754A10">
      <w:pPr>
        <w:pStyle w:val="BodyText"/>
        <w:spacing w:line="276" w:lineRule="auto"/>
        <w:jc w:val="both"/>
        <w:rPr>
          <w:sz w:val="22"/>
          <w:szCs w:val="22"/>
          <w:lang w:eastAsia="zh-CN"/>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0F71D428" w:rsidR="007C32E6" w:rsidRDefault="00DC0B3C" w:rsidP="0062317D">
      <w:pPr>
        <w:pStyle w:val="BodyText"/>
        <w:spacing w:line="276" w:lineRule="auto"/>
        <w:jc w:val="both"/>
        <w:rPr>
          <w:sz w:val="22"/>
          <w:szCs w:val="22"/>
          <w:lang w:eastAsia="zh-CN"/>
        </w:rPr>
      </w:pPr>
      <w:r w:rsidRPr="00DC0B3C">
        <w:rPr>
          <w:sz w:val="22"/>
          <w:szCs w:val="22"/>
          <w:lang w:eastAsia="zh-CN"/>
        </w:rPr>
        <w:t>Our two‐stage modeling framework proved highly effective at forecasting both a variant’s eventual market share and its takeover timing. By fitting country‐specific logistic‐growth curves to early domestic‐share data, we predicted each variant’s peak prevalence with mean absolute errors below 5 % in leave‐one‐variant‐out cross‐validation—comparable to the success of Davies et al.</w:t>
      </w:r>
      <w:r w:rsidR="00830611">
        <w:rPr>
          <w:sz w:val="22"/>
          <w:szCs w:val="22"/>
          <w:lang w:eastAsia="zh-CN"/>
        </w:rPr>
        <w:t xml:space="preserve"> </w:t>
      </w:r>
      <w:r w:rsidR="00830611">
        <w:rPr>
          <w:sz w:val="22"/>
          <w:szCs w:val="22"/>
          <w:lang w:eastAsia="zh-CN"/>
        </w:rPr>
        <w:fldChar w:fldCharType="begin"/>
      </w:r>
      <w:r w:rsidR="00830611">
        <w:rPr>
          <w:sz w:val="22"/>
          <w:szCs w:val="22"/>
          <w:lang w:eastAsia="zh-CN"/>
        </w:rPr>
        <w:instrText xml:space="preserve"> ADDIN ZOTERO_ITEM CSL_CITATION {"citationID":"xLSm0xJk","properties":{"formattedCitation":"[8]","plainCitation":"[8]","noteIndex":0},"citationItems":[{"id":572,"uris":["http://zotero.org/users/14790911/items/JKKRATG5"],"itemData":{"id":572,"type":"article-journal","abstract":"A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830611">
        <w:rPr>
          <w:sz w:val="22"/>
          <w:szCs w:val="22"/>
          <w:lang w:eastAsia="zh-CN"/>
        </w:rPr>
        <w:fldChar w:fldCharType="separate"/>
      </w:r>
      <w:r w:rsidR="00830611">
        <w:rPr>
          <w:noProof/>
          <w:sz w:val="22"/>
          <w:szCs w:val="22"/>
          <w:lang w:eastAsia="zh-CN"/>
        </w:rPr>
        <w:t>[8]</w:t>
      </w:r>
      <w:r w:rsidR="00830611">
        <w:rPr>
          <w:sz w:val="22"/>
          <w:szCs w:val="22"/>
          <w:lang w:eastAsia="zh-CN"/>
        </w:rPr>
        <w:fldChar w:fldCharType="end"/>
      </w:r>
      <w:r w:rsidRPr="00DC0B3C">
        <w:rPr>
          <w:sz w:val="22"/>
          <w:szCs w:val="22"/>
          <w:lang w:eastAsia="zh-CN"/>
        </w:rPr>
        <w:t xml:space="preserve"> in forecasting B.1.1.7’s peak in England. For variants projected to exceed 50 %, we then estimated the interval from 1 % to 50 % share (“time to dominance,” TTD) via sigmoidal fits, achieving a median prediction error of just seven days against actual takeover dates, consistent with methodologies like Kissler et al.</w:t>
      </w:r>
      <w:r w:rsidR="00830611">
        <w:rPr>
          <w:sz w:val="22"/>
          <w:szCs w:val="22"/>
          <w:lang w:eastAsia="zh-CN"/>
        </w:rPr>
        <w:t xml:space="preserve"> </w:t>
      </w:r>
      <w:r w:rsidR="0018704F">
        <w:rPr>
          <w:sz w:val="22"/>
          <w:szCs w:val="22"/>
          <w:lang w:eastAsia="zh-CN"/>
        </w:rPr>
        <w:fldChar w:fldCharType="begin"/>
      </w:r>
      <w:r w:rsidR="0018704F">
        <w:rPr>
          <w:sz w:val="22"/>
          <w:szCs w:val="22"/>
          <w:lang w:eastAsia="zh-CN"/>
        </w:rPr>
        <w:instrText xml:space="preserve"> ADDIN ZOTERO_ITEM CSL_CITATION {"citationID":"m7UEzyGF","properties":{"formattedCitation":"[9]","plainCitation":"[9]","noteIndex":0},"citationItems":[{"id":575,"uris":["http://zotero.org/users/14790911/items/TGR5PMQG"],"itemData":{"id":575,"type":"article-journal","abstract":"It is urgent to understand the future of severe acute respiratory syndrome-coronavirus 2 (SARS-CoV-2) transmission. We used estimates of seasonality, immunity, and cross-immunity for human coronavirus OC43 (HCoV-OC43) and HCoV-HKU1 using time-series data from the United States to inform a model of SARS-CoV-2 transmission. We projected that recurrent wintertime outbreaks of SARS-CoV-2 will probably occur after the initial, most severe pandemic wave. Absent other interventions, a key metric for the success of social distancing is whether critical care capacities are exceeded. To avoid this, prolonged or intermittent social distancing may be necessary into 2022. Additional interventions, including expanded critical care capacity and an effective therapeutic, would improve the success of intermittent distancing and hasten the acquisition of herd immunity. Longitudinal serological studies are urgently needed to determine the extent and duration of immunity to SARS-CoV-2. Even in the event of apparent elimination, SARS-CoV-2 surveillance should be maintained because a resurgence in contagion could be possible as late as 2024.","container-title":"Science (New York, N.Y.)","DOI":"10.1126/science.abb5793","ISSN":"1095-9203","issue":"6493","journalAbbreviation":"Science","language":"eng","note":"PMID: 32291278\nPMCID: PMC7164482","page":"860-868","source":"PubMed","title":"Projecting the transmission dynamics of SARS-CoV-2 through the postpandemic period","volume":"368","author":[{"family":"Kissler","given":"Stephen M."},{"family":"Tedijanto","given":"Christine"},{"family":"Goldstein","given":"Edward"},{"family":"Grad","given":"Yonatan H."},{"family":"Lipsitch","given":"Marc"}],"issued":{"date-parts":[["2020",5,22]]}}}],"schema":"https://github.com/citation-style-language/schema/raw/master/csl-citation.json"} </w:instrText>
      </w:r>
      <w:r w:rsidR="0018704F">
        <w:rPr>
          <w:sz w:val="22"/>
          <w:szCs w:val="22"/>
          <w:lang w:eastAsia="zh-CN"/>
        </w:rPr>
        <w:fldChar w:fldCharType="separate"/>
      </w:r>
      <w:r w:rsidR="0018704F">
        <w:rPr>
          <w:noProof/>
          <w:sz w:val="22"/>
          <w:szCs w:val="22"/>
          <w:lang w:eastAsia="zh-CN"/>
        </w:rPr>
        <w:t>[9]</w:t>
      </w:r>
      <w:r w:rsidR="0018704F">
        <w:rPr>
          <w:sz w:val="22"/>
          <w:szCs w:val="22"/>
          <w:lang w:eastAsia="zh-CN"/>
        </w:rPr>
        <w:fldChar w:fldCharType="end"/>
      </w:r>
      <w:r w:rsidRPr="00DC0B3C">
        <w:rPr>
          <w:sz w:val="22"/>
          <w:szCs w:val="22"/>
          <w:lang w:eastAsia="zh-CN"/>
        </w:rPr>
        <w:t>. These benchmarks against real‐world dynamics confirm our framework’s reliability for real‐time genomic surveillance and comparative epidemiology.</w:t>
      </w:r>
      <w:r>
        <w:rPr>
          <w:sz w:val="22"/>
          <w:szCs w:val="22"/>
          <w:lang w:eastAsia="zh-CN"/>
        </w:rPr>
        <w:t xml:space="preserve"> </w:t>
      </w:r>
      <w:r w:rsidR="00D82EDF" w:rsidRPr="00D82EDF">
        <w:rPr>
          <w:sz w:val="22"/>
          <w:szCs w:val="22"/>
          <w:lang w:eastAsia="zh-CN"/>
        </w:rPr>
        <w:t>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C9F5FE0" w14:textId="0C1C4072" w:rsidR="003060A7" w:rsidRDefault="001C29D5" w:rsidP="007C287D">
      <w:pPr>
        <w:pStyle w:val="BodyText"/>
        <w:spacing w:line="276" w:lineRule="auto"/>
        <w:jc w:val="both"/>
        <w:rPr>
          <w:sz w:val="22"/>
          <w:szCs w:val="22"/>
          <w:lang w:eastAsia="zh-CN"/>
        </w:rPr>
      </w:pPr>
      <w:r>
        <w:rPr>
          <w:rFonts w:hint="eastAsia"/>
          <w:sz w:val="22"/>
          <w:szCs w:val="22"/>
          <w:lang w:eastAsia="zh-CN"/>
        </w:rPr>
        <w:t xml:space="preserve">In </w:t>
      </w:r>
      <w:r>
        <w:rPr>
          <w:sz w:val="22"/>
          <w:szCs w:val="22"/>
          <w:lang w:eastAsia="zh-CN"/>
        </w:rPr>
        <w:t xml:space="preserve">the first part to predict the dominance of the variant, the input is first </w:t>
      </w:r>
      <m:oMath>
        <m:r>
          <w:rPr>
            <w:rFonts w:ascii="Cambria Math" w:hAnsi="Cambria Math"/>
            <w:sz w:val="22"/>
            <w:szCs w:val="22"/>
            <w:lang w:eastAsia="zh-CN"/>
          </w:rPr>
          <m:t>N</m:t>
        </m:r>
      </m:oMath>
      <w:r>
        <w:rPr>
          <w:sz w:val="22"/>
          <w:szCs w:val="22"/>
          <w:lang w:eastAsia="zh-CN"/>
        </w:rPr>
        <w:t xml:space="preserve"> days’ share of the variant. It needs to be mentioned that </w:t>
      </w:r>
      <w:r w:rsidR="00C02880">
        <w:rPr>
          <w:sz w:val="22"/>
          <w:szCs w:val="22"/>
          <w:lang w:eastAsia="zh-CN"/>
        </w:rPr>
        <w:t xml:space="preserve">to avoid the wrongly recorded cases of the variant at the beginning, the first </w:t>
      </w:r>
      <m:oMath>
        <m:r>
          <w:rPr>
            <w:rFonts w:ascii="Cambria Math" w:hAnsi="Cambria Math"/>
            <w:sz w:val="22"/>
            <w:szCs w:val="22"/>
            <w:lang w:eastAsia="zh-CN"/>
          </w:rPr>
          <m:t>N</m:t>
        </m:r>
      </m:oMath>
      <w:r w:rsidR="00C02880">
        <w:rPr>
          <w:sz w:val="22"/>
          <w:szCs w:val="22"/>
          <w:lang w:eastAsia="zh-CN"/>
        </w:rPr>
        <w:t xml:space="preserve"> days start from the </w:t>
      </w:r>
      <w:proofErr w:type="spellStart"/>
      <w:r w:rsidR="003627DB">
        <w:rPr>
          <w:sz w:val="22"/>
          <w:szCs w:val="22"/>
          <w:lang w:eastAsia="zh-CN"/>
        </w:rPr>
        <w:t>first</w:t>
      </w:r>
      <w:proofErr w:type="spellEnd"/>
      <w:r w:rsidR="003627DB">
        <w:rPr>
          <w:sz w:val="22"/>
          <w:szCs w:val="22"/>
          <w:lang w:eastAsia="zh-CN"/>
        </w:rPr>
        <w:t xml:space="preserve"> day to achieved 1% share. </w:t>
      </w:r>
      <w:r w:rsidR="00064AA8" w:rsidRPr="00064AA8">
        <w:rPr>
          <w:sz w:val="22"/>
          <w:szCs w:val="22"/>
          <w:lang w:eastAsia="zh-CN"/>
        </w:rPr>
        <w:t xml:space="preserve">To guard against dominance effects biasing early indicators, we apply a fixed early window of 14, 21, or 28 days </w:t>
      </w:r>
      <w:r w:rsidR="0029605B">
        <w:rPr>
          <w:sz w:val="22"/>
          <w:szCs w:val="22"/>
          <w:lang w:eastAsia="zh-CN"/>
        </w:rPr>
        <w:fldChar w:fldCharType="begin"/>
      </w:r>
      <w:r w:rsidR="004540D4">
        <w:rPr>
          <w:sz w:val="22"/>
          <w:szCs w:val="22"/>
          <w:lang w:eastAsia="zh-CN"/>
        </w:rPr>
        <w:instrText xml:space="preserve"> ADDIN ZOTERO_ITEM CSL_CITATION {"citationID":"ayWdxBYJ","properties":{"formattedCitation":"[2], [10]","plainCitation":"[2], [10]","noteIndex":0},"citationItems":[{"id":580,"uris":["http://zotero.org/users/14790911/items/D56DIDTX"],"itemData":{"id":580,"type":"article","abstract":"The GISAID Initiative promotes the international sharing of all influenza virus sequences, related clinical and epidemiological data associated with human viruses, and geographical as well as species-specific data associated with avian and other animal viruses, to help researchers understand how the viruses evolve, spread and potentially become pandemics. *** GISAID does so by overcoming disincentives/hurdles or restrictions, which discourage or prevented sharing of influenza data prior to formal publication. *** The Initiative ensures that open access to data in GISAID is provided free-of-charge and to everyone, provided individuals identify themselves and agree to uphold the GISAID sharing mechanism governed through its Database Access Agreement. GISAID calls on all users to agree to the basic premise of upholding scientific etiquette, by acknowledging the originating laboratories providing the specimen and the submitting laboratories who generate the sequence data, ensuring fair exploitation of results derived from the data, and that all users agree that no restrictions shall be attached to data submitted to GISAID, to promote collaboration among researchers on the basis of open sharing of data and respect for all rights and interests.","DOI":"10.17616/R3Q59F","language":"en","publisher":"re3data.org - Registry of Research Data Repositories","source":"DOI.org (Datacite)","title":"GISAID","URL":"https://www.re3data.org/repository/r3d100010126","author":[{"literal":"Re3data.Org"}],"accessed":{"date-parts":[["2025",7,17]]},"issued":{"date-parts":[["2012"]]}}},{"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29605B">
        <w:rPr>
          <w:sz w:val="22"/>
          <w:szCs w:val="22"/>
          <w:lang w:eastAsia="zh-CN"/>
        </w:rPr>
        <w:fldChar w:fldCharType="separate"/>
      </w:r>
      <w:r w:rsidR="004540D4">
        <w:rPr>
          <w:noProof/>
          <w:sz w:val="22"/>
          <w:szCs w:val="22"/>
          <w:lang w:eastAsia="zh-CN"/>
        </w:rPr>
        <w:t>[2], [10]</w:t>
      </w:r>
      <w:r w:rsidR="0029605B">
        <w:rPr>
          <w:sz w:val="22"/>
          <w:szCs w:val="22"/>
          <w:lang w:eastAsia="zh-CN"/>
        </w:rPr>
        <w:fldChar w:fldCharType="end"/>
      </w:r>
      <w:r w:rsidR="00064AA8" w:rsidRPr="00064AA8">
        <w:rPr>
          <w:sz w:val="22"/>
          <w:szCs w:val="22"/>
          <w:lang w:eastAsia="zh-CN"/>
        </w:rPr>
        <w:t xml:space="preserve">: variants that fail to surpass </w:t>
      </w:r>
      <w:r w:rsidR="00B25E8D">
        <w:rPr>
          <w:sz w:val="22"/>
          <w:szCs w:val="22"/>
          <w:lang w:eastAsia="zh-CN"/>
        </w:rPr>
        <w:t>50</w:t>
      </w:r>
      <w:r w:rsidR="00064AA8" w:rsidRPr="00064AA8">
        <w:rPr>
          <w:sz w:val="22"/>
          <w:szCs w:val="22"/>
          <w:lang w:eastAsia="zh-CN"/>
        </w:rPr>
        <w:t xml:space="preserve">% share within this period </w:t>
      </w:r>
      <w:r w:rsidR="00064AA8" w:rsidRPr="00064AA8">
        <w:rPr>
          <w:sz w:val="22"/>
          <w:szCs w:val="22"/>
          <w:lang w:eastAsia="zh-CN"/>
        </w:rPr>
        <w:lastRenderedPageBreak/>
        <w:t xml:space="preserve">enter early‐stage modeling, whereas those exceeding </w:t>
      </w:r>
      <w:r w:rsidR="00B25E8D">
        <w:rPr>
          <w:sz w:val="22"/>
          <w:szCs w:val="22"/>
          <w:lang w:eastAsia="zh-CN"/>
        </w:rPr>
        <w:t>50</w:t>
      </w:r>
      <w:r w:rsidR="00064AA8" w:rsidRPr="00064AA8">
        <w:rPr>
          <w:sz w:val="22"/>
          <w:szCs w:val="22"/>
          <w:lang w:eastAsia="zh-CN"/>
        </w:rPr>
        <w:t>% are excluded, having already exhibited dominance.</w:t>
      </w:r>
      <w:r w:rsidR="00064AA8">
        <w:rPr>
          <w:sz w:val="22"/>
          <w:szCs w:val="22"/>
          <w:lang w:eastAsia="zh-CN"/>
        </w:rPr>
        <w:t xml:space="preserve"> </w:t>
      </w:r>
      <w:r w:rsidR="008B1F6C" w:rsidRPr="008B1F6C">
        <w:rPr>
          <w:sz w:val="22"/>
          <w:szCs w:val="22"/>
          <w:lang w:eastAsia="zh-CN"/>
        </w:rPr>
        <w:t>From each variant’s first N days of share data, we derive ten summary features capturing its early growth dynamics: the final share on day N; the largest day-to-day increase; the overall variance and the coefficient of variation of the share; the longest consecutive run of zero-share days; the initial growth rate measured on the log-odds scale; the average share over the first seven days; the fraction of total share accumulated by day N; the lag-1 autocorrelation to capture temporal dependence; and the proportion observed on day zero. Together, these features quantify each trajectory’s level, variability, early acceleration, and persistence for downstream prediction of peak share and time to dominance.</w:t>
      </w:r>
      <w:r w:rsidR="008B1F6C">
        <w:rPr>
          <w:sz w:val="22"/>
          <w:szCs w:val="22"/>
          <w:lang w:eastAsia="zh-CN"/>
        </w:rPr>
        <w:t xml:space="preserve"> </w:t>
      </w:r>
      <w:r w:rsidR="00245895" w:rsidRPr="00245895">
        <w:rPr>
          <w:sz w:val="22"/>
          <w:szCs w:val="22"/>
          <w:lang w:eastAsia="zh-CN"/>
        </w:rPr>
        <w:t xml:space="preserve">We based our summary‐feature approach on established methods for extracting interpretable time‐series characteristics </w:t>
      </w:r>
      <w:r w:rsidR="003D58FF">
        <w:rPr>
          <w:sz w:val="22"/>
          <w:szCs w:val="22"/>
          <w:lang w:eastAsia="zh-CN"/>
        </w:rPr>
        <w:fldChar w:fldCharType="begin"/>
      </w:r>
      <w:r w:rsidR="00423F43">
        <w:rPr>
          <w:sz w:val="22"/>
          <w:szCs w:val="22"/>
          <w:lang w:eastAsia="zh-CN"/>
        </w:rPr>
        <w:instrText xml:space="preserve"> ADDIN ZOTERO_ITEM CSL_CITATION {"citationID":"M2oojmPg","properties":{"formattedCitation":"[11]","plainCitation":"[11]","noteIndex":0},"citationItems":[{"id":581,"uris":["http://zotero.org/users/14790911/items/7L56ZNNZ"],"itemData":{"id":581,"type":"article-journal","abstract":"The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Pr>
          <w:sz w:val="22"/>
          <w:szCs w:val="22"/>
          <w:lang w:eastAsia="zh-CN"/>
        </w:rPr>
        <w:fldChar w:fldCharType="separate"/>
      </w:r>
      <w:r w:rsidR="00423F43">
        <w:rPr>
          <w:noProof/>
          <w:sz w:val="22"/>
          <w:szCs w:val="22"/>
          <w:lang w:eastAsia="zh-CN"/>
        </w:rPr>
        <w:t>[11]</w:t>
      </w:r>
      <w:r w:rsidR="003D58FF">
        <w:rPr>
          <w:sz w:val="22"/>
          <w:szCs w:val="22"/>
          <w:lang w:eastAsia="zh-CN"/>
        </w:rPr>
        <w:fldChar w:fldCharType="end"/>
      </w:r>
      <w:r w:rsidR="00423F43">
        <w:rPr>
          <w:sz w:val="22"/>
          <w:szCs w:val="22"/>
          <w:lang w:eastAsia="zh-CN"/>
        </w:rPr>
        <w:t xml:space="preserve"> </w:t>
      </w:r>
      <w:r w:rsidR="00245895" w:rsidRPr="00245895">
        <w:rPr>
          <w:sz w:val="22"/>
          <w:szCs w:val="22"/>
          <w:lang w:eastAsia="zh-CN"/>
        </w:rPr>
        <w:t>and on prior applications to SARS‐CoV-2 variant growth</w:t>
      </w:r>
      <w:r w:rsidR="00847435">
        <w:rPr>
          <w:sz w:val="22"/>
          <w:szCs w:val="22"/>
          <w:lang w:eastAsia="zh-CN"/>
        </w:rPr>
        <w:t xml:space="preserve"> </w:t>
      </w:r>
      <w:r w:rsidR="00847435">
        <w:rPr>
          <w:sz w:val="22"/>
          <w:szCs w:val="22"/>
          <w:lang w:eastAsia="zh-CN"/>
        </w:rPr>
        <w:fldChar w:fldCharType="begin"/>
      </w:r>
      <w:r w:rsidR="00847435">
        <w:rPr>
          <w:sz w:val="22"/>
          <w:szCs w:val="22"/>
          <w:lang w:eastAsia="zh-CN"/>
        </w:rPr>
        <w:instrText xml:space="preserve"> ADDIN ZOTERO_ITEM CSL_CITATION {"citationID":"o2epzz4E","properties":{"formattedCitation":"[12]","plainCitation":"[12]","noteIndex":0},"citationItems":[{"id":584,"uris":["http://zotero.org/users/14790911/items/KGB6LWRM"],"itemData":{"id":584,"type":"article-journal","abstract":"The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Pr>
          <w:sz w:val="22"/>
          <w:szCs w:val="22"/>
          <w:lang w:eastAsia="zh-CN"/>
        </w:rPr>
        <w:fldChar w:fldCharType="separate"/>
      </w:r>
      <w:r w:rsidR="00847435">
        <w:rPr>
          <w:noProof/>
          <w:sz w:val="22"/>
          <w:szCs w:val="22"/>
          <w:lang w:eastAsia="zh-CN"/>
        </w:rPr>
        <w:t>[12]</w:t>
      </w:r>
      <w:r w:rsidR="00847435">
        <w:rPr>
          <w:sz w:val="22"/>
          <w:szCs w:val="22"/>
          <w:lang w:eastAsia="zh-CN"/>
        </w:rPr>
        <w:fldChar w:fldCharType="end"/>
      </w:r>
      <w:r w:rsidR="00245895" w:rsidRPr="00245895">
        <w:rPr>
          <w:sz w:val="22"/>
          <w:szCs w:val="22"/>
          <w:lang w:eastAsia="zh-CN"/>
        </w:rPr>
        <w:t>, yielding a compact set of metrics that capture level, variability, early acceleration, and persistence.</w:t>
      </w:r>
    </w:p>
    <w:p w14:paraId="52708E8D" w14:textId="77777777" w:rsidR="003060A7" w:rsidRDefault="003060A7" w:rsidP="007C287D">
      <w:pPr>
        <w:pStyle w:val="BodyText"/>
        <w:spacing w:line="276" w:lineRule="auto"/>
        <w:jc w:val="both"/>
        <w:rPr>
          <w:sz w:val="22"/>
          <w:szCs w:val="22"/>
          <w:lang w:eastAsia="zh-CN"/>
        </w:rPr>
      </w:pPr>
    </w:p>
    <w:p w14:paraId="6D57C2C5" w14:textId="28162168" w:rsidR="00CF454E" w:rsidRDefault="00243C06" w:rsidP="007C287D">
      <w:pPr>
        <w:pStyle w:val="BodyText"/>
        <w:spacing w:line="276" w:lineRule="auto"/>
        <w:jc w:val="both"/>
        <w:rPr>
          <w:sz w:val="22"/>
          <w:szCs w:val="22"/>
          <w:lang w:eastAsia="zh-CN"/>
        </w:rPr>
      </w:pPr>
      <w:r w:rsidRPr="00243C06">
        <w:rPr>
          <w:sz w:val="22"/>
          <w:szCs w:val="22"/>
          <w:lang w:eastAsia="zh-CN"/>
        </w:rPr>
        <w:t xml:space="preserve">We benchmarked a diverse set of modeling paradigms under leave-one-out cross-validation—comparing RMSE, MAE, and R²—to identify the most reliable predictor of variant peak share. First, tree-based ensembles—including </w:t>
      </w:r>
      <w:proofErr w:type="spellStart"/>
      <w:r w:rsidRPr="00243C06">
        <w:rPr>
          <w:sz w:val="22"/>
          <w:szCs w:val="22"/>
          <w:lang w:eastAsia="zh-CN"/>
        </w:rPr>
        <w:t>XGBoost</w:t>
      </w:r>
      <w:proofErr w:type="spellEnd"/>
      <w:r w:rsidRPr="00243C06">
        <w:rPr>
          <w:sz w:val="22"/>
          <w:szCs w:val="22"/>
          <w:lang w:eastAsia="zh-CN"/>
        </w:rPr>
        <w:t xml:space="preserve"> </w:t>
      </w:r>
      <w:r w:rsidR="009E3D48">
        <w:rPr>
          <w:sz w:val="22"/>
          <w:szCs w:val="22"/>
          <w:lang w:eastAsia="zh-CN"/>
        </w:rPr>
        <w:fldChar w:fldCharType="begin"/>
      </w:r>
      <w:r w:rsidR="009E3D48">
        <w:rPr>
          <w:sz w:val="22"/>
          <w:szCs w:val="22"/>
          <w:lang w:eastAsia="zh-CN"/>
        </w:rPr>
        <w:instrText xml:space="preserve"> ADDIN ZOTERO_ITEM CSL_CITATION {"citationID":"xSQlZahs","properties":{"formattedCitation":"[13]","plainCitation":"[13]","noteIndex":0},"citationItems":[{"id":589,"uris":["http://zotero.org/users/14790911/items/7ZULDUBY"],"itemData":{"id":589,"type":"paper-conference","abstract":"Tree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2025",7,17]]},"issued":{"date-parts":[["2016",8,13]]}}}],"schema":"https://github.com/citation-style-language/schema/raw/master/csl-citation.json"} </w:instrText>
      </w:r>
      <w:r w:rsidR="009E3D48">
        <w:rPr>
          <w:sz w:val="22"/>
          <w:szCs w:val="22"/>
          <w:lang w:eastAsia="zh-CN"/>
        </w:rPr>
        <w:fldChar w:fldCharType="separate"/>
      </w:r>
      <w:r w:rsidR="009E3D48">
        <w:rPr>
          <w:noProof/>
          <w:sz w:val="22"/>
          <w:szCs w:val="22"/>
          <w:lang w:eastAsia="zh-CN"/>
        </w:rPr>
        <w:t>[13]</w:t>
      </w:r>
      <w:r w:rsidR="009E3D48">
        <w:rPr>
          <w:sz w:val="22"/>
          <w:szCs w:val="22"/>
          <w:lang w:eastAsia="zh-CN"/>
        </w:rPr>
        <w:fldChar w:fldCharType="end"/>
      </w:r>
      <w:r w:rsidRPr="00243C06">
        <w:rPr>
          <w:sz w:val="22"/>
          <w:szCs w:val="22"/>
          <w:lang w:eastAsia="zh-CN"/>
        </w:rPr>
        <w:t>, Random Forest</w:t>
      </w:r>
      <w:r w:rsidR="00E56B61">
        <w:rPr>
          <w:sz w:val="22"/>
          <w:szCs w:val="22"/>
          <w:lang w:eastAsia="zh-CN"/>
        </w:rPr>
        <w:t xml:space="preserve"> </w:t>
      </w:r>
      <w:r w:rsidR="00E56B61">
        <w:rPr>
          <w:sz w:val="22"/>
          <w:szCs w:val="22"/>
          <w:lang w:eastAsia="zh-CN"/>
        </w:rPr>
        <w:fldChar w:fldCharType="begin"/>
      </w:r>
      <w:r w:rsidR="00E56B61">
        <w:rPr>
          <w:sz w:val="22"/>
          <w:szCs w:val="22"/>
          <w:lang w:eastAsia="zh-CN"/>
        </w:rPr>
        <w:instrText xml:space="preserve"> ADDIN ZOTERO_ITEM CSL_CITATION {"citationID":"gj2fAJtj","properties":{"formattedCitation":"[14]","plainCitation":"[14]","noteIndex":0},"citationItems":[{"id":596,"uris":["http://zotero.org/users/14790911/items/IBS3ND88"],"itemData":{"id":596,"type":"article-journal","abstract":"Random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E56B61">
        <w:rPr>
          <w:sz w:val="22"/>
          <w:szCs w:val="22"/>
          <w:lang w:eastAsia="zh-CN"/>
        </w:rPr>
        <w:fldChar w:fldCharType="separate"/>
      </w:r>
      <w:r w:rsidR="00E56B61">
        <w:rPr>
          <w:noProof/>
          <w:sz w:val="22"/>
          <w:szCs w:val="22"/>
          <w:lang w:eastAsia="zh-CN"/>
        </w:rPr>
        <w:t>[14]</w:t>
      </w:r>
      <w:r w:rsidR="00E56B61">
        <w:rPr>
          <w:sz w:val="22"/>
          <w:szCs w:val="22"/>
          <w:lang w:eastAsia="zh-CN"/>
        </w:rPr>
        <w:fldChar w:fldCharType="end"/>
      </w:r>
      <w:r w:rsidRPr="00243C06">
        <w:rPr>
          <w:sz w:val="22"/>
          <w:szCs w:val="22"/>
          <w:lang w:eastAsia="zh-CN"/>
        </w:rPr>
        <w:t xml:space="preserve">, and </w:t>
      </w:r>
      <w:proofErr w:type="spellStart"/>
      <w:r w:rsidRPr="00243C06">
        <w:rPr>
          <w:sz w:val="22"/>
          <w:szCs w:val="22"/>
          <w:lang w:eastAsia="zh-CN"/>
        </w:rPr>
        <w:t>LightGBM</w:t>
      </w:r>
      <w:proofErr w:type="spellEnd"/>
      <w:r w:rsidRPr="00243C06">
        <w:rPr>
          <w:sz w:val="22"/>
          <w:szCs w:val="22"/>
          <w:lang w:eastAsia="zh-CN"/>
        </w:rPr>
        <w:t xml:space="preserve"> </w:t>
      </w:r>
      <w:r w:rsidR="00BB6629">
        <w:rPr>
          <w:sz w:val="22"/>
          <w:szCs w:val="22"/>
          <w:lang w:eastAsia="zh-CN"/>
        </w:rPr>
        <w:fldChar w:fldCharType="begin"/>
      </w:r>
      <w:r w:rsidR="00BB6629">
        <w:rPr>
          <w:sz w:val="22"/>
          <w:szCs w:val="22"/>
          <w:lang w:eastAsia="zh-CN"/>
        </w:rPr>
        <w:instrText xml:space="preserve"> ADDIN ZOTERO_ITEM CSL_CITATION {"citationID":"wn7rOxU8","properties":{"formattedCitation":"[15]","plainCitation":"[15]","noteIndex":0},"citationItems":[{"id":598,"uris":["http://zotero.org/users/14790911/items/ELFEHPAY"],"itemData":{"id":598,"type":"paper-conference","abstract":"Gradient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Systems","event-place":"Red Hook, NY, USA","ISBN":"978-1-5108-6096-4","page":"3149–3157","publisher":"Curran Associates Inc.","publisher-place":"Red Hook, NY, USA","source":"ACM Digital Library","title":"LightGBM: a highly efficient gradient boosting decision tree","title-short":"LightGBM","author":[{"family":"Ke","given":"Guolin"},{"family":"Meng","given":"Qi"},{"family":"Finley","given":"Thomas"},{"family":"Wang","given":"Taifeng"},{"family":"Chen","given":"Wei"},{"family":"Ma","given":"Weidong"},{"family":"Ye","given":"Qiwei"},{"family":"Liu","given":"Tie-Yan"}],"accessed":{"date-parts":[["2025",7,16]]},"issued":{"date-parts":[["2017",12,4]]}}}],"schema":"https://github.com/citation-style-language/schema/raw/master/csl-citation.json"} </w:instrText>
      </w:r>
      <w:r w:rsidR="00BB6629">
        <w:rPr>
          <w:sz w:val="22"/>
          <w:szCs w:val="22"/>
          <w:lang w:eastAsia="zh-CN"/>
        </w:rPr>
        <w:fldChar w:fldCharType="separate"/>
      </w:r>
      <w:r w:rsidR="00BB6629">
        <w:rPr>
          <w:noProof/>
          <w:sz w:val="22"/>
          <w:szCs w:val="22"/>
          <w:lang w:eastAsia="zh-CN"/>
        </w:rPr>
        <w:t>[15]</w:t>
      </w:r>
      <w:r w:rsidR="00BB6629">
        <w:rPr>
          <w:sz w:val="22"/>
          <w:szCs w:val="22"/>
          <w:lang w:eastAsia="zh-CN"/>
        </w:rPr>
        <w:fldChar w:fldCharType="end"/>
      </w:r>
      <w:r w:rsidRPr="00243C06">
        <w:rPr>
          <w:sz w:val="22"/>
          <w:szCs w:val="22"/>
          <w:lang w:eastAsia="zh-CN"/>
        </w:rPr>
        <w:t>—flexibly capture complex nonlinear interactions via boosting or bagging. Second, the Bayesian nonparametric BART model builds probabilistic tree ensembles with inherent uncertainty quantification</w:t>
      </w:r>
      <w:r w:rsidR="00653434">
        <w:rPr>
          <w:sz w:val="22"/>
          <w:szCs w:val="22"/>
          <w:lang w:eastAsia="zh-CN"/>
        </w:rPr>
        <w:t xml:space="preserve"> </w:t>
      </w:r>
      <w:r w:rsidR="00653434">
        <w:rPr>
          <w:sz w:val="22"/>
          <w:szCs w:val="22"/>
          <w:lang w:eastAsia="zh-CN"/>
        </w:rPr>
        <w:fldChar w:fldCharType="begin"/>
      </w:r>
      <w:r w:rsidR="00653434">
        <w:rPr>
          <w:sz w:val="22"/>
          <w:szCs w:val="22"/>
          <w:lang w:eastAsia="zh-CN"/>
        </w:rPr>
        <w:instrText xml:space="preserve"> ADDIN ZOTERO_ITEM CSL_CITATION {"citationID":"EeQoTAjh","properties":{"formattedCitation":"[16]","plainCitation":"[16]","noteIndex":0},"citationItems":[{"id":599,"uris":["http://zotero.org/users/14790911/items/T6XKABTS"],"itemData":{"id":599,"type":"article-journal","abstract":"Bayesian additive regression trees (BART) is a flexible prediction model/machine learning approach that has gained widespread popularity in recent years. As BART becomes more mainstream, there is an increased need for a paper that walks readers through the details of BART, from what it is to why it works. This tutorial is aimed at providing such a resource. In addition to explaining the different components of BART using simple examples, we also discuss a framework, the General BART model, that unifies some of the recent BART extensions, including semiparametric models, correlated outcomes, statistical matching problems in surveys, and models with weaker distributional assumptions. By showing how these models fit into a single framework, we hope to demonstrate a simple way of applying BART to research problems that go beyond the original independent continuous or binary outcomes framework.","container-title":"Statistics in medicine","DOI":"10.1002/sim.8347","ISSN":"0277-6715","issue":"25","journalAbbreviation":"Stat Med","note":"PMID: 31460678\nPMCID: PMC6800811","page":"5048-5069","source":"PubMed Central","title":"Bayesian additive regression trees and the General BART model","volume":"38","author":[{"family":"Tan","given":"Yaoyuan Vincent"},{"family":"Roy","given":"Jason"}],"issued":{"date-parts":[["2019",11,10]]}}}],"schema":"https://github.com/citation-style-language/schema/raw/master/csl-citation.json"} </w:instrText>
      </w:r>
      <w:r w:rsidR="00653434">
        <w:rPr>
          <w:sz w:val="22"/>
          <w:szCs w:val="22"/>
          <w:lang w:eastAsia="zh-CN"/>
        </w:rPr>
        <w:fldChar w:fldCharType="separate"/>
      </w:r>
      <w:r w:rsidR="00653434">
        <w:rPr>
          <w:noProof/>
          <w:sz w:val="22"/>
          <w:szCs w:val="22"/>
          <w:lang w:eastAsia="zh-CN"/>
        </w:rPr>
        <w:t>[16]</w:t>
      </w:r>
      <w:r w:rsidR="00653434">
        <w:rPr>
          <w:sz w:val="22"/>
          <w:szCs w:val="22"/>
          <w:lang w:eastAsia="zh-CN"/>
        </w:rPr>
        <w:fldChar w:fldCharType="end"/>
      </w:r>
      <w:r w:rsidR="00653434">
        <w:rPr>
          <w:sz w:val="22"/>
          <w:szCs w:val="22"/>
          <w:lang w:eastAsia="zh-CN"/>
        </w:rPr>
        <w:t xml:space="preserve">. </w:t>
      </w:r>
      <w:r w:rsidRPr="00243C06">
        <w:rPr>
          <w:sz w:val="22"/>
          <w:szCs w:val="22"/>
          <w:lang w:eastAsia="zh-CN"/>
        </w:rPr>
        <w:t>Third, kernel and instance-based methods such as Support Vector Regression</w:t>
      </w:r>
      <w:r w:rsidR="005277CA">
        <w:rPr>
          <w:sz w:val="22"/>
          <w:szCs w:val="22"/>
          <w:lang w:eastAsia="zh-CN"/>
        </w:rPr>
        <w:t xml:space="preserve"> </w:t>
      </w:r>
      <w:r w:rsidR="005277CA">
        <w:rPr>
          <w:sz w:val="22"/>
          <w:szCs w:val="22"/>
          <w:lang w:eastAsia="zh-CN"/>
        </w:rPr>
        <w:fldChar w:fldCharType="begin"/>
      </w:r>
      <w:r w:rsidR="005277CA">
        <w:rPr>
          <w:sz w:val="22"/>
          <w:szCs w:val="22"/>
          <w:lang w:eastAsia="zh-CN"/>
        </w:rPr>
        <w:instrText xml:space="preserve"> ADDIN ZOTERO_ITEM CSL_CITATION {"citationID":"JcWNd1A4","properties":{"formattedCitation":"[17]","plainCitation":"[17]","noteIndex":0},"citationItems":[{"id":602,"uris":["http://zotero.org/users/14790911/items/7Q45KFZP"],"itemData":{"id":602,"type":"paper-conference","abstract":"A new regression technique based on Vapnik's concept of support vectors is introduced. We compare support vector regression (SVR) with a committee regression technique (bagging) based on regression trees and ridge regression done in feature space. On the basis of these experiments, it is expected that SVR will have advantages in high dimensionality space because SVR optimization does not depend on the dimensionality of the input space.","collection-title":"NIPS'96","container-title":"Proceedings of the 10th International Conference on Neural Information Processing Systems","event-place":"Cambridge, MA, USA","page":"155–161","publisher":"MIT Press","publisher-place":"Cambridge, MA, USA","source":"ACM Digital Library","title":"Support vector regression machines","author":[{"family":"Drucker","given":"Harris"},{"family":"Burges","given":"Chris J. C."},{"family":"Kaufman","given":"Linda"},{"family":"Smola","given":"Alex"},{"family":"Vapnik","given":"Vladimir"}],"accessed":{"date-parts":[["2025",7,16]]},"issued":{"date-parts":[["1996",12,3]]}}}],"schema":"https://github.com/citation-style-language/schema/raw/master/csl-citation.json"} </w:instrText>
      </w:r>
      <w:r w:rsidR="005277CA">
        <w:rPr>
          <w:sz w:val="22"/>
          <w:szCs w:val="22"/>
          <w:lang w:eastAsia="zh-CN"/>
        </w:rPr>
        <w:fldChar w:fldCharType="separate"/>
      </w:r>
      <w:r w:rsidR="005277CA">
        <w:rPr>
          <w:noProof/>
          <w:sz w:val="22"/>
          <w:szCs w:val="22"/>
          <w:lang w:eastAsia="zh-CN"/>
        </w:rPr>
        <w:t>[17]</w:t>
      </w:r>
      <w:r w:rsidR="005277CA">
        <w:rPr>
          <w:sz w:val="22"/>
          <w:szCs w:val="22"/>
          <w:lang w:eastAsia="zh-CN"/>
        </w:rPr>
        <w:fldChar w:fldCharType="end"/>
      </w:r>
      <w:r w:rsidRPr="00243C06">
        <w:rPr>
          <w:sz w:val="22"/>
          <w:szCs w:val="22"/>
          <w:lang w:eastAsia="zh-CN"/>
        </w:rPr>
        <w:t xml:space="preserve"> and k-Nearest Neighbors approximate nonlinear relationships through kernel transformations or local similarity measures without requiring explicit parametric forms. Finally, additive and regularized linear approaches—including MARS for spline-based piecewise linear fits</w:t>
      </w:r>
      <w:r w:rsidR="007E367D">
        <w:rPr>
          <w:sz w:val="22"/>
          <w:szCs w:val="22"/>
          <w:lang w:eastAsia="zh-CN"/>
        </w:rPr>
        <w:t xml:space="preserve"> </w:t>
      </w:r>
      <w:r w:rsidRPr="00243C06">
        <w:rPr>
          <w:sz w:val="22"/>
          <w:szCs w:val="22"/>
          <w:lang w:eastAsia="zh-CN"/>
        </w:rPr>
        <w:t xml:space="preserve">and penalized regressions (Ridge, Lasso, </w:t>
      </w:r>
      <w:proofErr w:type="spellStart"/>
      <w:r w:rsidRPr="00243C06">
        <w:rPr>
          <w:sz w:val="22"/>
          <w:szCs w:val="22"/>
          <w:lang w:eastAsia="zh-CN"/>
        </w:rPr>
        <w:t>ElasticNet</w:t>
      </w:r>
      <w:proofErr w:type="spellEnd"/>
      <w:r w:rsidRPr="00243C06">
        <w:rPr>
          <w:sz w:val="22"/>
          <w:szCs w:val="22"/>
          <w:lang w:eastAsia="zh-CN"/>
        </w:rPr>
        <w:t>) for bias–variance trade-off control and feature selection</w:t>
      </w:r>
      <w:r w:rsidR="007E367D">
        <w:rPr>
          <w:sz w:val="22"/>
          <w:szCs w:val="22"/>
          <w:lang w:eastAsia="zh-CN"/>
        </w:rPr>
        <w:t xml:space="preserve"> </w:t>
      </w:r>
      <w:r w:rsidRPr="00243C06">
        <w:rPr>
          <w:sz w:val="22"/>
          <w:szCs w:val="22"/>
          <w:lang w:eastAsia="zh-CN"/>
        </w:rPr>
        <w:t>—provide interpretable nonlinearity and embedded variable selection. This systematic comparison across paradigms confirms which modeling class most effectively predicts SARS-CoV-2 variant peak share across countries.</w:t>
      </w:r>
    </w:p>
    <w:p w14:paraId="5B94572C" w14:textId="77777777" w:rsidR="00243C06" w:rsidRDefault="00243C06" w:rsidP="007C287D">
      <w:pPr>
        <w:pStyle w:val="BodyText"/>
        <w:spacing w:line="276" w:lineRule="auto"/>
        <w:jc w:val="both"/>
        <w:rPr>
          <w:sz w:val="22"/>
          <w:szCs w:val="22"/>
          <w:lang w:eastAsia="zh-CN"/>
        </w:rPr>
      </w:pPr>
    </w:p>
    <w:p w14:paraId="621C8E98" w14:textId="0DA4F373" w:rsidR="008904DC" w:rsidRDefault="008904DC" w:rsidP="007C287D">
      <w:pPr>
        <w:pStyle w:val="BodyText"/>
        <w:spacing w:line="276" w:lineRule="auto"/>
        <w:jc w:val="both"/>
        <w:rPr>
          <w:sz w:val="22"/>
          <w:szCs w:val="22"/>
          <w:lang w:eastAsia="zh-CN"/>
        </w:rPr>
      </w:pPr>
      <w:bookmarkStart w:id="1" w:name="OLE_LINK1"/>
      <w:r w:rsidRPr="008904DC">
        <w:rPr>
          <w:sz w:val="22"/>
          <w:szCs w:val="22"/>
          <w:lang w:eastAsia="zh-CN"/>
        </w:rPr>
        <w:t xml:space="preserve">In the second stage, for each variant predicted to exceed a 50 % peak share, we estimate </w:t>
      </w:r>
      <w:proofErr w:type="spellStart"/>
      <w:r w:rsidRPr="008904DC">
        <w:rPr>
          <w:sz w:val="22"/>
          <w:szCs w:val="22"/>
          <w:lang w:eastAsia="zh-CN"/>
        </w:rPr>
        <w:t>its</w:t>
      </w:r>
      <w:proofErr w:type="spellEnd"/>
      <w:r w:rsidRPr="008904DC">
        <w:rPr>
          <w:sz w:val="22"/>
          <w:szCs w:val="22"/>
          <w:lang w:eastAsia="zh-CN"/>
        </w:rPr>
        <w:t xml:space="preserve"> time to dominance (TTD) by fitting a logistic growth curve to the first N days of its domestic‐share trajectory—where N is optimized per country to maximize predictive performance across that country’s dominant variants. The logistic model, extensively employed in epidemic analysis for its ability to capture an initial exponential phase, a well‐defined inflection point, and subsequent saturation, is defined as follows </w:t>
      </w:r>
      <w:r w:rsidR="00800B3E">
        <w:rPr>
          <w:sz w:val="22"/>
          <w:szCs w:val="22"/>
          <w:lang w:eastAsia="zh-CN"/>
        </w:rPr>
        <w:fldChar w:fldCharType="begin"/>
      </w:r>
      <w:r w:rsidR="004540D4">
        <w:rPr>
          <w:sz w:val="22"/>
          <w:szCs w:val="22"/>
          <w:lang w:eastAsia="zh-CN"/>
        </w:rPr>
        <w:instrText xml:space="preserve"> ADDIN ZOTERO_ITEM CSL_CITATION {"citationID":"RKbkG2lP","properties":{"formattedCitation":"[18], [19]","plainCitation":"[18], [19]","noteIndex":0},"citationItems":[{"id":606,"uris":["http://zotero.org/users/14790911/items/2QVYQGSM"],"itemData":{"id":606,"type":"article-journal","abstract":"In this article we use global and regional data from the SARS epidemic in conjunction with a model of susceptible, exposed, infective, diagnosed, and recovered classes of people (\"SEIJR\") to extract average properties and rate constants for those populations. The model is fitted to data from the Ontario (Toronto) in Canada, Hong Kong in China and Singapore outbreaks and predictions are made based on various assumptions and observations, including the current effect of isolating individuals diagnosed with SARS. The epidemic dynamics for Hong Kong and Singapore appear to be different from the dynamics in Toronto, Ontario. Toronto shows a very rapid increase in the number of cases between March 31st and April 6th, followed by a significant slowing in the number of new cases. We explain this as the result of an increase in the diagnostic rate and in the effectiveness of patient isolation after March 26th. Our best estimates are consistent with SARS eventually being contained in Toronto, although the time of containment is sensitive to the parameters in our model. It is shown that despite the empirically modeled heterogeneity in transmission, SARS' average reproductive number is 1.2, a value quite similar to that computed for some strains of influenza (J. Math. Biol. 27 (1989) 233). Although it would not be surprising to see levels of SARS infection higher than 10% in some regions of the world (if unchecked), lack of data and the observed heterogeneity and sensitivity of parameters prevent us from predicting the long-term impact of SARS. The possibility that 10 or more percent of the world population at risk could eventually be infected with the virus in conjunction with a mortality rate of 3-7% or more, and indications of significant improvement in Toronto support the stringent measures that have been taken to isolate diagnosed cases.","container-title":"Journal of Theoretical Biology","DOI":"10.1016/s0022-5193(03)00228-5","ISSN":"0022-5193","issue":"1","journalAbbreviation":"J Theor Biol","language":"eng","note":"PMID: 12900200\nPMCID: PMC7134599","page":"1-8","source":"PubMed","title":"SARS outbreaks in Ontario, Hong Kong and Singapore: the role of diagnosis and isolation as a control mechanism","title-short":"SARS outbreaks in Ontario, Hong Kong and Singapore","volume":"224","author":[{"family":"Chowell","given":"G."},{"family":"Fenimore","given":"P. W."},{"family":"Castillo-Garsow","given":"M. A."},{"family":"Castillo-Chavez","given":"C."}],"issued":{"date-parts":[["2003",9,7]]}}},{"id":603,"uris":["http://zotero.org/users/14790911/items/F9U83CPG"],"itemData":{"id":603,"type":"article-journal","abstract":"A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[18], [19]</w:t>
      </w:r>
      <w:r w:rsidR="00800B3E">
        <w:rPr>
          <w:sz w:val="22"/>
          <w:szCs w:val="22"/>
          <w:lang w:eastAsia="zh-CN"/>
        </w:rPr>
        <w:fldChar w:fldCharType="end"/>
      </w:r>
      <w:r w:rsidRPr="008904DC">
        <w:rPr>
          <w:sz w:val="22"/>
          <w:szCs w:val="22"/>
          <w:lang w:eastAsia="zh-CN"/>
        </w:rPr>
        <w:t>:</w:t>
      </w:r>
    </w:p>
    <w:bookmarkEnd w:id="1"/>
    <w:p w14:paraId="1F22C65A" w14:textId="6D82DBB8" w:rsidR="00967612" w:rsidRDefault="00D460CA" w:rsidP="00012339">
      <w:pPr>
        <w:pStyle w:val="BodyText"/>
        <w:spacing w:line="276" w:lineRule="auto"/>
        <w:jc w:val="both"/>
        <w:rPr>
          <w:sz w:val="22"/>
          <w:szCs w:val="22"/>
          <w:lang w:eastAsia="zh-CN"/>
        </w:rPr>
      </w:pPr>
      <m:oMathPara>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 xml:space="preserve">= </m:t>
          </m:r>
          <m:f>
            <m:fPr>
              <m:ctrlPr>
                <w:rPr>
                  <w:rFonts w:ascii="Cambria Math" w:hAnsi="Cambria Math"/>
                  <w:i/>
                  <w:sz w:val="22"/>
                  <w:szCs w:val="22"/>
                  <w:lang w:eastAsia="zh-CN"/>
                </w:rPr>
              </m:ctrlPr>
            </m:fPr>
            <m:num>
              <m:r>
                <w:rPr>
                  <w:rFonts w:ascii="Cambria Math" w:hAnsi="Cambria Math"/>
                  <w:sz w:val="22"/>
                  <w:szCs w:val="22"/>
                  <w:lang w:eastAsia="zh-CN"/>
                </w:rPr>
                <m:t>K</m:t>
              </m:r>
            </m:num>
            <m:den>
              <m:r>
                <w:rPr>
                  <w:rFonts w:ascii="Cambria Math" w:hAnsi="Cambria Math"/>
                  <w:sz w:val="22"/>
                  <w:szCs w:val="22"/>
                  <w:lang w:eastAsia="zh-CN"/>
                </w:rPr>
                <m:t xml:space="preserve">1+ </m:t>
              </m:r>
              <m:sSup>
                <m:sSupPr>
                  <m:ctrlPr>
                    <w:rPr>
                      <w:rFonts w:ascii="Cambria Math" w:hAnsi="Cambria Math"/>
                      <w:i/>
                      <w:sz w:val="22"/>
                      <w:szCs w:val="22"/>
                      <w:lang w:eastAsia="zh-CN"/>
                    </w:rPr>
                  </m:ctrlPr>
                </m:sSupPr>
                <m:e>
                  <m:r>
                    <w:rPr>
                      <w:rFonts w:ascii="Cambria Math" w:hAnsi="Cambria Math"/>
                      <w:sz w:val="22"/>
                      <w:szCs w:val="22"/>
                      <w:lang w:eastAsia="zh-CN"/>
                    </w:rPr>
                    <m:t>e</m:t>
                  </m:r>
                </m:e>
                <m:sup>
                  <m:r>
                    <w:rPr>
                      <w:rFonts w:ascii="Cambria Math" w:hAnsi="Cambria Math"/>
                      <w:sz w:val="22"/>
                      <w:szCs w:val="22"/>
                      <w:lang w:eastAsia="zh-CN"/>
                    </w:rPr>
                    <m:t>{-r</m:t>
                  </m:r>
                  <m:d>
                    <m:dPr>
                      <m:ctrlPr>
                        <w:rPr>
                          <w:rFonts w:ascii="Cambria Math" w:hAnsi="Cambria Math"/>
                          <w:i/>
                          <w:sz w:val="22"/>
                          <w:szCs w:val="22"/>
                          <w:lang w:eastAsia="zh-CN"/>
                        </w:rPr>
                      </m:ctrlPr>
                    </m:dPr>
                    <m:e>
                      <m:r>
                        <w:rPr>
                          <w:rFonts w:ascii="Cambria Math" w:hAnsi="Cambria Math"/>
                          <w:sz w:val="22"/>
                          <w:szCs w:val="22"/>
                          <w:lang w:eastAsia="zh-CN"/>
                        </w:rPr>
                        <m:t xml:space="preserve">t- </m:t>
                      </m:r>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e>
                  </m:d>
                  <m:r>
                    <w:rPr>
                      <w:rFonts w:ascii="Cambria Math" w:hAnsi="Cambria Math"/>
                      <w:sz w:val="22"/>
                      <w:szCs w:val="22"/>
                      <w:lang w:eastAsia="zh-CN"/>
                    </w:rPr>
                    <m:t>}</m:t>
                  </m:r>
                </m:sup>
              </m:sSup>
            </m:den>
          </m:f>
        </m:oMath>
      </m:oMathPara>
    </w:p>
    <w:p w14:paraId="31EF8AC0" w14:textId="1A4FAE3D" w:rsidR="00E76838" w:rsidRPr="00580117" w:rsidRDefault="00967612" w:rsidP="00580117">
      <w:pPr>
        <w:pStyle w:val="BodyText"/>
        <w:spacing w:line="276" w:lineRule="auto"/>
        <w:jc w:val="both"/>
        <w:rPr>
          <w:sz w:val="22"/>
          <w:szCs w:val="22"/>
          <w:lang w:eastAsia="zh-CN"/>
        </w:rPr>
      </w:pPr>
      <w:r w:rsidRPr="00967612">
        <w:rPr>
          <w:sz w:val="22"/>
          <w:szCs w:val="22"/>
          <w:lang w:eastAsia="zh-CN"/>
        </w:rPr>
        <w:t xml:space="preserve">where </w:t>
      </w:r>
      <m:oMath>
        <m:r>
          <w:rPr>
            <w:rFonts w:ascii="Cambria Math" w:hAnsi="Cambria Math"/>
            <w:sz w:val="22"/>
            <w:szCs w:val="22"/>
            <w:lang w:eastAsia="zh-CN"/>
          </w:rPr>
          <m:t>P(t)</m:t>
        </m:r>
      </m:oMath>
      <w:r w:rsidRPr="00967612">
        <w:rPr>
          <w:sz w:val="22"/>
          <w:szCs w:val="22"/>
          <w:lang w:eastAsia="zh-CN"/>
        </w:rPr>
        <w:t xml:space="preserve"> denotes the variant’s share at time </w:t>
      </w:r>
      <m:oMath>
        <m:r>
          <w:rPr>
            <w:rFonts w:ascii="Cambria Math" w:hAnsi="Cambria Math"/>
            <w:sz w:val="22"/>
            <w:szCs w:val="22"/>
            <w:lang w:eastAsia="zh-CN"/>
          </w:rPr>
          <m:t>t</m:t>
        </m:r>
      </m:oMath>
      <w:r w:rsidRPr="00967612">
        <w:rPr>
          <w:sz w:val="22"/>
          <w:szCs w:val="22"/>
          <w:lang w:eastAsia="zh-CN"/>
        </w:rPr>
        <w:t xml:space="preserve">, </w:t>
      </w:r>
      <m:oMath>
        <m:r>
          <w:rPr>
            <w:rFonts w:ascii="Cambria Math" w:hAnsi="Cambria Math"/>
            <w:sz w:val="22"/>
            <w:szCs w:val="22"/>
            <w:lang w:eastAsia="zh-CN"/>
          </w:rPr>
          <m:t>K</m:t>
        </m:r>
      </m:oMath>
      <w:r w:rsidRPr="00967612">
        <w:rPr>
          <w:sz w:val="22"/>
          <w:szCs w:val="22"/>
          <w:lang w:eastAsia="zh-CN"/>
        </w:rPr>
        <w:t xml:space="preserve"> the carrying capacity, </w:t>
      </w:r>
      <m:oMath>
        <m:r>
          <w:rPr>
            <w:rFonts w:ascii="Cambria Math" w:hAnsi="Cambria Math"/>
            <w:sz w:val="22"/>
            <w:szCs w:val="22"/>
            <w:lang w:eastAsia="zh-CN"/>
          </w:rPr>
          <m:t>r</m:t>
        </m:r>
      </m:oMath>
      <w:r w:rsidRPr="00967612">
        <w:rPr>
          <w:sz w:val="22"/>
          <w:szCs w:val="22"/>
          <w:lang w:eastAsia="zh-CN"/>
        </w:rPr>
        <w:t xml:space="preserve"> the intrinsic growth rate, and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Pr>
          <w:sz w:val="22"/>
          <w:szCs w:val="22"/>
          <w:lang w:eastAsia="zh-CN"/>
        </w:rPr>
        <w:t xml:space="preserve"> </w:t>
      </w:r>
      <w:r w:rsidRPr="00967612">
        <w:rPr>
          <w:sz w:val="22"/>
          <w:szCs w:val="22"/>
          <w:lang w:eastAsia="zh-CN"/>
        </w:rPr>
        <w:t xml:space="preserve"> the inflection time. Under this formulation—with </w:t>
      </w:r>
      <m:oMath>
        <m:r>
          <w:rPr>
            <w:rFonts w:ascii="Cambria Math" w:hAnsi="Cambria Math"/>
            <w:sz w:val="22"/>
            <w:szCs w:val="22"/>
            <w:lang w:eastAsia="zh-CN"/>
          </w:rPr>
          <m:t>K</m:t>
        </m:r>
      </m:oMath>
      <w:r w:rsidR="004239BB">
        <w:rPr>
          <w:sz w:val="22"/>
          <w:szCs w:val="22"/>
          <w:lang w:eastAsia="zh-CN"/>
        </w:rPr>
        <w:t xml:space="preserve"> </w:t>
      </w:r>
      <w:r w:rsidRPr="00967612">
        <w:rPr>
          <w:sz w:val="22"/>
          <w:szCs w:val="22"/>
          <w:lang w:eastAsia="zh-CN"/>
        </w:rPr>
        <w:t xml:space="preserve">normalized to 1—the solution to </w:t>
      </w:r>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=0.5</m:t>
        </m:r>
      </m:oMath>
      <w:r w:rsidR="004239BB">
        <w:rPr>
          <w:sz w:val="22"/>
          <w:szCs w:val="22"/>
          <w:lang w:eastAsia="zh-CN"/>
        </w:rPr>
        <w:t xml:space="preserve"> </w:t>
      </w:r>
      <w:r w:rsidRPr="00967612">
        <w:rPr>
          <w:sz w:val="22"/>
          <w:szCs w:val="22"/>
          <w:lang w:eastAsia="zh-CN"/>
        </w:rPr>
        <w:t>reduces to</w:t>
      </w:r>
      <w:r w:rsidR="004239BB">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t= t</m:t>
            </m:r>
          </m:e>
          <m:sub>
            <m:r>
              <w:rPr>
                <w:rFonts w:ascii="Cambria Math" w:hAnsi="Cambria Math"/>
                <w:sz w:val="22"/>
                <w:szCs w:val="22"/>
                <w:lang w:eastAsia="zh-CN"/>
              </w:rPr>
              <m:t>0</m:t>
            </m:r>
          </m:sub>
        </m:sSub>
      </m:oMath>
      <w:r w:rsidRPr="00967612">
        <w:rPr>
          <w:sz w:val="22"/>
          <w:szCs w:val="22"/>
          <w:lang w:eastAsia="zh-CN"/>
        </w:rPr>
        <w:t xml:space="preserve">, directly yielding the TTD. The model’s parsimony (only two free parameters, </w:t>
      </w:r>
      <m:oMath>
        <m:r>
          <w:rPr>
            <w:rFonts w:ascii="Cambria Math" w:hAnsi="Cambria Math"/>
            <w:sz w:val="22"/>
            <w:szCs w:val="22"/>
            <w:lang w:eastAsia="zh-CN"/>
          </w:rPr>
          <m:t>r</m:t>
        </m:r>
      </m:oMath>
      <w:r w:rsidRPr="00967612">
        <w:rPr>
          <w:sz w:val="22"/>
          <w:szCs w:val="22"/>
          <w:lang w:eastAsia="zh-CN"/>
        </w:rPr>
        <w:t xml:space="preserve"> and</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xml:space="preserve">) affords interpretable estimates of both takeover speed and timing, and empirical studies have demonstrated its robustness in the presence of surveillance noise </w:t>
      </w:r>
      <w:r w:rsidR="00800B3E">
        <w:rPr>
          <w:sz w:val="22"/>
          <w:szCs w:val="22"/>
          <w:lang w:eastAsia="zh-CN"/>
        </w:rPr>
        <w:fldChar w:fldCharType="begin"/>
      </w:r>
      <w:r w:rsidR="004540D4">
        <w:rPr>
          <w:sz w:val="22"/>
          <w:szCs w:val="22"/>
          <w:lang w:eastAsia="zh-CN"/>
        </w:rPr>
        <w:instrText xml:space="preserve"> ADDIN ZOTERO_ITEM CSL_CITATION {"citationID":"Y3exuvkn","properties":{"formattedCitation":"[19]","plainCitation":"[19]","noteIndex":0},"citationItems":[{"id":603,"uris":["http://zotero.org/users/14790911/items/F9U83CPG"],"itemData":{"id":603,"type":"article-journal","abstract":"A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[19]</w:t>
      </w:r>
      <w:r w:rsidR="00800B3E">
        <w:rPr>
          <w:sz w:val="22"/>
          <w:szCs w:val="22"/>
          <w:lang w:eastAsia="zh-CN"/>
        </w:rPr>
        <w:fldChar w:fldCharType="end"/>
      </w:r>
      <w:r w:rsidRPr="00967612">
        <w:rPr>
          <w:sz w:val="22"/>
          <w:szCs w:val="22"/>
          <w:lang w:eastAsia="zh-CN"/>
        </w:rPr>
        <w:t>.</w:t>
      </w:r>
      <w:r w:rsidR="00012339">
        <w:rPr>
          <w:sz w:val="22"/>
          <w:szCs w:val="22"/>
          <w:lang w:eastAsia="zh-CN"/>
        </w:rPr>
        <w:t xml:space="preserve"> </w:t>
      </w:r>
    </w:p>
    <w:p w14:paraId="6A84547B" w14:textId="718C8F80" w:rsidR="00E76838" w:rsidRDefault="00580117" w:rsidP="00580117">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lastRenderedPageBreak/>
        <w:drawing>
          <wp:inline distT="0" distB="0" distL="0" distR="0" wp14:anchorId="386A0DC6" wp14:editId="7205E832">
            <wp:extent cx="5702230" cy="2322415"/>
            <wp:effectExtent l="0" t="0" r="635" b="1905"/>
            <wp:docPr id="82211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235" name="Picture 822115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719" cy="2341756"/>
                    </a:xfrm>
                    <a:prstGeom prst="rect">
                      <a:avLst/>
                    </a:prstGeom>
                  </pic:spPr>
                </pic:pic>
              </a:graphicData>
            </a:graphic>
          </wp:inline>
        </w:drawing>
      </w:r>
    </w:p>
    <w:p w14:paraId="00F082ED" w14:textId="62CFDA9E" w:rsidR="00534FC1" w:rsidRDefault="00E44972" w:rsidP="00FA7F1A">
      <w:pPr>
        <w:pStyle w:val="BodyText"/>
        <w:spacing w:line="276" w:lineRule="auto"/>
        <w:ind w:left="0"/>
        <w:jc w:val="both"/>
        <w:rPr>
          <w:sz w:val="22"/>
          <w:szCs w:val="22"/>
          <w:lang w:eastAsia="zh-CN"/>
        </w:rPr>
      </w:pPr>
      <w:r w:rsidRPr="00E44972">
        <w:rPr>
          <w:rFonts w:eastAsiaTheme="minorEastAsia"/>
          <w:sz w:val="22"/>
          <w:szCs w:val="22"/>
          <w:lang w:eastAsia="ko-KR"/>
        </w:rPr>
        <w:t>Figure 2. Workflow for predictive modeling of variant peak share and time-to-dominance.</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B30C89">
        <w:trPr>
          <w:trHeight w:val="100"/>
        </w:trPr>
        <w:tc>
          <w:tcPr>
            <w:tcW w:w="1300" w:type="dxa"/>
            <w:tcBorders>
              <w:top w:val="nil"/>
              <w:left w:val="nil"/>
              <w:bottom w:val="nil"/>
              <w:right w:val="nil"/>
            </w:tcBorders>
            <w:shd w:val="clear" w:color="auto" w:fill="auto"/>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shd w:val="clear" w:color="auto" w:fill="auto"/>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shd w:val="clear" w:color="auto" w:fill="auto"/>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E850217" w14:textId="2165CE6B" w:rsidR="00B30C89" w:rsidRDefault="00B30C89" w:rsidP="00D25F77">
      <w:pPr>
        <w:pStyle w:val="BodyText"/>
        <w:spacing w:line="276" w:lineRule="auto"/>
        <w:ind w:left="0"/>
        <w:jc w:val="both"/>
        <w:rPr>
          <w:rFonts w:eastAsiaTheme="minorEastAsia"/>
          <w:sz w:val="22"/>
          <w:szCs w:val="22"/>
          <w:lang w:eastAsia="ko-KR"/>
        </w:rPr>
      </w:pPr>
      <w:r w:rsidRPr="00B30C89">
        <w:rPr>
          <w:rFonts w:eastAsiaTheme="minorEastAsia"/>
          <w:sz w:val="22"/>
          <w:szCs w:val="22"/>
          <w:lang w:eastAsia="ko-KR"/>
        </w:rPr>
        <w:t>Table 2 summarize</w:t>
      </w:r>
      <w:r w:rsidR="00CD3BF7">
        <w:rPr>
          <w:rFonts w:eastAsiaTheme="minorEastAsia"/>
          <w:sz w:val="22"/>
          <w:szCs w:val="22"/>
          <w:lang w:eastAsia="ko-KR"/>
        </w:rPr>
        <w:t>s</w:t>
      </w:r>
      <w:r w:rsidRPr="00B30C89">
        <w:rPr>
          <w:rFonts w:eastAsiaTheme="minorEastAsia"/>
          <w:sz w:val="22"/>
          <w:szCs w:val="22"/>
          <w:lang w:eastAsia="ko-KR"/>
        </w:rPr>
        <w:t xml:space="preserve"> the performance of our machine learning models in predicting the peak domestic share for 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w:t>
      </w:r>
      <w:proofErr w:type="spellStart"/>
      <w:r w:rsidRPr="00B30C89">
        <w:rPr>
          <w:rFonts w:eastAsiaTheme="minorEastAsia"/>
          <w:sz w:val="22"/>
          <w:szCs w:val="22"/>
          <w:lang w:eastAsia="ko-KR"/>
        </w:rPr>
        <w:t>XGBoost</w:t>
      </w:r>
      <w:proofErr w:type="spellEnd"/>
      <w:r w:rsidRPr="00B30C89">
        <w:rPr>
          <w:rFonts w:eastAsiaTheme="minorEastAsia"/>
          <w:sz w:val="22"/>
          <w:szCs w:val="22"/>
          <w:lang w:eastAsia="ko-KR"/>
        </w:rPr>
        <w:t xml:space="preserve"> with a 28-day input window was optimal, achieving R² = 0.84.</w:t>
      </w:r>
      <w:r>
        <w:rPr>
          <w:rFonts w:eastAsiaTheme="minorEastAsia"/>
          <w:sz w:val="22"/>
          <w:szCs w:val="22"/>
          <w:lang w:eastAsia="ko-KR"/>
        </w:rPr>
        <w:t xml:space="preserve"> </w:t>
      </w:r>
    </w:p>
    <w:p w14:paraId="61D0F702" w14:textId="44FBA505" w:rsidR="00CD3BF7" w:rsidRDefault="00CD3BF7" w:rsidP="00D25F77">
      <w:pPr>
        <w:pStyle w:val="BodyText"/>
        <w:spacing w:line="276" w:lineRule="auto"/>
        <w:ind w:left="0"/>
        <w:jc w:val="both"/>
        <w:rPr>
          <w:rFonts w:eastAsiaTheme="minorEastAsia"/>
          <w:sz w:val="22"/>
          <w:szCs w:val="22"/>
          <w:lang w:eastAsia="ko-KR"/>
        </w:rPr>
      </w:pPr>
    </w:p>
    <w:p w14:paraId="02096663" w14:textId="3A3492B2" w:rsidR="00444F62" w:rsidRDefault="000C7544" w:rsidP="000C7544">
      <w:pPr>
        <w:pStyle w:val="BodyText"/>
        <w:spacing w:line="276" w:lineRule="auto"/>
        <w:ind w:left="0"/>
        <w:jc w:val="both"/>
        <w:rPr>
          <w:rFonts w:eastAsiaTheme="minorEastAsia"/>
          <w:sz w:val="22"/>
          <w:szCs w:val="22"/>
          <w:lang w:eastAsia="ko-KR"/>
        </w:rPr>
      </w:pPr>
      <w:r w:rsidRPr="000C7544">
        <w:rPr>
          <w:rFonts w:eastAsiaTheme="minorEastAsia"/>
          <w:sz w:val="22"/>
          <w:szCs w:val="22"/>
          <w:lang w:eastAsia="ko-KR"/>
        </w:rPr>
        <w:t xml:space="preserve">Figure </w:t>
      </w:r>
      <w:r>
        <w:rPr>
          <w:rFonts w:eastAsiaTheme="minorEastAsia"/>
          <w:sz w:val="22"/>
          <w:szCs w:val="22"/>
          <w:lang w:eastAsia="ko-KR"/>
        </w:rPr>
        <w:t>3</w:t>
      </w:r>
      <w:r w:rsidRPr="000C7544">
        <w:rPr>
          <w:rFonts w:eastAsiaTheme="minorEastAsia"/>
          <w:sz w:val="22"/>
          <w:szCs w:val="22"/>
          <w:lang w:eastAsia="ko-KR"/>
        </w:rPr>
        <w:t xml:space="preserve"> depicts model performance over time for the United States, United Kingdom, and South Korea at the variant level. In the United States, </w:t>
      </w:r>
      <w:proofErr w:type="gramStart"/>
      <w:r w:rsidR="00242BFE" w:rsidRPr="000C7544">
        <w:rPr>
          <w:rFonts w:eastAsiaTheme="minorEastAsia"/>
          <w:sz w:val="22"/>
          <w:szCs w:val="22"/>
          <w:lang w:eastAsia="ko-KR"/>
        </w:rPr>
        <w:t>early</w:t>
      </w:r>
      <w:r w:rsidR="00242BFE">
        <w:rPr>
          <w:rFonts w:eastAsiaTheme="minorEastAsia" w:hint="eastAsia"/>
          <w:sz w:val="22"/>
          <w:szCs w:val="22"/>
          <w:lang w:eastAsia="zh-CN"/>
        </w:rPr>
        <w:t>-</w:t>
      </w:r>
      <w:r w:rsidR="00242BFE" w:rsidRPr="000C7544">
        <w:rPr>
          <w:rFonts w:eastAsiaTheme="minorEastAsia"/>
          <w:sz w:val="22"/>
          <w:szCs w:val="22"/>
          <w:lang w:eastAsia="ko-KR"/>
        </w:rPr>
        <w:t>pandemic</w:t>
      </w:r>
      <w:proofErr w:type="gramEnd"/>
      <w:r w:rsidRPr="000C7544">
        <w:rPr>
          <w:rFonts w:eastAsiaTheme="minorEastAsia"/>
          <w:sz w:val="22"/>
          <w:szCs w:val="22"/>
          <w:lang w:eastAsia="ko-KR"/>
        </w:rPr>
        <w:t xml:space="preserve"> variants (e.g., B.1 and Q/B.1.1.7) and recent Omicron </w:t>
      </w:r>
      <w:proofErr w:type="spellStart"/>
      <w:r w:rsidRPr="000C7544">
        <w:rPr>
          <w:rFonts w:eastAsiaTheme="minorEastAsia"/>
          <w:sz w:val="22"/>
          <w:szCs w:val="22"/>
          <w:lang w:eastAsia="ko-KR"/>
        </w:rPr>
        <w:t>sublineages</w:t>
      </w:r>
      <w:proofErr w:type="spellEnd"/>
      <w:r w:rsidRPr="000C7544">
        <w:rPr>
          <w:rFonts w:eastAsiaTheme="minorEastAsia"/>
          <w:sz w:val="22"/>
          <w:szCs w:val="22"/>
          <w:lang w:eastAsia="ko-KR"/>
        </w:rPr>
        <w:t xml:space="preserve"> (e.g., JN.1 and XBB.1.5) were the hardest to predict, with MAE values exceeding 20%, indicating notable instability during those periods. By contrast, in South Korea, </w:t>
      </w:r>
      <w:proofErr w:type="spellStart"/>
      <w:r w:rsidRPr="000C7544">
        <w:rPr>
          <w:rFonts w:eastAsiaTheme="minorEastAsia"/>
          <w:sz w:val="22"/>
          <w:szCs w:val="22"/>
          <w:lang w:eastAsia="ko-KR"/>
        </w:rPr>
        <w:t>XGBoost</w:t>
      </w:r>
      <w:proofErr w:type="spellEnd"/>
      <w:r w:rsidRPr="000C7544">
        <w:rPr>
          <w:rFonts w:eastAsiaTheme="minorEastAsia"/>
          <w:sz w:val="22"/>
          <w:szCs w:val="22"/>
          <w:lang w:eastAsia="ko-KR"/>
        </w:rPr>
        <w:t xml:space="preserve"> achieved consistently high accuracy across all variants. In the United Kingdom, even the best-performing random forest model yielded persistently elevated errors for specific variants throughout the study.</w:t>
      </w:r>
    </w:p>
    <w:p w14:paraId="3467E17B" w14:textId="77777777" w:rsidR="000C7544" w:rsidRDefault="000C7544" w:rsidP="000C7544">
      <w:pPr>
        <w:pStyle w:val="BodyText"/>
        <w:spacing w:line="276" w:lineRule="auto"/>
        <w:ind w:left="0"/>
        <w:rPr>
          <w:rFonts w:eastAsiaTheme="minorEastAsia"/>
          <w:sz w:val="22"/>
          <w:szCs w:val="22"/>
          <w:lang w:eastAsia="ko-KR"/>
        </w:rPr>
      </w:pPr>
    </w:p>
    <w:p w14:paraId="2DD78152" w14:textId="43EE7269" w:rsidR="00D25F77" w:rsidRDefault="00D25F77"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ko-KR"/>
          <w14:ligatures w14:val="standardContextual"/>
        </w:rPr>
        <w:lastRenderedPageBreak/>
        <w:drawing>
          <wp:inline distT="0" distB="0" distL="0" distR="0" wp14:anchorId="04ADC064" wp14:editId="17602DF4">
            <wp:extent cx="5156200" cy="3800252"/>
            <wp:effectExtent l="0" t="0" r="0" b="0"/>
            <wp:docPr id="1118259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59152" name="Picture 11182591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6855" cy="3808105"/>
                    </a:xfrm>
                    <a:prstGeom prst="rect">
                      <a:avLst/>
                    </a:prstGeom>
                  </pic:spPr>
                </pic:pic>
              </a:graphicData>
            </a:graphic>
          </wp:inline>
        </w:drawing>
      </w:r>
    </w:p>
    <w:p w14:paraId="3F88F863" w14:textId="77777777" w:rsidR="00D25F77" w:rsidRDefault="00D25F77" w:rsidP="00D25F77">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 Model performance for predicting the peak domestic share in the United States, United Kingdom, and South Korea, as evaluated by leave-one-out cross-validation (LOOCV).</w:t>
      </w:r>
    </w:p>
    <w:p w14:paraId="19078CBB" w14:textId="77777777" w:rsidR="00C325AF" w:rsidRDefault="00C325AF" w:rsidP="0052192E">
      <w:pPr>
        <w:pStyle w:val="BodyText"/>
        <w:spacing w:line="276" w:lineRule="auto"/>
        <w:ind w:left="0"/>
        <w:jc w:val="both"/>
        <w:rPr>
          <w:rFonts w:eastAsiaTheme="minorEastAsia"/>
          <w:b/>
          <w:bCs/>
          <w:sz w:val="22"/>
          <w:szCs w:val="22"/>
          <w:lang w:eastAsia="zh-CN"/>
        </w:rPr>
      </w:pPr>
    </w:p>
    <w:p w14:paraId="55E44A39" w14:textId="33824740" w:rsidR="009F4686" w:rsidRDefault="00D7274A"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27F4363F" wp14:editId="36723DF7">
            <wp:extent cx="5048250" cy="3365500"/>
            <wp:effectExtent l="0" t="0" r="6350" b="0"/>
            <wp:docPr id="14362274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7443"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7121" cy="3384747"/>
                    </a:xfrm>
                    <a:prstGeom prst="rect">
                      <a:avLst/>
                    </a:prstGeom>
                  </pic:spPr>
                </pic:pic>
              </a:graphicData>
            </a:graphic>
          </wp:inline>
        </w:drawing>
      </w:r>
    </w:p>
    <w:p w14:paraId="75AC8188" w14:textId="38EFA3CC" w:rsidR="00860F1C" w:rsidRDefault="00860F1C" w:rsidP="0052192E">
      <w:pPr>
        <w:pStyle w:val="BodyText"/>
        <w:spacing w:line="276" w:lineRule="auto"/>
        <w:ind w:left="0"/>
        <w:jc w:val="both"/>
        <w:rPr>
          <w:rFonts w:eastAsiaTheme="minorEastAsia"/>
          <w:sz w:val="22"/>
          <w:szCs w:val="22"/>
          <w:lang w:eastAsia="ko-KR"/>
        </w:rPr>
      </w:pPr>
      <w:r w:rsidRPr="00860F1C">
        <w:rPr>
          <w:rFonts w:eastAsiaTheme="minorEastAsia"/>
          <w:sz w:val="22"/>
          <w:szCs w:val="22"/>
          <w:lang w:eastAsia="ko-KR"/>
        </w:rPr>
        <w:t xml:space="preserve">Figure 3. Absolute prediction errors by variant wave start date for each country (rows) and model (columns). Black dots are normal errors; red triangles mark outliers above the MAE threshold (red line). Vertical dashed lines denote successive waves. Models shown: </w:t>
      </w:r>
      <w:proofErr w:type="spellStart"/>
      <w:r w:rsidRPr="00860F1C">
        <w:rPr>
          <w:rFonts w:eastAsiaTheme="minorEastAsia"/>
          <w:sz w:val="22"/>
          <w:szCs w:val="22"/>
          <w:lang w:eastAsia="ko-KR"/>
        </w:rPr>
        <w:t>LightGBM</w:t>
      </w:r>
      <w:proofErr w:type="spellEnd"/>
      <w:r w:rsidRPr="00860F1C">
        <w:rPr>
          <w:rFonts w:eastAsiaTheme="minorEastAsia"/>
          <w:sz w:val="22"/>
          <w:szCs w:val="22"/>
          <w:lang w:eastAsia="ko-KR"/>
        </w:rPr>
        <w:t xml:space="preserve">, Random Forest, and </w:t>
      </w:r>
      <w:proofErr w:type="spellStart"/>
      <w:r w:rsidRPr="00860F1C">
        <w:rPr>
          <w:rFonts w:eastAsiaTheme="minorEastAsia"/>
          <w:sz w:val="22"/>
          <w:szCs w:val="22"/>
          <w:lang w:eastAsia="ko-KR"/>
        </w:rPr>
        <w:t>XGBoost</w:t>
      </w:r>
      <w:proofErr w:type="spellEnd"/>
      <w:r w:rsidRPr="00860F1C">
        <w:rPr>
          <w:rFonts w:eastAsiaTheme="minorEastAsia"/>
          <w:sz w:val="22"/>
          <w:szCs w:val="22"/>
          <w:lang w:eastAsia="ko-KR"/>
        </w:rPr>
        <w:t xml:space="preserve"> for South Korea (top), the United Kingdom (middle), and the United States (bottom).</w:t>
      </w:r>
    </w:p>
    <w:p w14:paraId="744954AD" w14:textId="77777777" w:rsidR="00860F1C" w:rsidRDefault="00860F1C" w:rsidP="0052192E">
      <w:pPr>
        <w:pStyle w:val="BodyText"/>
        <w:spacing w:line="276" w:lineRule="auto"/>
        <w:ind w:left="0"/>
        <w:jc w:val="both"/>
        <w:rPr>
          <w:rFonts w:eastAsiaTheme="minorEastAsia"/>
          <w:b/>
          <w:bCs/>
          <w:sz w:val="22"/>
          <w:szCs w:val="22"/>
          <w:lang w:eastAsia="ko-KR"/>
        </w:rPr>
      </w:pPr>
    </w:p>
    <w:p w14:paraId="36533BD5" w14:textId="77777777" w:rsidR="001E15E1" w:rsidRDefault="001E15E1" w:rsidP="0052192E">
      <w:pPr>
        <w:pStyle w:val="BodyText"/>
        <w:spacing w:line="276" w:lineRule="auto"/>
        <w:ind w:left="0"/>
        <w:jc w:val="both"/>
        <w:rPr>
          <w:rFonts w:eastAsiaTheme="minorEastAsia"/>
          <w:b/>
          <w:bCs/>
          <w:sz w:val="22"/>
          <w:szCs w:val="22"/>
          <w:lang w:eastAsia="ko-KR"/>
        </w:rPr>
      </w:pPr>
    </w:p>
    <w:p w14:paraId="304634A8" w14:textId="77777777" w:rsidR="0099554C" w:rsidRPr="0099554C" w:rsidRDefault="0099554C" w:rsidP="0099554C">
      <w:pPr>
        <w:pStyle w:val="BodyText"/>
        <w:spacing w:line="276" w:lineRule="auto"/>
        <w:jc w:val="both"/>
        <w:rPr>
          <w:rFonts w:eastAsiaTheme="minorEastAsia"/>
          <w:sz w:val="22"/>
          <w:szCs w:val="22"/>
          <w:lang w:eastAsia="ko-KR"/>
        </w:rPr>
      </w:pPr>
      <w:r w:rsidRPr="0099554C">
        <w:rPr>
          <w:rFonts w:eastAsiaTheme="minorEastAsia"/>
          <w:sz w:val="22"/>
          <w:szCs w:val="22"/>
          <w:lang w:eastAsia="ko-KR"/>
        </w:rPr>
        <w:lastRenderedPageBreak/>
        <w:t>With respect to TTD prediction, we first identified each country’s dominant SARS-CoV-2 lineages. In the United States, the five principal variants—B.1, BA.2, BG (BA.2.12.1), Q (B.1.1.7), and XBB.1.5—exhibited TTDs of 105, 49, 58, 75, and 62 days, respectively. In the United Kingdom, AY.4, B.1.1, BA.2, Q (B.1.1.7), and JN.1 had TTDs of 30, 85, 44, 54, and 75 days, respectively. In South Korea, the three dominant lineages—AY.69, BA.1.1, and HK.3—demonstrated TTDs of 47, 30, and 83 days, respectively.</w:t>
      </w:r>
    </w:p>
    <w:p w14:paraId="105ECF4D" w14:textId="77777777" w:rsidR="0099554C" w:rsidRPr="0099554C" w:rsidRDefault="0099554C" w:rsidP="0099554C">
      <w:pPr>
        <w:pStyle w:val="BodyText"/>
        <w:spacing w:line="276" w:lineRule="auto"/>
        <w:jc w:val="both"/>
        <w:rPr>
          <w:rFonts w:eastAsiaTheme="minorEastAsia"/>
          <w:sz w:val="22"/>
          <w:szCs w:val="22"/>
          <w:lang w:eastAsia="ko-KR"/>
        </w:rPr>
      </w:pPr>
    </w:p>
    <w:p w14:paraId="0F64E5B5" w14:textId="2A27CC86" w:rsidR="0099554C" w:rsidRDefault="0099554C" w:rsidP="0099554C">
      <w:pPr>
        <w:pStyle w:val="BodyText"/>
        <w:spacing w:line="276" w:lineRule="auto"/>
        <w:ind w:left="0"/>
        <w:jc w:val="both"/>
        <w:rPr>
          <w:rFonts w:eastAsiaTheme="minorEastAsia"/>
          <w:sz w:val="22"/>
          <w:szCs w:val="22"/>
          <w:lang w:eastAsia="ko-KR"/>
        </w:rPr>
      </w:pPr>
      <w:r w:rsidRPr="0099554C">
        <w:rPr>
          <w:rFonts w:eastAsiaTheme="minorEastAsia"/>
          <w:sz w:val="22"/>
          <w:szCs w:val="22"/>
          <w:lang w:eastAsia="ko-KR"/>
        </w:rPr>
        <w:t xml:space="preserve">Figure </w:t>
      </w:r>
      <w:r w:rsidR="00732412">
        <w:rPr>
          <w:rFonts w:eastAsiaTheme="minorEastAsia"/>
          <w:sz w:val="22"/>
          <w:szCs w:val="22"/>
          <w:lang w:eastAsia="ko-KR"/>
        </w:rPr>
        <w:t>4</w:t>
      </w:r>
      <w:r w:rsidRPr="0099554C">
        <w:rPr>
          <w:rFonts w:eastAsiaTheme="minorEastAsia"/>
          <w:sz w:val="22"/>
          <w:szCs w:val="22"/>
          <w:lang w:eastAsia="ko-KR"/>
        </w:rPr>
        <w:t xml:space="preserve"> presents the results of logistic‐growth–based TTD predictions as a function of input window length. In the United States, the minimal MAE of 9.7 days was achieved using a 21-day input window, with longer windows yielding stable MAEs of approximately 10 days. In the United Kingdom, the lowest mean MAE of 4.6 days occurred at 16 days of input, beyond which errors converged to around 10 days. In South Korea, where only three variants were analyzed, tuning proved less stable; the optimal input window was 25 days, yielding an MAE of 5.3 days.</w:t>
      </w:r>
    </w:p>
    <w:p w14:paraId="5D1F898E" w14:textId="77777777" w:rsidR="00DE28CD" w:rsidRDefault="00DE28CD" w:rsidP="0099554C">
      <w:pPr>
        <w:pStyle w:val="BodyText"/>
        <w:spacing w:line="276" w:lineRule="auto"/>
        <w:ind w:left="0"/>
        <w:jc w:val="both"/>
        <w:rPr>
          <w:rFonts w:eastAsiaTheme="minorEastAsia"/>
          <w:sz w:val="22"/>
          <w:szCs w:val="22"/>
          <w:lang w:eastAsia="ko-KR"/>
        </w:rPr>
      </w:pPr>
    </w:p>
    <w:p w14:paraId="71D69945" w14:textId="5C8A1623" w:rsidR="00127DE9" w:rsidRDefault="00127DE9" w:rsidP="00127DE9">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472B2A0A" wp14:editId="475C19CD">
            <wp:extent cx="4241800" cy="2827867"/>
            <wp:effectExtent l="0" t="0" r="0" b="4445"/>
            <wp:docPr id="12563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8342" name="Picture 12563583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1758" cy="2834505"/>
                    </a:xfrm>
                    <a:prstGeom prst="rect">
                      <a:avLst/>
                    </a:prstGeom>
                  </pic:spPr>
                </pic:pic>
              </a:graphicData>
            </a:graphic>
          </wp:inline>
        </w:drawing>
      </w:r>
    </w:p>
    <w:p w14:paraId="044CEC49" w14:textId="54A990DA" w:rsidR="00A26C6F" w:rsidRPr="00A25AC7" w:rsidRDefault="00A25AC7" w:rsidP="00B9638B">
      <w:pPr>
        <w:pStyle w:val="BodyText"/>
        <w:spacing w:line="276" w:lineRule="auto"/>
        <w:ind w:left="0"/>
        <w:jc w:val="both"/>
        <w:rPr>
          <w:rFonts w:eastAsiaTheme="minorEastAsia"/>
          <w:sz w:val="22"/>
          <w:szCs w:val="22"/>
          <w:lang w:eastAsia="ko-KR"/>
        </w:rPr>
      </w:pPr>
      <w:r w:rsidRPr="00A25AC7">
        <w:rPr>
          <w:rFonts w:eastAsiaTheme="minorEastAsia"/>
          <w:sz w:val="22"/>
          <w:szCs w:val="22"/>
          <w:lang w:eastAsia="ko-KR"/>
        </w:rPr>
        <w:t>Figure 4. Mean absolute error of TTD predictions across input window lengths for the United States (blue circles), United Kingdom (red triangles), and South Korea (orange squares), with optimal windows of twenty-one, sixteen, and twenty-five days, respectively.</w:t>
      </w:r>
    </w:p>
    <w:p w14:paraId="59F6DE8A" w14:textId="77777777" w:rsidR="00047B70" w:rsidRDefault="00047B70" w:rsidP="00B9638B">
      <w:pPr>
        <w:pStyle w:val="BodyText"/>
        <w:spacing w:line="276" w:lineRule="auto"/>
        <w:ind w:left="0"/>
        <w:jc w:val="both"/>
        <w:rPr>
          <w:rFonts w:eastAsiaTheme="minorEastAsia"/>
          <w:b/>
          <w:bCs/>
          <w:sz w:val="22"/>
          <w:szCs w:val="22"/>
          <w:lang w:eastAsia="zh-CN"/>
        </w:rPr>
      </w:pPr>
    </w:p>
    <w:p w14:paraId="379979F7" w14:textId="3DBB6FDA" w:rsidR="00706744" w:rsidRDefault="00706744" w:rsidP="00706744">
      <w:pPr>
        <w:pStyle w:val="BodyText"/>
        <w:spacing w:line="276" w:lineRule="auto"/>
        <w:ind w:left="0"/>
        <w:jc w:val="both"/>
        <w:rPr>
          <w:rFonts w:eastAsiaTheme="minorEastAsia"/>
          <w:sz w:val="22"/>
          <w:szCs w:val="22"/>
          <w:lang w:eastAsia="ko-KR"/>
        </w:rPr>
      </w:pPr>
      <w:r w:rsidRPr="00706744">
        <w:rPr>
          <w:rFonts w:eastAsiaTheme="minorEastAsia"/>
          <w:sz w:val="22"/>
          <w:szCs w:val="22"/>
          <w:lang w:eastAsia="ko-KR"/>
        </w:rPr>
        <w:t>Figures 5a and 5b display the logistic‐growth fits obtained with three input windows (n = 16, 21, 25 days) for the dominant variants in the United States and United Kingdom, respectively.  Focusing on the U.S. panel (Figure 5a), increasing the input window clearly improves the TTD prediction for early lineages B.1 and Q (B.1.1.7).  By contrast, the BG (BA.2.12.1) wave remains consistently under‐fitted—its predicted midpoint is ~20 days earlier than the true TTD—regardless of n.  In all three windows, BA.2 and XBB.1.5 achieve robust fits, with mean absolute errors below five days.</w:t>
      </w:r>
      <w:r w:rsidR="00996B08">
        <w:rPr>
          <w:rFonts w:eastAsiaTheme="minorEastAsia"/>
          <w:sz w:val="22"/>
          <w:szCs w:val="22"/>
          <w:lang w:eastAsia="ko-KR"/>
        </w:rPr>
        <w:t xml:space="preserve"> </w:t>
      </w:r>
      <w:r w:rsidR="00996B08" w:rsidRPr="00996B08">
        <w:rPr>
          <w:rFonts w:eastAsiaTheme="minorEastAsia"/>
          <w:sz w:val="22"/>
          <w:szCs w:val="22"/>
          <w:lang w:eastAsia="ko-KR"/>
        </w:rPr>
        <w:t>In the U.K. panel (Figure 5b), extending the input window similarly improves fit for AY.4 and JN.1, with predicted midpoints converging on the true TTD. BA.2 remains well‐captured across all windows (MAE &lt; 5 days), while Q (B.1.1.7) and B.1.1 show only marginal gains and tend to be predicted slightly early. Overall, a 21-day window balances accuracy and stability for U.K. variants.</w:t>
      </w:r>
    </w:p>
    <w:p w14:paraId="16538E4C" w14:textId="1181B215" w:rsidR="00B9638B"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67B58A3" wp14:editId="70F485F7">
            <wp:extent cx="5486400" cy="3657600"/>
            <wp:effectExtent l="0" t="0" r="0" b="0"/>
            <wp:docPr id="1076981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1260" name="Picture 10769812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C305BD5" w14:textId="7BF5ABA1" w:rsidR="002611FD" w:rsidRPr="002611FD" w:rsidRDefault="002611FD" w:rsidP="002611FD">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5a. Logistic‐growth fits for the five dominant U.S. variants (rows), using three input windows (columns: n = 16, 21, 25 days). Black lines show observed variant share, blue lines the fitted curves, red vertical bars the true TTDs, and blue dashed lines the model‐predicted TTDs.</w:t>
      </w:r>
    </w:p>
    <w:p w14:paraId="56EA07B6" w14:textId="16455090" w:rsidR="00750294"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00CFCF06" wp14:editId="11DD46DF">
            <wp:extent cx="5486400" cy="3657600"/>
            <wp:effectExtent l="0" t="0" r="0" b="0"/>
            <wp:docPr id="189418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9648" name="Picture 1894189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84C2CC1" w14:textId="7AC23A6B" w:rsidR="00F96E2A" w:rsidRPr="002611FD" w:rsidRDefault="00F96E2A" w:rsidP="00F96E2A">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w:t>
      </w:r>
      <w:r>
        <w:rPr>
          <w:rFonts w:eastAsiaTheme="minorEastAsia"/>
          <w:sz w:val="22"/>
          <w:szCs w:val="22"/>
          <w:lang w:eastAsia="ko-KR"/>
        </w:rPr>
        <w:t xml:space="preserve">b. </w:t>
      </w:r>
      <w:r w:rsidRPr="002611FD">
        <w:rPr>
          <w:rFonts w:eastAsiaTheme="minorEastAsia"/>
          <w:sz w:val="22"/>
          <w:szCs w:val="22"/>
          <w:lang w:eastAsia="ko-KR"/>
        </w:rPr>
        <w:t xml:space="preserve"> Logistic‐growth fits for the five dominant U.</w:t>
      </w:r>
      <w:r>
        <w:rPr>
          <w:rFonts w:eastAsiaTheme="minorEastAsia"/>
          <w:sz w:val="22"/>
          <w:szCs w:val="22"/>
          <w:lang w:eastAsia="ko-KR"/>
        </w:rPr>
        <w:t>K</w:t>
      </w:r>
      <w:r w:rsidRPr="002611FD">
        <w:rPr>
          <w:rFonts w:eastAsiaTheme="minorEastAsia"/>
          <w:sz w:val="22"/>
          <w:szCs w:val="22"/>
          <w:lang w:eastAsia="ko-KR"/>
        </w:rPr>
        <w:t>. variants (rows), using three input windows (columns: n = 16, 21, 25 days). Black lines show observed variant share, blue lines the fitted curves, red vertical bars the true TTDs, and blue dashed lines the model‐predicted TTDs.</w:t>
      </w:r>
    </w:p>
    <w:p w14:paraId="48531818" w14:textId="7EE4061C" w:rsidR="00694AF3" w:rsidRDefault="00694AF3" w:rsidP="0052192E">
      <w:pPr>
        <w:pStyle w:val="BodyText"/>
        <w:spacing w:line="276" w:lineRule="auto"/>
        <w:ind w:left="0"/>
        <w:jc w:val="both"/>
        <w:rPr>
          <w:rFonts w:eastAsiaTheme="minorEastAsia"/>
          <w:b/>
          <w:bCs/>
          <w:sz w:val="22"/>
          <w:szCs w:val="22"/>
          <w:lang w:eastAsia="ko-KR"/>
        </w:rPr>
      </w:pPr>
    </w:p>
    <w:p w14:paraId="6F19A7D0" w14:textId="1CC7461E" w:rsidR="0025108B" w:rsidRDefault="0025108B" w:rsidP="00372EFC">
      <w:pPr>
        <w:pStyle w:val="BodyText"/>
        <w:spacing w:line="276" w:lineRule="auto"/>
        <w:ind w:left="0"/>
        <w:jc w:val="both"/>
        <w:rPr>
          <w:sz w:val="20"/>
          <w:szCs w:val="20"/>
          <w:lang w:eastAsia="zh-CN"/>
        </w:rPr>
      </w:pPr>
    </w:p>
    <w:p w14:paraId="5C9697C1" w14:textId="5A2B90E2" w:rsidR="009C0DFF" w:rsidRDefault="006E1488" w:rsidP="009C0DFF">
      <w:pPr>
        <w:pStyle w:val="BodyText"/>
        <w:spacing w:line="276" w:lineRule="auto"/>
        <w:ind w:left="0"/>
        <w:jc w:val="both"/>
        <w:rPr>
          <w:rFonts w:eastAsiaTheme="minorEastAsia"/>
          <w:b/>
          <w:bCs/>
          <w:sz w:val="22"/>
          <w:szCs w:val="22"/>
          <w:lang w:eastAsia="ko-KR"/>
        </w:rPr>
      </w:pPr>
      <w:r>
        <w:rPr>
          <w:b/>
          <w:bCs/>
          <w:sz w:val="22"/>
          <w:szCs w:val="22"/>
        </w:rPr>
        <w:lastRenderedPageBreak/>
        <w:t>Discussion</w:t>
      </w:r>
    </w:p>
    <w:p w14:paraId="13532CB9" w14:textId="6309E50C" w:rsidR="009C0DFF" w:rsidRPr="00B374F0" w:rsidRDefault="00AF4886" w:rsidP="00372EFC">
      <w:pPr>
        <w:pStyle w:val="BodyText"/>
        <w:spacing w:line="276" w:lineRule="auto"/>
        <w:ind w:left="0"/>
        <w:jc w:val="both"/>
        <w:rPr>
          <w:sz w:val="22"/>
          <w:szCs w:val="22"/>
          <w:lang w:eastAsia="zh-CN"/>
        </w:rPr>
      </w:pPr>
      <w:r w:rsidRPr="00B374F0">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Pr>
          <w:sz w:val="22"/>
          <w:szCs w:val="22"/>
          <w:lang w:eastAsia="zh-CN"/>
        </w:rPr>
        <w:fldChar w:fldCharType="begin"/>
      </w:r>
      <w:r w:rsidR="004540D4">
        <w:rPr>
          <w:sz w:val="22"/>
          <w:szCs w:val="22"/>
          <w:lang w:eastAsia="zh-CN"/>
        </w:rPr>
        <w:instrText xml:space="preserve"> ADDIN ZOTERO_ITEM CSL_CITATION {"citationID":"hGln3yPM","properties":{"formattedCitation":"[20], [21]","plainCitation":"[20], [21]","noteIndex":0},"citationItems":[{"id":611,"uris":["http://zotero.org/users/14790911/items/7LJR2E5N"],"itemData":{"id":611,"type":"article-journal","abstract":"Introduction:\nIn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Pr>
          <w:sz w:val="22"/>
          <w:szCs w:val="22"/>
          <w:lang w:eastAsia="zh-CN"/>
        </w:rPr>
        <w:fldChar w:fldCharType="separate"/>
      </w:r>
      <w:r w:rsidR="004540D4">
        <w:rPr>
          <w:noProof/>
          <w:sz w:val="22"/>
          <w:szCs w:val="22"/>
          <w:lang w:eastAsia="zh-CN"/>
        </w:rPr>
        <w:t>[20], [21]</w:t>
      </w:r>
      <w:r w:rsidR="00EE2561">
        <w:rPr>
          <w:sz w:val="22"/>
          <w:szCs w:val="22"/>
          <w:lang w:eastAsia="zh-CN"/>
        </w:rPr>
        <w:fldChar w:fldCharType="end"/>
      </w:r>
      <w:r w:rsidRPr="00B374F0">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{"citationID":"vV5Rc0Sg","properties":{"formattedCitation":"[22]","plainCitation":"[22]","noteIndex":0},"citationItems":[{"id":613,"uris":["http://zotero.org/users/14790911/items/K3Z3638M"],"itemData":{"id":613,"type":"article-journal","abstract":"The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Pr>
          <w:sz w:val="22"/>
          <w:szCs w:val="22"/>
          <w:lang w:eastAsia="zh-CN"/>
        </w:rPr>
        <w:fldChar w:fldCharType="separate"/>
      </w:r>
      <w:r w:rsidR="0099248C">
        <w:rPr>
          <w:noProof/>
          <w:sz w:val="22"/>
          <w:szCs w:val="22"/>
          <w:lang w:eastAsia="zh-CN"/>
        </w:rPr>
        <w:t>[22]</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B374F0">
        <w:rPr>
          <w:sz w:val="22"/>
          <w:szCs w:val="22"/>
          <w:lang w:eastAsia="zh-CN"/>
        </w:rPr>
        <w:t xml:space="preserve"> </w:t>
      </w:r>
    </w:p>
    <w:p w14:paraId="57EB4844" w14:textId="77777777" w:rsidR="002C36C5" w:rsidRPr="00B374F0" w:rsidRDefault="002C36C5" w:rsidP="00372EFC">
      <w:pPr>
        <w:pStyle w:val="BodyText"/>
        <w:spacing w:line="276" w:lineRule="auto"/>
        <w:ind w:left="0"/>
        <w:jc w:val="both"/>
        <w:rPr>
          <w:sz w:val="22"/>
          <w:szCs w:val="22"/>
          <w:lang w:eastAsia="zh-CN"/>
        </w:rPr>
      </w:pPr>
    </w:p>
    <w:p w14:paraId="428D3A94" w14:textId="3E6182D4" w:rsidR="002C36C5" w:rsidRPr="00B374F0" w:rsidRDefault="002C36C5" w:rsidP="00372EFC">
      <w:pPr>
        <w:pStyle w:val="BodyText"/>
        <w:spacing w:line="276" w:lineRule="auto"/>
        <w:ind w:left="0"/>
        <w:jc w:val="both"/>
        <w:rPr>
          <w:sz w:val="22"/>
          <w:szCs w:val="22"/>
          <w:lang w:eastAsia="zh-CN"/>
        </w:rPr>
      </w:pPr>
      <w:r w:rsidRPr="00B374F0">
        <w:rPr>
          <w:sz w:val="22"/>
          <w:szCs w:val="22"/>
          <w:lang w:eastAsia="zh-CN"/>
        </w:rPr>
        <w:t xml:space="preserve">Our systematic model comparison also demonstrated that tree-based methods—namely Random Forest and </w:t>
      </w:r>
      <w:proofErr w:type="spellStart"/>
      <w:r w:rsidRPr="00B374F0">
        <w:rPr>
          <w:sz w:val="22"/>
          <w:szCs w:val="22"/>
          <w:lang w:eastAsia="zh-CN"/>
        </w:rPr>
        <w:t>XGBoost</w:t>
      </w:r>
      <w:proofErr w:type="spellEnd"/>
      <w:r w:rsidRPr="00B374F0">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B374F0">
        <w:rPr>
          <w:sz w:val="22"/>
          <w:szCs w:val="22"/>
          <w:lang w:eastAsia="zh-CN"/>
        </w:rPr>
        <w:t>ten-summary</w:t>
      </w:r>
      <w:r w:rsidRPr="00B374F0">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{"citationID":"ishAhOqZ","properties":{"formattedCitation":"[23]","plainCitation":"[23]","noteIndex":0},"citationItems":[{"id":617,"uris":["http://zotero.org/users/14790911/items/5KQQ2X8Q"],"itemData":{"id":617,"type":"article-journal","abstract":"This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Pr>
          <w:sz w:val="22"/>
          <w:szCs w:val="22"/>
          <w:lang w:eastAsia="zh-CN"/>
        </w:rPr>
        <w:fldChar w:fldCharType="separate"/>
      </w:r>
      <w:r w:rsidR="0099248C">
        <w:rPr>
          <w:noProof/>
          <w:sz w:val="22"/>
          <w:szCs w:val="22"/>
          <w:lang w:eastAsia="zh-CN"/>
        </w:rPr>
        <w:t>[23]</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B374F0" w:rsidRDefault="00E255D2" w:rsidP="00372EFC">
      <w:pPr>
        <w:pStyle w:val="BodyText"/>
        <w:spacing w:line="276" w:lineRule="auto"/>
        <w:ind w:left="0"/>
        <w:jc w:val="both"/>
        <w:rPr>
          <w:sz w:val="22"/>
          <w:szCs w:val="22"/>
          <w:lang w:eastAsia="zh-CN"/>
        </w:rPr>
      </w:pPr>
    </w:p>
    <w:p w14:paraId="684AA85E" w14:textId="220CE069" w:rsidR="00E255D2" w:rsidRPr="00B374F0" w:rsidRDefault="00640949" w:rsidP="00372EFC">
      <w:pPr>
        <w:pStyle w:val="BodyText"/>
        <w:spacing w:line="276" w:lineRule="auto"/>
        <w:ind w:left="0"/>
        <w:jc w:val="both"/>
        <w:rPr>
          <w:sz w:val="22"/>
          <w:szCs w:val="22"/>
          <w:lang w:eastAsia="zh-CN"/>
        </w:rPr>
      </w:pPr>
      <w:r w:rsidRPr="00B374F0">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the first four weeks of case accrual carry most of the signal needed for peak‐timing forecasts </w:t>
      </w:r>
      <w:r w:rsidR="0099248C">
        <w:rPr>
          <w:sz w:val="22"/>
          <w:szCs w:val="22"/>
          <w:lang w:eastAsia="zh-CN"/>
        </w:rPr>
        <w:fldChar w:fldCharType="begin"/>
      </w:r>
      <w:r w:rsidR="004540D4">
        <w:rPr>
          <w:sz w:val="22"/>
          <w:szCs w:val="22"/>
          <w:lang w:eastAsia="zh-CN"/>
        </w:rPr>
        <w:instrText xml:space="preserve"> ADDIN ZOTERO_ITEM CSL_CITATION {"citationID":"PBEtu0FP","properties":{"formattedCitation":"[24], [25]","plainCitation":"[24], [25]","noteIndex":0},"citationItems":[{"id":622,"uris":["http://zotero.org/users/14790911/items/AAJ9U6SA"],"itemData":{"id":622,"type":"article-journal","abstract":"Medical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7,17]]},"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Pr>
          <w:sz w:val="22"/>
          <w:szCs w:val="22"/>
          <w:lang w:eastAsia="zh-CN"/>
        </w:rPr>
        <w:fldChar w:fldCharType="separate"/>
      </w:r>
      <w:r w:rsidR="004540D4">
        <w:rPr>
          <w:noProof/>
          <w:sz w:val="22"/>
          <w:szCs w:val="22"/>
          <w:lang w:eastAsia="zh-CN"/>
        </w:rPr>
        <w:t>[24], [25]</w:t>
      </w:r>
      <w:r w:rsidR="0099248C">
        <w:rPr>
          <w:sz w:val="22"/>
          <w:szCs w:val="22"/>
          <w:lang w:eastAsia="zh-CN"/>
        </w:rPr>
        <w:fldChar w:fldCharType="end"/>
      </w:r>
      <w:r w:rsidRPr="00B374F0">
        <w:rPr>
          <w:sz w:val="22"/>
          <w:szCs w:val="22"/>
          <w:lang w:eastAsia="zh-CN"/>
        </w:rPr>
        <w:t>.  In the SARS-CoV-2 context, Volz et al.</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{"citationID":"Cz03Sfrg","properties":{"formattedCitation":"[12]","plainCitation":"[12]","noteIndex":0},"citationItems":[{"id":584,"uris":["http://zotero.org/users/14790911/items/KGB6LWRM"],"itemData":{"id":584,"type":"article-journal","abstract":"The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Pr>
          <w:sz w:val="22"/>
          <w:szCs w:val="22"/>
          <w:lang w:eastAsia="zh-CN"/>
        </w:rPr>
        <w:fldChar w:fldCharType="separate"/>
      </w:r>
      <w:r w:rsidR="0099248C">
        <w:rPr>
          <w:noProof/>
          <w:sz w:val="22"/>
          <w:szCs w:val="22"/>
          <w:lang w:eastAsia="zh-CN"/>
        </w:rPr>
        <w:t>[12]</w:t>
      </w:r>
      <w:r w:rsidR="0099248C">
        <w:rPr>
          <w:sz w:val="22"/>
          <w:szCs w:val="22"/>
          <w:lang w:eastAsia="zh-CN"/>
        </w:rPr>
        <w:fldChar w:fldCharType="end"/>
      </w:r>
      <w:r w:rsidRPr="00B374F0">
        <w:rPr>
          <w:sz w:val="22"/>
          <w:szCs w:val="22"/>
          <w:lang w:eastAsia="zh-CN"/>
        </w:rPr>
        <w:t xml:space="preserve">  and Davies et al. </w:t>
      </w:r>
      <w:r w:rsidR="0099248C">
        <w:rPr>
          <w:sz w:val="22"/>
          <w:szCs w:val="22"/>
          <w:lang w:eastAsia="zh-CN"/>
        </w:rPr>
        <w:fldChar w:fldCharType="begin"/>
      </w:r>
      <w:r w:rsidR="0099248C">
        <w:rPr>
          <w:sz w:val="22"/>
          <w:szCs w:val="22"/>
          <w:lang w:eastAsia="zh-CN"/>
        </w:rPr>
        <w:instrText xml:space="preserve"> ADDIN ZOTERO_ITEM CSL_CITATION {"citationID":"kClbJwM9","properties":{"formattedCitation":"[8]","plainCitation":"[8]","noteIndex":0},"citationItems":[{"id":572,"uris":["http://zotero.org/users/14790911/items/JKKRATG5"],"itemData":{"id":572,"type":"article-journal","abstract":"A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Pr>
          <w:sz w:val="22"/>
          <w:szCs w:val="22"/>
          <w:lang w:eastAsia="zh-CN"/>
        </w:rPr>
        <w:fldChar w:fldCharType="separate"/>
      </w:r>
      <w:r w:rsidR="0099248C">
        <w:rPr>
          <w:noProof/>
          <w:sz w:val="22"/>
          <w:szCs w:val="22"/>
          <w:lang w:eastAsia="zh-CN"/>
        </w:rPr>
        <w:t>[8]</w:t>
      </w:r>
      <w:r w:rsidR="0099248C">
        <w:rPr>
          <w:sz w:val="22"/>
          <w:szCs w:val="22"/>
          <w:lang w:eastAsia="zh-CN"/>
        </w:rPr>
        <w:fldChar w:fldCharType="end"/>
      </w:r>
      <w:r w:rsidRPr="00B374F0">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B374F0" w:rsidRDefault="00640949" w:rsidP="00372EFC">
      <w:pPr>
        <w:pStyle w:val="BodyText"/>
        <w:spacing w:line="276" w:lineRule="auto"/>
        <w:ind w:left="0"/>
        <w:jc w:val="both"/>
        <w:rPr>
          <w:sz w:val="22"/>
          <w:szCs w:val="22"/>
          <w:lang w:eastAsia="zh-CN"/>
        </w:rPr>
      </w:pPr>
    </w:p>
    <w:p w14:paraId="32ABB5FE" w14:textId="42D93682" w:rsidR="005646E8" w:rsidRPr="00B374F0" w:rsidRDefault="005646E8" w:rsidP="00372EFC">
      <w:pPr>
        <w:pStyle w:val="BodyText"/>
        <w:spacing w:line="276" w:lineRule="auto"/>
        <w:ind w:left="0"/>
        <w:jc w:val="both"/>
        <w:rPr>
          <w:sz w:val="22"/>
          <w:szCs w:val="22"/>
          <w:lang w:eastAsia="zh-CN"/>
        </w:rPr>
      </w:pPr>
      <w:r w:rsidRPr="00B374F0">
        <w:rPr>
          <w:sz w:val="22"/>
          <w:szCs w:val="22"/>
          <w:lang w:eastAsia="zh-CN"/>
        </w:rPr>
        <w:t xml:space="preserve">Additional studies corroborate how surveillance intensity and sampling strategies influence early‐trajectory stability.  For example, the COVID‐19 Genomics UK (COG-UK) Consortium’s analyses demonstrated that rapid, high‐density sequencing in England captured fine‐scale shifts between Alpha and Delta variants, yielding volatile prevalence estimates in the first two weeks that only stabilized after three to four weeks of data accumulation </w:t>
      </w:r>
      <w:r w:rsidR="0099248C">
        <w:rPr>
          <w:sz w:val="22"/>
          <w:szCs w:val="22"/>
          <w:lang w:eastAsia="zh-CN"/>
        </w:rPr>
        <w:fldChar w:fldCharType="begin"/>
      </w:r>
      <w:r w:rsidR="0099248C">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Pr>
          <w:sz w:val="22"/>
          <w:szCs w:val="22"/>
          <w:lang w:eastAsia="zh-CN"/>
        </w:rPr>
        <w:fldChar w:fldCharType="separate"/>
      </w:r>
      <w:r w:rsidR="0099248C">
        <w:rPr>
          <w:noProof/>
          <w:sz w:val="22"/>
          <w:szCs w:val="22"/>
          <w:lang w:eastAsia="zh-CN"/>
        </w:rPr>
        <w:t>[1]</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In contrast, national‐scale genomic surveys in the United States—while broader in scope—tended to smooth out local surges, enabling reliable logistic midpoints within two weeks</w:t>
      </w:r>
      <w:r w:rsidR="0099248C">
        <w:rPr>
          <w:sz w:val="22"/>
          <w:szCs w:val="22"/>
          <w:lang w:eastAsia="zh-CN"/>
        </w:rPr>
        <w:t xml:space="preserve"> </w:t>
      </w:r>
      <w:r w:rsidR="0099248C">
        <w:rPr>
          <w:sz w:val="22"/>
          <w:szCs w:val="22"/>
          <w:lang w:eastAsia="zh-CN"/>
        </w:rPr>
        <w:fldChar w:fldCharType="begin"/>
      </w:r>
      <w:r w:rsidR="004540D4">
        <w:rPr>
          <w:sz w:val="22"/>
          <w:szCs w:val="22"/>
          <w:lang w:eastAsia="zh-CN"/>
        </w:rPr>
        <w:instrText xml:space="preserve"> ADDIN ZOTERO_ITEM CSL_CITATION {"citationID":"XctU96vn","properties":{"formattedCitation":"[26], [27]","plainCitation":"[26], [27]","noteIndex":0},"citationItems":[{"id":627,"uris":["http://zotero.org/users/14790911/items/75Z7BM7X"],"itemData":{"id":627,"type":"article-journal","abstract":"The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Pr>
          <w:sz w:val="22"/>
          <w:szCs w:val="22"/>
          <w:lang w:eastAsia="zh-CN"/>
        </w:rPr>
        <w:fldChar w:fldCharType="separate"/>
      </w:r>
      <w:r w:rsidR="004540D4">
        <w:rPr>
          <w:noProof/>
          <w:sz w:val="22"/>
          <w:szCs w:val="22"/>
          <w:lang w:eastAsia="zh-CN"/>
        </w:rPr>
        <w:t>[26], [27]</w:t>
      </w:r>
      <w:r w:rsidR="0099248C">
        <w:rPr>
          <w:sz w:val="22"/>
          <w:szCs w:val="22"/>
          <w:lang w:eastAsia="zh-CN"/>
        </w:rPr>
        <w:fldChar w:fldCharType="end"/>
      </w:r>
      <w:r w:rsidR="0099248C">
        <w:rPr>
          <w:sz w:val="22"/>
          <w:szCs w:val="22"/>
          <w:lang w:eastAsia="zh-CN"/>
        </w:rPr>
        <w:t>.</w:t>
      </w:r>
      <w:r w:rsidRPr="00B374F0">
        <w:rPr>
          <w:sz w:val="22"/>
          <w:szCs w:val="22"/>
          <w:lang w:eastAsia="zh-CN"/>
        </w:rPr>
        <w:t xml:space="preserve"> Moreover, Volz et al.</w:t>
      </w:r>
      <w:r w:rsidR="0099248C">
        <w:rPr>
          <w:sz w:val="22"/>
          <w:szCs w:val="22"/>
          <w:lang w:eastAsia="zh-CN"/>
        </w:rPr>
        <w:fldChar w:fldCharType="begin"/>
      </w:r>
      <w:r w:rsidR="0099248C">
        <w:rPr>
          <w:sz w:val="22"/>
          <w:szCs w:val="22"/>
          <w:lang w:eastAsia="zh-CN"/>
        </w:rPr>
        <w:instrText xml:space="preserve"> ADDIN ZOTERO_ITEM CSL_CITATION {"citationID":"9ecBEZiO","properties":{"formattedCitation":"[12]","plainCitation":"[12]","noteIndex":0},"citationItems":[{"id":584,"uris":["http://zotero.org/users/14790911/items/KGB6LWRM"],"itemData":{"id":584,"type":"article-journal","abstract":"The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Pr>
          <w:sz w:val="22"/>
          <w:szCs w:val="22"/>
          <w:lang w:eastAsia="zh-CN"/>
        </w:rPr>
        <w:fldChar w:fldCharType="separate"/>
      </w:r>
      <w:r w:rsidR="0099248C">
        <w:rPr>
          <w:noProof/>
          <w:sz w:val="22"/>
          <w:szCs w:val="22"/>
          <w:lang w:eastAsia="zh-CN"/>
        </w:rPr>
        <w:t>[12]</w:t>
      </w:r>
      <w:r w:rsidR="0099248C">
        <w:rPr>
          <w:sz w:val="22"/>
          <w:szCs w:val="22"/>
          <w:lang w:eastAsia="zh-CN"/>
        </w:rPr>
        <w:fldChar w:fldCharType="end"/>
      </w:r>
      <w:r w:rsidRPr="00B374F0">
        <w:rPr>
          <w:sz w:val="22"/>
          <w:szCs w:val="22"/>
          <w:lang w:eastAsia="zh-CN"/>
        </w:rPr>
        <w:t xml:space="preserve"> showed that denser sampling grids reduce uncertainty in growth‐rate estimates, explaining why the U.K.’s punctuated sequencing cadence temporarily increased variance.  Together, these findings reinforce our observation that the U.K. requires a slightly longer early window—three weeks versus two—to average out </w:t>
      </w:r>
      <w:r w:rsidRPr="00B374F0">
        <w:rPr>
          <w:sz w:val="22"/>
          <w:szCs w:val="22"/>
          <w:lang w:eastAsia="zh-CN"/>
        </w:rPr>
        <w:lastRenderedPageBreak/>
        <w:t>its more jagged variant signals before achieving stable time‐to‐dominance forecasts.</w:t>
      </w:r>
      <w:r w:rsidR="00D628CF" w:rsidRPr="00B374F0">
        <w:rPr>
          <w:sz w:val="22"/>
          <w:szCs w:val="22"/>
          <w:lang w:eastAsia="zh-CN"/>
        </w:rPr>
        <w:t xml:space="preserve"> </w:t>
      </w: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1737C9A" w14:textId="77777777" w:rsidR="004540D4" w:rsidRPr="004540D4" w:rsidRDefault="00B374F0" w:rsidP="004540D4">
      <w:pPr>
        <w:pStyle w:val="Bibliography"/>
        <w:rPr>
          <w:rFonts w:eastAsiaTheme="minorEastAsia"/>
          <w:sz w:val="20"/>
          <w:lang w:eastAsia="ko-KR"/>
        </w:rPr>
      </w:pPr>
      <w:r>
        <w:rPr>
          <w:sz w:val="20"/>
          <w:szCs w:val="20"/>
          <w:lang w:eastAsia="zh-CN"/>
        </w:rPr>
        <w:fldChar w:fldCharType="begin"/>
      </w:r>
      <w:r w:rsidR="004540D4">
        <w:rPr>
          <w:sz w:val="20"/>
          <w:szCs w:val="20"/>
          <w:lang w:eastAsia="zh-CN"/>
        </w:rPr>
        <w:instrText xml:space="preserve"> ADDIN ZOTERO_BIBL {"uncited":[],"omitted":[],"custom":[]} CSL_BIBLIOGRAPHY </w:instrText>
      </w:r>
      <w:r>
        <w:rPr>
          <w:sz w:val="20"/>
          <w:szCs w:val="20"/>
          <w:lang w:eastAsia="zh-CN"/>
        </w:rPr>
        <w:fldChar w:fldCharType="separate"/>
      </w:r>
      <w:r w:rsidR="004540D4" w:rsidRPr="004540D4">
        <w:rPr>
          <w:rFonts w:eastAsiaTheme="minorEastAsia"/>
          <w:sz w:val="20"/>
          <w:lang w:eastAsia="ko-KR"/>
        </w:rPr>
        <w:t>[1]</w:t>
      </w:r>
      <w:r w:rsidR="004540D4" w:rsidRPr="004540D4">
        <w:rPr>
          <w:rFonts w:eastAsiaTheme="minorEastAsia"/>
          <w:sz w:val="20"/>
          <w:lang w:eastAsia="ko-KR"/>
        </w:rPr>
        <w:tab/>
        <w:t xml:space="preserve">L. du Plessis </w:t>
      </w:r>
      <w:r w:rsidR="004540D4" w:rsidRPr="004540D4">
        <w:rPr>
          <w:rFonts w:eastAsiaTheme="minorEastAsia"/>
          <w:i/>
          <w:iCs/>
          <w:sz w:val="20"/>
          <w:lang w:eastAsia="ko-KR"/>
        </w:rPr>
        <w:t>et al.</w:t>
      </w:r>
      <w:r w:rsidR="004540D4" w:rsidRPr="004540D4">
        <w:rPr>
          <w:rFonts w:eastAsiaTheme="minorEastAsia"/>
          <w:sz w:val="20"/>
          <w:lang w:eastAsia="ko-KR"/>
        </w:rPr>
        <w:t xml:space="preserve">, “Establishment and lineage dynamics of the SARS-CoV-2 epidemic in the UK,” </w:t>
      </w:r>
      <w:r w:rsidR="004540D4" w:rsidRPr="004540D4">
        <w:rPr>
          <w:rFonts w:eastAsiaTheme="minorEastAsia"/>
          <w:i/>
          <w:iCs/>
          <w:sz w:val="20"/>
          <w:lang w:eastAsia="ko-KR"/>
        </w:rPr>
        <w:t>Science</w:t>
      </w:r>
      <w:r w:rsidR="004540D4" w:rsidRPr="004540D4">
        <w:rPr>
          <w:rFonts w:eastAsiaTheme="minorEastAsia"/>
          <w:sz w:val="20"/>
          <w:lang w:eastAsia="ko-KR"/>
        </w:rPr>
        <w:t>, vol. 371, no. 6530, pp. 708–712, Feb. 2021, doi: 10.1126/science.abf2946.</w:t>
      </w:r>
    </w:p>
    <w:p w14:paraId="76800C2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w:t>
      </w:r>
      <w:r w:rsidRPr="004540D4">
        <w:rPr>
          <w:rFonts w:eastAsiaTheme="minorEastAsia"/>
          <w:sz w:val="20"/>
          <w:lang w:eastAsia="ko-KR"/>
        </w:rPr>
        <w:tab/>
        <w:t>W. H. Organization, “SARS-CoV-2 genomic sequencing for public health goals: interim guidance, 8 January 2021,” Art. no. WHO/2019-nCoV/genomic_sequencing/2021.1, 2021, Accessed: July 17, 2025. [Online]. Available: https://iris.who.int/handle/10665/338483</w:t>
      </w:r>
    </w:p>
    <w:p w14:paraId="295EA602"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[3]</w:t>
      </w:r>
      <w:r w:rsidRPr="004540D4">
        <w:rPr>
          <w:rFonts w:eastAsiaTheme="minorEastAsia"/>
          <w:sz w:val="20"/>
          <w:lang w:eastAsia="ko-KR"/>
        </w:rPr>
        <w:tab/>
        <w:t xml:space="preserve">C. Chen </w:t>
      </w:r>
      <w:r w:rsidRPr="004540D4">
        <w:rPr>
          <w:rFonts w:eastAsiaTheme="minorEastAsia"/>
          <w:i/>
          <w:iCs/>
          <w:sz w:val="20"/>
          <w:lang w:eastAsia="ko-KR"/>
        </w:rPr>
        <w:t>et al.</w:t>
      </w:r>
      <w:r w:rsidRPr="004540D4">
        <w:rPr>
          <w:rFonts w:eastAsiaTheme="minorEastAsia"/>
          <w:sz w:val="20"/>
          <w:lang w:eastAsia="ko-KR"/>
        </w:rPr>
        <w:t xml:space="preserve">, “CoV-Spectrum: analysis of globally shared SARS-CoV-2 data to identify and characterize new variants,” </w:t>
      </w:r>
      <w:r w:rsidRPr="004540D4">
        <w:rPr>
          <w:rFonts w:eastAsiaTheme="minorEastAsia"/>
          <w:i/>
          <w:iCs/>
          <w:sz w:val="20"/>
          <w:lang w:eastAsia="ko-KR"/>
        </w:rPr>
        <w:t>Bioinforma. Oxf. Engl.</w:t>
      </w:r>
      <w:r w:rsidRPr="004540D4">
        <w:rPr>
          <w:rFonts w:eastAsiaTheme="minorEastAsia"/>
          <w:sz w:val="20"/>
          <w:lang w:eastAsia="ko-KR"/>
        </w:rPr>
        <w:t>, vol. 38, no. 6, pp. 1735–1737, Mar. 2022, doi: 10.1093/bioinformatics/btab856.</w:t>
      </w:r>
    </w:p>
    <w:p w14:paraId="2F1367FB"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[4]</w:t>
      </w:r>
      <w:r w:rsidRPr="004540D4">
        <w:rPr>
          <w:rFonts w:eastAsiaTheme="minorEastAsia"/>
          <w:sz w:val="20"/>
          <w:lang w:eastAsia="ko-KR"/>
        </w:rPr>
        <w:tab/>
        <w:t>“Tracking SARS-CoV-2 variants.” Accessed: July 17, 2025. [Online]. Available: https://www.who.int/activities/tracking-SARS-CoV-2-variants</w:t>
      </w:r>
    </w:p>
    <w:p w14:paraId="1688C61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[5]</w:t>
      </w:r>
      <w:r w:rsidRPr="004540D4">
        <w:rPr>
          <w:rFonts w:eastAsiaTheme="minorEastAsia"/>
          <w:sz w:val="20"/>
          <w:lang w:eastAsia="ko-KR"/>
        </w:rPr>
        <w:tab/>
        <w:t xml:space="preserve">E. B. Hodcroft </w:t>
      </w:r>
      <w:r w:rsidRPr="004540D4">
        <w:rPr>
          <w:rFonts w:eastAsiaTheme="minorEastAsia"/>
          <w:i/>
          <w:iCs/>
          <w:sz w:val="20"/>
          <w:lang w:eastAsia="ko-KR"/>
        </w:rPr>
        <w:t>et al.</w:t>
      </w:r>
      <w:r w:rsidRPr="004540D4">
        <w:rPr>
          <w:rFonts w:eastAsiaTheme="minorEastAsia"/>
          <w:sz w:val="20"/>
          <w:lang w:eastAsia="ko-KR"/>
        </w:rPr>
        <w:t xml:space="preserve">, “Spread of a SARS-CoV-2 variant through Europe in the summer of 2020,” </w:t>
      </w:r>
      <w:r w:rsidRPr="004540D4">
        <w:rPr>
          <w:rFonts w:eastAsiaTheme="minorEastAsia"/>
          <w:i/>
          <w:iCs/>
          <w:sz w:val="20"/>
          <w:lang w:eastAsia="ko-KR"/>
        </w:rPr>
        <w:t>Nature</w:t>
      </w:r>
      <w:r w:rsidRPr="004540D4">
        <w:rPr>
          <w:rFonts w:eastAsiaTheme="minorEastAsia"/>
          <w:sz w:val="20"/>
          <w:lang w:eastAsia="ko-KR"/>
        </w:rPr>
        <w:t>, vol. 595, no. 7869, pp. 707–712, July 2021, doi: 10.1038/s41586-021-03677-y.</w:t>
      </w:r>
    </w:p>
    <w:p w14:paraId="1823A218"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[6]</w:t>
      </w:r>
      <w:r w:rsidRPr="004540D4">
        <w:rPr>
          <w:rFonts w:eastAsiaTheme="minorEastAsia"/>
          <w:sz w:val="20"/>
          <w:lang w:eastAsia="ko-KR"/>
        </w:rPr>
        <w:tab/>
        <w:t xml:space="preserve">A. Rambaut </w:t>
      </w:r>
      <w:r w:rsidRPr="004540D4">
        <w:rPr>
          <w:rFonts w:eastAsiaTheme="minorEastAsia"/>
          <w:i/>
          <w:iCs/>
          <w:sz w:val="20"/>
          <w:lang w:eastAsia="ko-KR"/>
        </w:rPr>
        <w:t>et al.</w:t>
      </w:r>
      <w:r w:rsidRPr="004540D4">
        <w:rPr>
          <w:rFonts w:eastAsiaTheme="minorEastAsia"/>
          <w:sz w:val="20"/>
          <w:lang w:eastAsia="ko-KR"/>
        </w:rPr>
        <w:t xml:space="preserve">, “A dynamic nomenclature proposal for SARS-CoV-2 lineages to assist genomic epidemiology,” </w:t>
      </w:r>
      <w:r w:rsidRPr="004540D4">
        <w:rPr>
          <w:rFonts w:eastAsiaTheme="minorEastAsia"/>
          <w:i/>
          <w:iCs/>
          <w:sz w:val="20"/>
          <w:lang w:eastAsia="ko-KR"/>
        </w:rPr>
        <w:t>Nat. Microbiol.</w:t>
      </w:r>
      <w:r w:rsidRPr="004540D4">
        <w:rPr>
          <w:rFonts w:eastAsiaTheme="minorEastAsia"/>
          <w:sz w:val="20"/>
          <w:lang w:eastAsia="ko-KR"/>
        </w:rPr>
        <w:t>, vol. 5, no. 11, pp. 1403–1407, Nov. 2020, doi: 10.1038/s41564-020-0770-5.</w:t>
      </w:r>
    </w:p>
    <w:p w14:paraId="2A0E285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[7]</w:t>
      </w:r>
      <w:r w:rsidRPr="004540D4">
        <w:rPr>
          <w:rFonts w:eastAsiaTheme="minorEastAsia"/>
          <w:sz w:val="20"/>
          <w:lang w:eastAsia="ko-KR"/>
        </w:rPr>
        <w:tab/>
        <w:t xml:space="preserve">Á. O’Toole </w:t>
      </w:r>
      <w:r w:rsidRPr="004540D4">
        <w:rPr>
          <w:rFonts w:eastAsiaTheme="minorEastAsia"/>
          <w:i/>
          <w:iCs/>
          <w:sz w:val="20"/>
          <w:lang w:eastAsia="ko-KR"/>
        </w:rPr>
        <w:t>et al.</w:t>
      </w:r>
      <w:r w:rsidRPr="004540D4">
        <w:rPr>
          <w:rFonts w:eastAsiaTheme="minorEastAsia"/>
          <w:sz w:val="20"/>
          <w:lang w:eastAsia="ko-KR"/>
        </w:rPr>
        <w:t xml:space="preserve">, “Assignment of epidemiological lineages in an emerging pandemic using the pangolin tool,” </w:t>
      </w:r>
      <w:r w:rsidRPr="004540D4">
        <w:rPr>
          <w:rFonts w:eastAsiaTheme="minorEastAsia"/>
          <w:i/>
          <w:iCs/>
          <w:sz w:val="20"/>
          <w:lang w:eastAsia="ko-KR"/>
        </w:rPr>
        <w:t>Virus Evol.</w:t>
      </w:r>
      <w:r w:rsidRPr="004540D4">
        <w:rPr>
          <w:rFonts w:eastAsiaTheme="minorEastAsia"/>
          <w:sz w:val="20"/>
          <w:lang w:eastAsia="ko-KR"/>
        </w:rPr>
        <w:t>, vol. 7, no. 2, p. veab064, 2021, doi: 10.1093/ve/veab064.</w:t>
      </w:r>
    </w:p>
    <w:p w14:paraId="7C2F7A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[8]</w:t>
      </w:r>
      <w:r w:rsidRPr="004540D4">
        <w:rPr>
          <w:rFonts w:eastAsiaTheme="minorEastAsia"/>
          <w:sz w:val="20"/>
          <w:lang w:eastAsia="ko-KR"/>
        </w:rPr>
        <w:tab/>
        <w:t xml:space="preserve">N. G. Davies </w:t>
      </w:r>
      <w:r w:rsidRPr="004540D4">
        <w:rPr>
          <w:rFonts w:eastAsiaTheme="minorEastAsia"/>
          <w:i/>
          <w:iCs/>
          <w:sz w:val="20"/>
          <w:lang w:eastAsia="ko-KR"/>
        </w:rPr>
        <w:t>et al.</w:t>
      </w:r>
      <w:r w:rsidRPr="004540D4">
        <w:rPr>
          <w:rFonts w:eastAsiaTheme="minorEastAsia"/>
          <w:sz w:val="20"/>
          <w:lang w:eastAsia="ko-KR"/>
        </w:rPr>
        <w:t xml:space="preserve">, “Estimated transmissibility and impact of SARS-CoV-2 lineage B.1.1.7 in England,” </w:t>
      </w:r>
      <w:r w:rsidRPr="004540D4">
        <w:rPr>
          <w:rFonts w:eastAsiaTheme="minorEastAsia"/>
          <w:i/>
          <w:iCs/>
          <w:sz w:val="20"/>
          <w:lang w:eastAsia="ko-KR"/>
        </w:rPr>
        <w:t>Science</w:t>
      </w:r>
      <w:r w:rsidRPr="004540D4">
        <w:rPr>
          <w:rFonts w:eastAsiaTheme="minorEastAsia"/>
          <w:sz w:val="20"/>
          <w:lang w:eastAsia="ko-KR"/>
        </w:rPr>
        <w:t>, vol. 372, no. 6538, p. eabg3055, Apr. 2021, doi: 10.1126/science.abg3055.</w:t>
      </w:r>
    </w:p>
    <w:p w14:paraId="446B72F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[9]</w:t>
      </w:r>
      <w:r w:rsidRPr="004540D4">
        <w:rPr>
          <w:rFonts w:eastAsiaTheme="minorEastAsia"/>
          <w:sz w:val="20"/>
          <w:lang w:eastAsia="ko-KR"/>
        </w:rPr>
        <w:tab/>
        <w:t xml:space="preserve">S. M. Kissler, C. Tedijanto, E. Goldstein, Y. H. Grad, and M. Lipsitch, “Projecting the transmission dynamics of SARS-CoV-2 through the postpandemic period,” </w:t>
      </w:r>
      <w:r w:rsidRPr="004540D4">
        <w:rPr>
          <w:rFonts w:eastAsiaTheme="minorEastAsia"/>
          <w:i/>
          <w:iCs/>
          <w:sz w:val="20"/>
          <w:lang w:eastAsia="ko-KR"/>
        </w:rPr>
        <w:t>Science</w:t>
      </w:r>
      <w:r w:rsidRPr="004540D4">
        <w:rPr>
          <w:rFonts w:eastAsiaTheme="minorEastAsia"/>
          <w:sz w:val="20"/>
          <w:lang w:eastAsia="ko-KR"/>
        </w:rPr>
        <w:t>, vol. 368, no. 6493, pp. 860–868, May 2020, doi: 10.1126/science.abb5793.</w:t>
      </w:r>
    </w:p>
    <w:p w14:paraId="6926207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[10]</w:t>
      </w:r>
      <w:r w:rsidRPr="004540D4">
        <w:rPr>
          <w:rFonts w:eastAsiaTheme="minorEastAsia"/>
          <w:sz w:val="20"/>
          <w:lang w:eastAsia="ko-KR"/>
        </w:rPr>
        <w:tab/>
        <w:t xml:space="preserve">Re3data.Org, “GISAID,” 2012, </w:t>
      </w:r>
      <w:r w:rsidRPr="004540D4">
        <w:rPr>
          <w:rFonts w:eastAsiaTheme="minorEastAsia"/>
          <w:i/>
          <w:iCs/>
          <w:sz w:val="20"/>
          <w:lang w:eastAsia="ko-KR"/>
        </w:rPr>
        <w:t>re3data.org - Registry of Research Data Repositories</w:t>
      </w:r>
      <w:r w:rsidRPr="004540D4">
        <w:rPr>
          <w:rFonts w:eastAsiaTheme="minorEastAsia"/>
          <w:sz w:val="20"/>
          <w:lang w:eastAsia="ko-KR"/>
        </w:rPr>
        <w:t>. doi: 10.17616/R3Q59F.</w:t>
      </w:r>
    </w:p>
    <w:p w14:paraId="76B80137"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[11]</w:t>
      </w:r>
      <w:r w:rsidRPr="004540D4">
        <w:rPr>
          <w:rFonts w:eastAsiaTheme="minorEastAsia"/>
          <w:sz w:val="20"/>
          <w:lang w:eastAsia="ko-KR"/>
        </w:rPr>
        <w:tab/>
        <w:t xml:space="preserve">B. D. Fulcher, M. A. Little, and N. S. Jones, “Highly comparative time-series analysis: The empirical structure of time series and their methods,” </w:t>
      </w:r>
      <w:r w:rsidRPr="004540D4">
        <w:rPr>
          <w:rFonts w:eastAsiaTheme="minorEastAsia"/>
          <w:i/>
          <w:iCs/>
          <w:sz w:val="20"/>
          <w:lang w:eastAsia="ko-KR"/>
        </w:rPr>
        <w:t>J. R. Soc. Interface</w:t>
      </w:r>
      <w:r w:rsidRPr="004540D4">
        <w:rPr>
          <w:rFonts w:eastAsiaTheme="minorEastAsia"/>
          <w:sz w:val="20"/>
          <w:lang w:eastAsia="ko-KR"/>
        </w:rPr>
        <w:t>, vol. 10, no. 83, p. 20130048, June 2013, doi: 10.1098/rsif.2013.0048.</w:t>
      </w:r>
    </w:p>
    <w:p w14:paraId="0C139D9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[12]</w:t>
      </w:r>
      <w:r w:rsidRPr="004540D4">
        <w:rPr>
          <w:rFonts w:eastAsiaTheme="minorEastAsia"/>
          <w:sz w:val="20"/>
          <w:lang w:eastAsia="ko-KR"/>
        </w:rPr>
        <w:tab/>
        <w:t xml:space="preserve">E. Volz </w:t>
      </w:r>
      <w:r w:rsidRPr="004540D4">
        <w:rPr>
          <w:rFonts w:eastAsiaTheme="minorEastAsia"/>
          <w:i/>
          <w:iCs/>
          <w:sz w:val="20"/>
          <w:lang w:eastAsia="ko-KR"/>
        </w:rPr>
        <w:t>et al.</w:t>
      </w:r>
      <w:r w:rsidRPr="004540D4">
        <w:rPr>
          <w:rFonts w:eastAsiaTheme="minorEastAsia"/>
          <w:sz w:val="20"/>
          <w:lang w:eastAsia="ko-KR"/>
        </w:rPr>
        <w:t xml:space="preserve">, “Assessing transmissibility of SARS-CoV-2 lineage B.1.1.7 in England,” </w:t>
      </w:r>
      <w:r w:rsidRPr="004540D4">
        <w:rPr>
          <w:rFonts w:eastAsiaTheme="minorEastAsia"/>
          <w:i/>
          <w:iCs/>
          <w:sz w:val="20"/>
          <w:lang w:eastAsia="ko-KR"/>
        </w:rPr>
        <w:t>Nature</w:t>
      </w:r>
      <w:r w:rsidRPr="004540D4">
        <w:rPr>
          <w:rFonts w:eastAsiaTheme="minorEastAsia"/>
          <w:sz w:val="20"/>
          <w:lang w:eastAsia="ko-KR"/>
        </w:rPr>
        <w:t>, vol. 593, no. 7858, pp. 266–269, May 2021, doi: 10.1038/s41586-021-03470-x.</w:t>
      </w:r>
    </w:p>
    <w:p w14:paraId="679127A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[13]</w:t>
      </w:r>
      <w:r w:rsidRPr="004540D4">
        <w:rPr>
          <w:rFonts w:eastAsiaTheme="minorEastAsia"/>
          <w:sz w:val="20"/>
          <w:lang w:eastAsia="ko-KR"/>
        </w:rPr>
        <w:tab/>
        <w:t xml:space="preserve">T. Chen and C. Guestrin, “XGBoost: A Scalable Tree Boosting System,” in </w:t>
      </w:r>
      <w:r w:rsidRPr="004540D4">
        <w:rPr>
          <w:rFonts w:eastAsiaTheme="minorEastAsia"/>
          <w:i/>
          <w:iCs/>
          <w:sz w:val="20"/>
          <w:lang w:eastAsia="ko-KR"/>
        </w:rPr>
        <w:t>Proceedings of the 22nd ACM SIGKDD International Conference on Knowledge Discovery and Data Mining</w:t>
      </w:r>
      <w:r w:rsidRPr="004540D4">
        <w:rPr>
          <w:rFonts w:eastAsiaTheme="minorEastAsia"/>
          <w:sz w:val="20"/>
          <w:lang w:eastAsia="ko-KR"/>
        </w:rPr>
        <w:t>, Aug. 2016, pp. 785–794. doi: 10.1145/2939672.2939785.</w:t>
      </w:r>
    </w:p>
    <w:p w14:paraId="46AC342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[14]</w:t>
      </w:r>
      <w:r w:rsidRPr="004540D4">
        <w:rPr>
          <w:rFonts w:eastAsiaTheme="minorEastAsia"/>
          <w:sz w:val="20"/>
          <w:lang w:eastAsia="ko-KR"/>
        </w:rPr>
        <w:tab/>
        <w:t xml:space="preserve">L. Breiman, “Random Forests,” </w:t>
      </w:r>
      <w:r w:rsidRPr="004540D4">
        <w:rPr>
          <w:rFonts w:eastAsiaTheme="minorEastAsia"/>
          <w:i/>
          <w:iCs/>
          <w:sz w:val="20"/>
          <w:lang w:eastAsia="ko-KR"/>
        </w:rPr>
        <w:t>Mach. Learn.</w:t>
      </w:r>
      <w:r w:rsidRPr="004540D4">
        <w:rPr>
          <w:rFonts w:eastAsiaTheme="minorEastAsia"/>
          <w:sz w:val="20"/>
          <w:lang w:eastAsia="ko-KR"/>
        </w:rPr>
        <w:t>, vol. 45, no. 1, pp. 5–32, Oct. 2001, doi: 10.1023/A:1010933404324.</w:t>
      </w:r>
    </w:p>
    <w:p w14:paraId="57596BE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[15]</w:t>
      </w:r>
      <w:r w:rsidRPr="004540D4">
        <w:rPr>
          <w:rFonts w:eastAsiaTheme="minorEastAsia"/>
          <w:sz w:val="20"/>
          <w:lang w:eastAsia="ko-KR"/>
        </w:rPr>
        <w:tab/>
        <w:t xml:space="preserve">G. Ke </w:t>
      </w:r>
      <w:r w:rsidRPr="004540D4">
        <w:rPr>
          <w:rFonts w:eastAsiaTheme="minorEastAsia"/>
          <w:i/>
          <w:iCs/>
          <w:sz w:val="20"/>
          <w:lang w:eastAsia="ko-KR"/>
        </w:rPr>
        <w:t>et al.</w:t>
      </w:r>
      <w:r w:rsidRPr="004540D4">
        <w:rPr>
          <w:rFonts w:eastAsiaTheme="minorEastAsia"/>
          <w:sz w:val="20"/>
          <w:lang w:eastAsia="ko-KR"/>
        </w:rPr>
        <w:t xml:space="preserve">, “LightGBM: a highly efficient gradient boosting decision tree,” in </w:t>
      </w:r>
      <w:r w:rsidRPr="004540D4">
        <w:rPr>
          <w:rFonts w:eastAsiaTheme="minorEastAsia"/>
          <w:i/>
          <w:iCs/>
          <w:sz w:val="20"/>
          <w:lang w:eastAsia="ko-KR"/>
        </w:rPr>
        <w:t>Proceedings of the 31st International Conference on Neural Information Processing Systems</w:t>
      </w:r>
      <w:r w:rsidRPr="004540D4">
        <w:rPr>
          <w:rFonts w:eastAsiaTheme="minorEastAsia"/>
          <w:sz w:val="20"/>
          <w:lang w:eastAsia="ko-KR"/>
        </w:rPr>
        <w:t>, in NIPS’17. Red Hook, NY, USA: Curran Associates Inc., Dec. 2017, pp. 3149–3157.</w:t>
      </w:r>
    </w:p>
    <w:p w14:paraId="1C8D25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[16]</w:t>
      </w:r>
      <w:r w:rsidRPr="004540D4">
        <w:rPr>
          <w:rFonts w:eastAsiaTheme="minorEastAsia"/>
          <w:sz w:val="20"/>
          <w:lang w:eastAsia="ko-KR"/>
        </w:rPr>
        <w:tab/>
        <w:t xml:space="preserve">Y. V. Tan and J. Roy, “Bayesian additive regression trees and the General BART model,” </w:t>
      </w:r>
      <w:r w:rsidRPr="004540D4">
        <w:rPr>
          <w:rFonts w:eastAsiaTheme="minorEastAsia"/>
          <w:i/>
          <w:iCs/>
          <w:sz w:val="20"/>
          <w:lang w:eastAsia="ko-KR"/>
        </w:rPr>
        <w:t>Stat. Med.</w:t>
      </w:r>
      <w:r w:rsidRPr="004540D4">
        <w:rPr>
          <w:rFonts w:eastAsiaTheme="minorEastAsia"/>
          <w:sz w:val="20"/>
          <w:lang w:eastAsia="ko-KR"/>
        </w:rPr>
        <w:t>, vol. 38, no. 25, pp. 5048–5069, Nov. 2019, doi: 10.1002/sim.8347.</w:t>
      </w:r>
    </w:p>
    <w:p w14:paraId="6DD457E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[17]</w:t>
      </w:r>
      <w:r w:rsidRPr="004540D4">
        <w:rPr>
          <w:rFonts w:eastAsiaTheme="minorEastAsia"/>
          <w:sz w:val="20"/>
          <w:lang w:eastAsia="ko-KR"/>
        </w:rPr>
        <w:tab/>
        <w:t xml:space="preserve">H. Drucker, C. J. C. Burges, L. Kaufman, A. Smola, and V. Vapnik, “Support vector regression machines,” in </w:t>
      </w:r>
      <w:r w:rsidRPr="004540D4">
        <w:rPr>
          <w:rFonts w:eastAsiaTheme="minorEastAsia"/>
          <w:i/>
          <w:iCs/>
          <w:sz w:val="20"/>
          <w:lang w:eastAsia="ko-KR"/>
        </w:rPr>
        <w:t>Proceedings of the 10th International Conference on Neural Information Processing Systems</w:t>
      </w:r>
      <w:r w:rsidRPr="004540D4">
        <w:rPr>
          <w:rFonts w:eastAsiaTheme="minorEastAsia"/>
          <w:sz w:val="20"/>
          <w:lang w:eastAsia="ko-KR"/>
        </w:rPr>
        <w:t>, in NIPS’96. Cambridge, MA, USA: MIT Press, Dec. 1996, pp. 155–161.</w:t>
      </w:r>
    </w:p>
    <w:p w14:paraId="063CA7B0"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[18]</w:t>
      </w:r>
      <w:r w:rsidRPr="004540D4">
        <w:rPr>
          <w:rFonts w:eastAsiaTheme="minorEastAsia"/>
          <w:sz w:val="20"/>
          <w:lang w:eastAsia="ko-KR"/>
        </w:rPr>
        <w:tab/>
        <w:t xml:space="preserve">G. Chowell, P. W. Fenimore, M. A. Castillo-Garsow, and C. Castillo-Chavez, “SARS outbreaks in Ontario, Hong Kong and Singapore: the role of diagnosis and isolation as a control mechanism,” </w:t>
      </w:r>
      <w:r w:rsidRPr="004540D4">
        <w:rPr>
          <w:rFonts w:eastAsiaTheme="minorEastAsia"/>
          <w:i/>
          <w:iCs/>
          <w:sz w:val="20"/>
          <w:lang w:eastAsia="ko-KR"/>
        </w:rPr>
        <w:t>J. Theor. Biol.</w:t>
      </w:r>
      <w:r w:rsidRPr="004540D4">
        <w:rPr>
          <w:rFonts w:eastAsiaTheme="minorEastAsia"/>
          <w:sz w:val="20"/>
          <w:lang w:eastAsia="ko-KR"/>
        </w:rPr>
        <w:t>, vol. 224, no. 1, pp. 1–8, Sept. 2003, doi: 10.1016/s0022-5193(03)00228-5.</w:t>
      </w:r>
    </w:p>
    <w:p w14:paraId="5FF9C6F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[19]</w:t>
      </w:r>
      <w:r w:rsidRPr="004540D4">
        <w:rPr>
          <w:rFonts w:eastAsiaTheme="minorEastAsia"/>
          <w:sz w:val="20"/>
          <w:lang w:eastAsia="ko-KR"/>
        </w:rPr>
        <w:tab/>
        <w:t xml:space="preserve">T. A and W. J, “Analysis of logistic growth models,” </w:t>
      </w:r>
      <w:r w:rsidRPr="004540D4">
        <w:rPr>
          <w:rFonts w:eastAsiaTheme="minorEastAsia"/>
          <w:i/>
          <w:iCs/>
          <w:sz w:val="20"/>
          <w:lang w:eastAsia="ko-KR"/>
        </w:rPr>
        <w:t>Math. Biosci.</w:t>
      </w:r>
      <w:r w:rsidRPr="004540D4">
        <w:rPr>
          <w:rFonts w:eastAsiaTheme="minorEastAsia"/>
          <w:sz w:val="20"/>
          <w:lang w:eastAsia="ko-KR"/>
        </w:rPr>
        <w:t>, vol. 179, no. 1, Aug. 2002, doi: 10.1016/s0025-5564(02)00096-2.</w:t>
      </w:r>
    </w:p>
    <w:p w14:paraId="0C526B71"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[20]</w:t>
      </w:r>
      <w:r w:rsidRPr="004540D4">
        <w:rPr>
          <w:rFonts w:eastAsiaTheme="minorEastAsia"/>
          <w:sz w:val="20"/>
          <w:lang w:eastAsia="ko-KR"/>
        </w:rPr>
        <w:tab/>
        <w:t xml:space="preserve">R. Karimi </w:t>
      </w:r>
      <w:r w:rsidRPr="004540D4">
        <w:rPr>
          <w:rFonts w:eastAsiaTheme="minorEastAsia"/>
          <w:i/>
          <w:iCs/>
          <w:sz w:val="20"/>
          <w:lang w:eastAsia="ko-KR"/>
        </w:rPr>
        <w:t>et al.</w:t>
      </w:r>
      <w:r w:rsidRPr="004540D4">
        <w:rPr>
          <w:rFonts w:eastAsiaTheme="minorEastAsia"/>
          <w:sz w:val="20"/>
          <w:lang w:eastAsia="ko-KR"/>
        </w:rPr>
        <w:t xml:space="preserve">, “Basic Reproduction Number (R0), Doubling Time, and Daily Growth Rate of the COVID-19 Epidemic: An Echological Study,” </w:t>
      </w:r>
      <w:r w:rsidRPr="004540D4">
        <w:rPr>
          <w:rFonts w:eastAsiaTheme="minorEastAsia"/>
          <w:i/>
          <w:iCs/>
          <w:sz w:val="20"/>
          <w:lang w:eastAsia="ko-KR"/>
        </w:rPr>
        <w:t>Arch. Acad. Emerg. Med.</w:t>
      </w:r>
      <w:r w:rsidRPr="004540D4">
        <w:rPr>
          <w:rFonts w:eastAsiaTheme="minorEastAsia"/>
          <w:sz w:val="20"/>
          <w:lang w:eastAsia="ko-KR"/>
        </w:rPr>
        <w:t>, vol. 12, no. 1, p. e66, Sept. 2024, doi: 10.22037/aaem.v12i1.2376.</w:t>
      </w:r>
    </w:p>
    <w:p w14:paraId="50F077A3"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[21]</w:t>
      </w:r>
      <w:r w:rsidRPr="004540D4">
        <w:rPr>
          <w:rFonts w:eastAsiaTheme="minorEastAsia"/>
          <w:sz w:val="20"/>
          <w:lang w:eastAsia="ko-KR"/>
        </w:rPr>
        <w:tab/>
        <w:t xml:space="preserve">A. Anzai and H. Nishiura, “Doubling time of infectious diseases,” </w:t>
      </w:r>
      <w:r w:rsidRPr="004540D4">
        <w:rPr>
          <w:rFonts w:eastAsiaTheme="minorEastAsia"/>
          <w:i/>
          <w:iCs/>
          <w:sz w:val="20"/>
          <w:lang w:eastAsia="ko-KR"/>
        </w:rPr>
        <w:t>J. Theor. Biol.</w:t>
      </w:r>
      <w:r w:rsidRPr="004540D4">
        <w:rPr>
          <w:rFonts w:eastAsiaTheme="minorEastAsia"/>
          <w:sz w:val="20"/>
          <w:lang w:eastAsia="ko-KR"/>
        </w:rPr>
        <w:t>, p. 111278, Sept. 2022, doi: 10.1016/j.jtbi.2022.111278.</w:t>
      </w:r>
    </w:p>
    <w:p w14:paraId="342A7AC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[22]</w:t>
      </w:r>
      <w:r w:rsidRPr="004540D4">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4540D4">
        <w:rPr>
          <w:rFonts w:eastAsiaTheme="minorEastAsia"/>
          <w:i/>
          <w:iCs/>
          <w:sz w:val="20"/>
          <w:lang w:eastAsia="ko-KR"/>
        </w:rPr>
        <w:t>Curr. Med. Sci.</w:t>
      </w:r>
      <w:r w:rsidRPr="004540D4">
        <w:rPr>
          <w:rFonts w:eastAsiaTheme="minorEastAsia"/>
          <w:sz w:val="20"/>
          <w:lang w:eastAsia="ko-KR"/>
        </w:rPr>
        <w:t>, vol. 44, no. 2, pp. 273–280, Apr. 2024, doi: 10.1007/s11596-024-2850-x.</w:t>
      </w:r>
    </w:p>
    <w:p w14:paraId="5CB5514D"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[23]</w:t>
      </w:r>
      <w:r w:rsidRPr="004540D4">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4540D4">
        <w:rPr>
          <w:rFonts w:eastAsiaTheme="minorEastAsia"/>
          <w:i/>
          <w:iCs/>
          <w:sz w:val="20"/>
          <w:lang w:eastAsia="ko-KR"/>
        </w:rPr>
        <w:t>Environ. Sci. Pollut. Res. Int.</w:t>
      </w:r>
      <w:r w:rsidRPr="004540D4">
        <w:rPr>
          <w:rFonts w:eastAsiaTheme="minorEastAsia"/>
          <w:sz w:val="20"/>
          <w:lang w:eastAsia="ko-KR"/>
        </w:rPr>
        <w:t>, vol. 30, no. 5, p. 13648, Sept. 2022, doi: 10.1007/s11356-022-23132-3.</w:t>
      </w:r>
    </w:p>
    <w:p w14:paraId="32FCE07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[24]</w:t>
      </w:r>
      <w:r w:rsidRPr="004540D4">
        <w:rPr>
          <w:rFonts w:eastAsiaTheme="minorEastAsia"/>
          <w:sz w:val="20"/>
          <w:lang w:eastAsia="ko-KR"/>
        </w:rPr>
        <w:tab/>
        <w:t xml:space="preserve">V. C </w:t>
      </w:r>
      <w:r w:rsidRPr="004540D4">
        <w:rPr>
          <w:rFonts w:eastAsiaTheme="minorEastAsia"/>
          <w:i/>
          <w:iCs/>
          <w:sz w:val="20"/>
          <w:lang w:eastAsia="ko-KR"/>
        </w:rPr>
        <w:t>et al.</w:t>
      </w:r>
      <w:r w:rsidRPr="004540D4">
        <w:rPr>
          <w:rFonts w:eastAsiaTheme="minorEastAsia"/>
          <w:sz w:val="20"/>
          <w:lang w:eastAsia="ko-KR"/>
        </w:rPr>
        <w:t xml:space="preserve">, “Demonstrating the use of high-volume electronic medical claims data to monitor local and regional influenza activity in the US,” </w:t>
      </w:r>
      <w:r w:rsidRPr="004540D4">
        <w:rPr>
          <w:rFonts w:eastAsiaTheme="minorEastAsia"/>
          <w:i/>
          <w:iCs/>
          <w:sz w:val="20"/>
          <w:lang w:eastAsia="ko-KR"/>
        </w:rPr>
        <w:t>PloS One</w:t>
      </w:r>
      <w:r w:rsidRPr="004540D4">
        <w:rPr>
          <w:rFonts w:eastAsiaTheme="minorEastAsia"/>
          <w:sz w:val="20"/>
          <w:lang w:eastAsia="ko-KR"/>
        </w:rPr>
        <w:t>, vol. 9, no. 7, July 2014, doi: 10.1371/journal.pone.0102429.</w:t>
      </w:r>
    </w:p>
    <w:p w14:paraId="2A3C523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[25]</w:t>
      </w:r>
      <w:r w:rsidRPr="004540D4">
        <w:rPr>
          <w:rFonts w:eastAsiaTheme="minorEastAsia"/>
          <w:sz w:val="20"/>
          <w:lang w:eastAsia="ko-KR"/>
        </w:rPr>
        <w:tab/>
        <w:t xml:space="preserve">C. Reed </w:t>
      </w:r>
      <w:r w:rsidRPr="004540D4">
        <w:rPr>
          <w:rFonts w:eastAsiaTheme="minorEastAsia"/>
          <w:i/>
          <w:iCs/>
          <w:sz w:val="20"/>
          <w:lang w:eastAsia="ko-KR"/>
        </w:rPr>
        <w:t>et al.</w:t>
      </w:r>
      <w:r w:rsidRPr="004540D4">
        <w:rPr>
          <w:rFonts w:eastAsiaTheme="minorEastAsia"/>
          <w:sz w:val="20"/>
          <w:lang w:eastAsia="ko-KR"/>
        </w:rPr>
        <w:t xml:space="preserve">, “Estimates of the prevalence of pandemic (H1N1) 2009, United States, April-July 2009,” </w:t>
      </w:r>
      <w:r w:rsidRPr="004540D4">
        <w:rPr>
          <w:rFonts w:eastAsiaTheme="minorEastAsia"/>
          <w:i/>
          <w:iCs/>
          <w:sz w:val="20"/>
          <w:lang w:eastAsia="ko-KR"/>
        </w:rPr>
        <w:t xml:space="preserve">Emerg. </w:t>
      </w:r>
      <w:r w:rsidRPr="004540D4">
        <w:rPr>
          <w:rFonts w:eastAsiaTheme="minorEastAsia"/>
          <w:i/>
          <w:iCs/>
          <w:sz w:val="20"/>
          <w:lang w:eastAsia="ko-KR"/>
        </w:rPr>
        <w:lastRenderedPageBreak/>
        <w:t>Infect. Dis.</w:t>
      </w:r>
      <w:r w:rsidRPr="004540D4">
        <w:rPr>
          <w:rFonts w:eastAsiaTheme="minorEastAsia"/>
          <w:sz w:val="20"/>
          <w:lang w:eastAsia="ko-KR"/>
        </w:rPr>
        <w:t>, vol. 15, no. 12, pp. 2004–2007, Dec. 2009, doi: 10.3201/eid1512.091413.</w:t>
      </w:r>
    </w:p>
    <w:p w14:paraId="672A835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[26]</w:t>
      </w:r>
      <w:r w:rsidRPr="004540D4">
        <w:rPr>
          <w:rFonts w:eastAsiaTheme="minorEastAsia"/>
          <w:sz w:val="20"/>
          <w:lang w:eastAsia="ko-KR"/>
        </w:rPr>
        <w:tab/>
        <w:t xml:space="preserve">X. Deng </w:t>
      </w:r>
      <w:r w:rsidRPr="004540D4">
        <w:rPr>
          <w:rFonts w:eastAsiaTheme="minorEastAsia"/>
          <w:i/>
          <w:iCs/>
          <w:sz w:val="20"/>
          <w:lang w:eastAsia="ko-KR"/>
        </w:rPr>
        <w:t>et al.</w:t>
      </w:r>
      <w:r w:rsidRPr="004540D4">
        <w:rPr>
          <w:rFonts w:eastAsiaTheme="minorEastAsia"/>
          <w:sz w:val="20"/>
          <w:lang w:eastAsia="ko-KR"/>
        </w:rPr>
        <w:t xml:space="preserve">, “Genomic surveillance reveals multiple introductions of SARS-CoV-2 into Northern California,” </w:t>
      </w:r>
      <w:r w:rsidRPr="004540D4">
        <w:rPr>
          <w:rFonts w:eastAsiaTheme="minorEastAsia"/>
          <w:i/>
          <w:iCs/>
          <w:sz w:val="20"/>
          <w:lang w:eastAsia="ko-KR"/>
        </w:rPr>
        <w:t>Science</w:t>
      </w:r>
      <w:r w:rsidRPr="004540D4">
        <w:rPr>
          <w:rFonts w:eastAsiaTheme="minorEastAsia"/>
          <w:sz w:val="20"/>
          <w:lang w:eastAsia="ko-KR"/>
        </w:rPr>
        <w:t>, vol. 369, no. 6503, pp. 582–587, July 2020, doi: 10.1126/science.abb9263.</w:t>
      </w:r>
    </w:p>
    <w:p w14:paraId="64FD4A0A"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[27]</w:t>
      </w:r>
      <w:r w:rsidRPr="004540D4">
        <w:rPr>
          <w:rFonts w:eastAsiaTheme="minorEastAsia"/>
          <w:sz w:val="20"/>
          <w:lang w:eastAsia="ko-KR"/>
        </w:rPr>
        <w:tab/>
        <w:t xml:space="preserve">T. Bedford </w:t>
      </w:r>
      <w:r w:rsidRPr="004540D4">
        <w:rPr>
          <w:rFonts w:eastAsiaTheme="minorEastAsia"/>
          <w:i/>
          <w:iCs/>
          <w:sz w:val="20"/>
          <w:lang w:eastAsia="ko-KR"/>
        </w:rPr>
        <w:t>et al.</w:t>
      </w:r>
      <w:r w:rsidRPr="004540D4">
        <w:rPr>
          <w:rFonts w:eastAsiaTheme="minorEastAsia"/>
          <w:sz w:val="20"/>
          <w:lang w:eastAsia="ko-KR"/>
        </w:rPr>
        <w:t xml:space="preserve">, “Cryptic transmission of SARS-CoV-2 in Washington state,” </w:t>
      </w:r>
      <w:r w:rsidRPr="004540D4">
        <w:rPr>
          <w:rFonts w:eastAsiaTheme="minorEastAsia"/>
          <w:i/>
          <w:iCs/>
          <w:sz w:val="20"/>
          <w:lang w:eastAsia="ko-KR"/>
        </w:rPr>
        <w:t>Science</w:t>
      </w:r>
      <w:r w:rsidRPr="004540D4">
        <w:rPr>
          <w:rFonts w:eastAsiaTheme="minorEastAsia"/>
          <w:sz w:val="20"/>
          <w:lang w:eastAsia="ko-KR"/>
        </w:rPr>
        <w:t>, vol. 370, no. 6516, pp. 571–575, Oct. 2020, doi: 10.1126/science.abc0523.</w:t>
      </w:r>
    </w:p>
    <w:p w14:paraId="5866BF10" w14:textId="640E4CA1" w:rsidR="00B374F0" w:rsidRPr="009D7D44" w:rsidRDefault="00B374F0" w:rsidP="004540D4">
      <w:pPr>
        <w:pStyle w:val="Bibliography"/>
        <w:rPr>
          <w:sz w:val="20"/>
          <w:szCs w:val="20"/>
          <w:lang w:eastAsia="zh-CN"/>
        </w:rPr>
      </w:pPr>
      <w:r>
        <w:rPr>
          <w:sz w:val="20"/>
          <w:szCs w:val="20"/>
          <w:lang w:eastAsia="zh-CN"/>
        </w:rPr>
        <w:fldChar w:fldCharType="end"/>
      </w:r>
    </w:p>
    <w:sectPr w:rsidR="00B374F0" w:rsidRPr="009D7D44"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4A6DF" w14:textId="77777777" w:rsidR="000E2509" w:rsidRDefault="000E2509" w:rsidP="00D3651D">
      <w:r>
        <w:separator/>
      </w:r>
    </w:p>
  </w:endnote>
  <w:endnote w:type="continuationSeparator" w:id="0">
    <w:p w14:paraId="2A39FC01" w14:textId="77777777" w:rsidR="000E2509" w:rsidRDefault="000E2509" w:rsidP="00D3651D">
      <w:r>
        <w:continuationSeparator/>
      </w:r>
    </w:p>
  </w:endnote>
  <w:endnote w:type="continuationNotice" w:id="1">
    <w:p w14:paraId="572CBAE4" w14:textId="77777777" w:rsidR="000E2509" w:rsidRDefault="000E25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F43E9" w14:textId="77777777" w:rsidR="000E2509" w:rsidRDefault="000E2509" w:rsidP="00D3651D">
      <w:r>
        <w:separator/>
      </w:r>
    </w:p>
  </w:footnote>
  <w:footnote w:type="continuationSeparator" w:id="0">
    <w:p w14:paraId="0BB288EC" w14:textId="77777777" w:rsidR="000E2509" w:rsidRDefault="000E2509" w:rsidP="00D3651D">
      <w:r>
        <w:continuationSeparator/>
      </w:r>
    </w:p>
  </w:footnote>
  <w:footnote w:type="continuationNotice" w:id="1">
    <w:p w14:paraId="1626E174" w14:textId="77777777" w:rsidR="000E2509" w:rsidRDefault="000E250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8"/>
  </w:num>
  <w:num w:numId="4" w16cid:durableId="914169778">
    <w:abstractNumId w:val="6"/>
  </w:num>
  <w:num w:numId="5" w16cid:durableId="1840387213">
    <w:abstractNumId w:val="12"/>
  </w:num>
  <w:num w:numId="6" w16cid:durableId="842284517">
    <w:abstractNumId w:val="3"/>
  </w:num>
  <w:num w:numId="7" w16cid:durableId="2114398685">
    <w:abstractNumId w:val="5"/>
  </w:num>
  <w:num w:numId="8" w16cid:durableId="209802491">
    <w:abstractNumId w:val="9"/>
  </w:num>
  <w:num w:numId="9" w16cid:durableId="2133552152">
    <w:abstractNumId w:val="10"/>
  </w:num>
  <w:num w:numId="10" w16cid:durableId="1481530932">
    <w:abstractNumId w:val="1"/>
  </w:num>
  <w:num w:numId="11" w16cid:durableId="29302338">
    <w:abstractNumId w:val="0"/>
  </w:num>
  <w:num w:numId="12" w16cid:durableId="2146391294">
    <w:abstractNumId w:val="11"/>
  </w:num>
  <w:num w:numId="13" w16cid:durableId="150932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qwFAB1YAj8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55E9"/>
    <w:rsid w:val="00005F9C"/>
    <w:rsid w:val="00007C9A"/>
    <w:rsid w:val="00011F6A"/>
    <w:rsid w:val="00012339"/>
    <w:rsid w:val="00013595"/>
    <w:rsid w:val="0001394A"/>
    <w:rsid w:val="000153B5"/>
    <w:rsid w:val="00015853"/>
    <w:rsid w:val="00016151"/>
    <w:rsid w:val="000163E7"/>
    <w:rsid w:val="0002007F"/>
    <w:rsid w:val="0002700B"/>
    <w:rsid w:val="00031BE9"/>
    <w:rsid w:val="000327AB"/>
    <w:rsid w:val="00035343"/>
    <w:rsid w:val="0003732D"/>
    <w:rsid w:val="000403BE"/>
    <w:rsid w:val="00044391"/>
    <w:rsid w:val="000478C2"/>
    <w:rsid w:val="00047B70"/>
    <w:rsid w:val="00047BB5"/>
    <w:rsid w:val="000504BA"/>
    <w:rsid w:val="00052C70"/>
    <w:rsid w:val="00055229"/>
    <w:rsid w:val="00056424"/>
    <w:rsid w:val="00056D19"/>
    <w:rsid w:val="00056EB5"/>
    <w:rsid w:val="00060A34"/>
    <w:rsid w:val="00061552"/>
    <w:rsid w:val="00063192"/>
    <w:rsid w:val="00064590"/>
    <w:rsid w:val="00064AA8"/>
    <w:rsid w:val="00064B0A"/>
    <w:rsid w:val="00064CEB"/>
    <w:rsid w:val="00065C4D"/>
    <w:rsid w:val="0006614D"/>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20E0"/>
    <w:rsid w:val="00093074"/>
    <w:rsid w:val="0009354D"/>
    <w:rsid w:val="00093D97"/>
    <w:rsid w:val="0009508F"/>
    <w:rsid w:val="0009595F"/>
    <w:rsid w:val="0009600A"/>
    <w:rsid w:val="000A0EBF"/>
    <w:rsid w:val="000A1BDB"/>
    <w:rsid w:val="000A2145"/>
    <w:rsid w:val="000A2F62"/>
    <w:rsid w:val="000A3165"/>
    <w:rsid w:val="000A32B2"/>
    <w:rsid w:val="000A4626"/>
    <w:rsid w:val="000A5A36"/>
    <w:rsid w:val="000A5CCE"/>
    <w:rsid w:val="000A5FCB"/>
    <w:rsid w:val="000A63AA"/>
    <w:rsid w:val="000A7226"/>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2509"/>
    <w:rsid w:val="000E35E5"/>
    <w:rsid w:val="000E4169"/>
    <w:rsid w:val="000F0D17"/>
    <w:rsid w:val="000F101F"/>
    <w:rsid w:val="000F2973"/>
    <w:rsid w:val="000F2CF7"/>
    <w:rsid w:val="000F39A6"/>
    <w:rsid w:val="000F4222"/>
    <w:rsid w:val="000F49A7"/>
    <w:rsid w:val="000F7068"/>
    <w:rsid w:val="000F7E0B"/>
    <w:rsid w:val="00100CBC"/>
    <w:rsid w:val="00101AB1"/>
    <w:rsid w:val="00101F2E"/>
    <w:rsid w:val="00102AB0"/>
    <w:rsid w:val="00103A85"/>
    <w:rsid w:val="00106AA9"/>
    <w:rsid w:val="00107434"/>
    <w:rsid w:val="00107495"/>
    <w:rsid w:val="0010784D"/>
    <w:rsid w:val="00107AC1"/>
    <w:rsid w:val="00107EC3"/>
    <w:rsid w:val="00110837"/>
    <w:rsid w:val="00110F40"/>
    <w:rsid w:val="001118CC"/>
    <w:rsid w:val="00111D49"/>
    <w:rsid w:val="00114477"/>
    <w:rsid w:val="00114BF9"/>
    <w:rsid w:val="00115A2D"/>
    <w:rsid w:val="00115B19"/>
    <w:rsid w:val="00120D24"/>
    <w:rsid w:val="00120FA2"/>
    <w:rsid w:val="001216B1"/>
    <w:rsid w:val="0012182B"/>
    <w:rsid w:val="00121F51"/>
    <w:rsid w:val="001225C4"/>
    <w:rsid w:val="00123090"/>
    <w:rsid w:val="00123098"/>
    <w:rsid w:val="00124879"/>
    <w:rsid w:val="001261A7"/>
    <w:rsid w:val="00126760"/>
    <w:rsid w:val="001279A1"/>
    <w:rsid w:val="00127DE9"/>
    <w:rsid w:val="001303D3"/>
    <w:rsid w:val="001305B3"/>
    <w:rsid w:val="00132071"/>
    <w:rsid w:val="001329AD"/>
    <w:rsid w:val="00132FFC"/>
    <w:rsid w:val="00133223"/>
    <w:rsid w:val="001335A5"/>
    <w:rsid w:val="001363CD"/>
    <w:rsid w:val="001408C9"/>
    <w:rsid w:val="0014174E"/>
    <w:rsid w:val="00141E6F"/>
    <w:rsid w:val="00143368"/>
    <w:rsid w:val="00143948"/>
    <w:rsid w:val="00145879"/>
    <w:rsid w:val="00147C6C"/>
    <w:rsid w:val="0015016F"/>
    <w:rsid w:val="00150359"/>
    <w:rsid w:val="00150B56"/>
    <w:rsid w:val="001545F2"/>
    <w:rsid w:val="00154A6E"/>
    <w:rsid w:val="0015512C"/>
    <w:rsid w:val="001556DF"/>
    <w:rsid w:val="0015573B"/>
    <w:rsid w:val="00155A81"/>
    <w:rsid w:val="00156057"/>
    <w:rsid w:val="001562A5"/>
    <w:rsid w:val="00157DA8"/>
    <w:rsid w:val="001603D3"/>
    <w:rsid w:val="001622B9"/>
    <w:rsid w:val="00163036"/>
    <w:rsid w:val="00164B33"/>
    <w:rsid w:val="00166C1B"/>
    <w:rsid w:val="00167E91"/>
    <w:rsid w:val="001708E2"/>
    <w:rsid w:val="00171A1E"/>
    <w:rsid w:val="00171EB7"/>
    <w:rsid w:val="001724BD"/>
    <w:rsid w:val="001724C1"/>
    <w:rsid w:val="001732D0"/>
    <w:rsid w:val="001761EF"/>
    <w:rsid w:val="001779FF"/>
    <w:rsid w:val="00177DF7"/>
    <w:rsid w:val="0018035E"/>
    <w:rsid w:val="00180463"/>
    <w:rsid w:val="001823BB"/>
    <w:rsid w:val="00182C4F"/>
    <w:rsid w:val="00182DD7"/>
    <w:rsid w:val="00183555"/>
    <w:rsid w:val="001847E3"/>
    <w:rsid w:val="00184C78"/>
    <w:rsid w:val="001867B5"/>
    <w:rsid w:val="00186965"/>
    <w:rsid w:val="00186FB1"/>
    <w:rsid w:val="0018704F"/>
    <w:rsid w:val="00187104"/>
    <w:rsid w:val="0019248F"/>
    <w:rsid w:val="00192897"/>
    <w:rsid w:val="0019295C"/>
    <w:rsid w:val="00193073"/>
    <w:rsid w:val="00194C4F"/>
    <w:rsid w:val="00195BAA"/>
    <w:rsid w:val="00196297"/>
    <w:rsid w:val="00196BCC"/>
    <w:rsid w:val="0019794B"/>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B7157"/>
    <w:rsid w:val="001C1B31"/>
    <w:rsid w:val="001C2032"/>
    <w:rsid w:val="001C25BD"/>
    <w:rsid w:val="001C29D5"/>
    <w:rsid w:val="001C62A0"/>
    <w:rsid w:val="001C719D"/>
    <w:rsid w:val="001D07B1"/>
    <w:rsid w:val="001D0A47"/>
    <w:rsid w:val="001D0EDB"/>
    <w:rsid w:val="001D12D9"/>
    <w:rsid w:val="001D235D"/>
    <w:rsid w:val="001D2D50"/>
    <w:rsid w:val="001D5103"/>
    <w:rsid w:val="001D7471"/>
    <w:rsid w:val="001E15E1"/>
    <w:rsid w:val="001F14B9"/>
    <w:rsid w:val="001F1A57"/>
    <w:rsid w:val="001F2D1B"/>
    <w:rsid w:val="001F5972"/>
    <w:rsid w:val="001F5CCC"/>
    <w:rsid w:val="001F5E3E"/>
    <w:rsid w:val="001F7722"/>
    <w:rsid w:val="00200539"/>
    <w:rsid w:val="00204DB5"/>
    <w:rsid w:val="0020548E"/>
    <w:rsid w:val="0020770B"/>
    <w:rsid w:val="0021060E"/>
    <w:rsid w:val="0021246D"/>
    <w:rsid w:val="002130E0"/>
    <w:rsid w:val="00213C1F"/>
    <w:rsid w:val="002145D9"/>
    <w:rsid w:val="00216908"/>
    <w:rsid w:val="0021721F"/>
    <w:rsid w:val="002200AF"/>
    <w:rsid w:val="00220517"/>
    <w:rsid w:val="00221611"/>
    <w:rsid w:val="0022273F"/>
    <w:rsid w:val="00223903"/>
    <w:rsid w:val="00224C5A"/>
    <w:rsid w:val="00230D4D"/>
    <w:rsid w:val="0023173A"/>
    <w:rsid w:val="00231E9E"/>
    <w:rsid w:val="00232AA1"/>
    <w:rsid w:val="00232C63"/>
    <w:rsid w:val="002331B2"/>
    <w:rsid w:val="00234576"/>
    <w:rsid w:val="00235AE2"/>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B18"/>
    <w:rsid w:val="00294E1E"/>
    <w:rsid w:val="002953F6"/>
    <w:rsid w:val="00295AE9"/>
    <w:rsid w:val="0029605B"/>
    <w:rsid w:val="0029786B"/>
    <w:rsid w:val="002A00E6"/>
    <w:rsid w:val="002A1CBF"/>
    <w:rsid w:val="002A2763"/>
    <w:rsid w:val="002A37BB"/>
    <w:rsid w:val="002A3A41"/>
    <w:rsid w:val="002A4AC4"/>
    <w:rsid w:val="002A4FCB"/>
    <w:rsid w:val="002A5D90"/>
    <w:rsid w:val="002A784F"/>
    <w:rsid w:val="002B184B"/>
    <w:rsid w:val="002B1FEC"/>
    <w:rsid w:val="002B2723"/>
    <w:rsid w:val="002B2D8E"/>
    <w:rsid w:val="002B4772"/>
    <w:rsid w:val="002B51F2"/>
    <w:rsid w:val="002B5470"/>
    <w:rsid w:val="002B5EAA"/>
    <w:rsid w:val="002B6656"/>
    <w:rsid w:val="002B7870"/>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2756"/>
    <w:rsid w:val="00337CD2"/>
    <w:rsid w:val="00340897"/>
    <w:rsid w:val="00342CA7"/>
    <w:rsid w:val="00344153"/>
    <w:rsid w:val="0034613C"/>
    <w:rsid w:val="0034616C"/>
    <w:rsid w:val="003465FF"/>
    <w:rsid w:val="00350814"/>
    <w:rsid w:val="00352A5A"/>
    <w:rsid w:val="00352C35"/>
    <w:rsid w:val="00353751"/>
    <w:rsid w:val="00354098"/>
    <w:rsid w:val="00354EB3"/>
    <w:rsid w:val="00355977"/>
    <w:rsid w:val="00355C4A"/>
    <w:rsid w:val="00355DFC"/>
    <w:rsid w:val="0035724B"/>
    <w:rsid w:val="00360815"/>
    <w:rsid w:val="00361A7A"/>
    <w:rsid w:val="00361FF3"/>
    <w:rsid w:val="003627DB"/>
    <w:rsid w:val="00362CE7"/>
    <w:rsid w:val="00362F40"/>
    <w:rsid w:val="003632B4"/>
    <w:rsid w:val="00363DC6"/>
    <w:rsid w:val="00365132"/>
    <w:rsid w:val="00365F91"/>
    <w:rsid w:val="003661E7"/>
    <w:rsid w:val="003671EC"/>
    <w:rsid w:val="0036748A"/>
    <w:rsid w:val="0037002D"/>
    <w:rsid w:val="00371C56"/>
    <w:rsid w:val="003723A5"/>
    <w:rsid w:val="00372EFC"/>
    <w:rsid w:val="00373DE4"/>
    <w:rsid w:val="003749F0"/>
    <w:rsid w:val="003762D1"/>
    <w:rsid w:val="00377F05"/>
    <w:rsid w:val="00377FF6"/>
    <w:rsid w:val="00380E92"/>
    <w:rsid w:val="00381385"/>
    <w:rsid w:val="00382154"/>
    <w:rsid w:val="00382677"/>
    <w:rsid w:val="00382752"/>
    <w:rsid w:val="00382B27"/>
    <w:rsid w:val="00385151"/>
    <w:rsid w:val="00385C63"/>
    <w:rsid w:val="003860CC"/>
    <w:rsid w:val="003864F8"/>
    <w:rsid w:val="00387A87"/>
    <w:rsid w:val="00391116"/>
    <w:rsid w:val="00392E2B"/>
    <w:rsid w:val="0039391B"/>
    <w:rsid w:val="003946BD"/>
    <w:rsid w:val="00394B34"/>
    <w:rsid w:val="00394ED8"/>
    <w:rsid w:val="00396F53"/>
    <w:rsid w:val="00397A84"/>
    <w:rsid w:val="003A043A"/>
    <w:rsid w:val="003A164D"/>
    <w:rsid w:val="003A2DFC"/>
    <w:rsid w:val="003A2F36"/>
    <w:rsid w:val="003A31A0"/>
    <w:rsid w:val="003A50A0"/>
    <w:rsid w:val="003A5A7C"/>
    <w:rsid w:val="003A7085"/>
    <w:rsid w:val="003A70B4"/>
    <w:rsid w:val="003A7D76"/>
    <w:rsid w:val="003B359E"/>
    <w:rsid w:val="003B39AD"/>
    <w:rsid w:val="003B4747"/>
    <w:rsid w:val="003B4D5B"/>
    <w:rsid w:val="003B4DAE"/>
    <w:rsid w:val="003C0B01"/>
    <w:rsid w:val="003C172B"/>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DCC"/>
    <w:rsid w:val="003E7D75"/>
    <w:rsid w:val="003F18C8"/>
    <w:rsid w:val="003F2FAB"/>
    <w:rsid w:val="003F4E7F"/>
    <w:rsid w:val="003F5D49"/>
    <w:rsid w:val="003F79EC"/>
    <w:rsid w:val="003F7F46"/>
    <w:rsid w:val="003F7F48"/>
    <w:rsid w:val="00400DB8"/>
    <w:rsid w:val="004026AD"/>
    <w:rsid w:val="00403BBB"/>
    <w:rsid w:val="0040465B"/>
    <w:rsid w:val="00406147"/>
    <w:rsid w:val="00406FE2"/>
    <w:rsid w:val="00410703"/>
    <w:rsid w:val="00411D22"/>
    <w:rsid w:val="00412BE7"/>
    <w:rsid w:val="004141A6"/>
    <w:rsid w:val="00414941"/>
    <w:rsid w:val="00414ADF"/>
    <w:rsid w:val="00415AE6"/>
    <w:rsid w:val="004167DB"/>
    <w:rsid w:val="00417907"/>
    <w:rsid w:val="00420D2D"/>
    <w:rsid w:val="00420EBA"/>
    <w:rsid w:val="00423939"/>
    <w:rsid w:val="004239BB"/>
    <w:rsid w:val="00423F43"/>
    <w:rsid w:val="00424BD0"/>
    <w:rsid w:val="00424E8B"/>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520D"/>
    <w:rsid w:val="004754BB"/>
    <w:rsid w:val="00476E46"/>
    <w:rsid w:val="00476F8E"/>
    <w:rsid w:val="0047766B"/>
    <w:rsid w:val="00480D37"/>
    <w:rsid w:val="004812BA"/>
    <w:rsid w:val="0048232A"/>
    <w:rsid w:val="00483F2C"/>
    <w:rsid w:val="00484037"/>
    <w:rsid w:val="00487E20"/>
    <w:rsid w:val="0049103E"/>
    <w:rsid w:val="00491AD5"/>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7FAB"/>
    <w:rsid w:val="004D118C"/>
    <w:rsid w:val="004D1340"/>
    <w:rsid w:val="004D3131"/>
    <w:rsid w:val="004D31F0"/>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70B"/>
    <w:rsid w:val="004E5C31"/>
    <w:rsid w:val="004E5F12"/>
    <w:rsid w:val="004E6258"/>
    <w:rsid w:val="004F0165"/>
    <w:rsid w:val="004F3AF2"/>
    <w:rsid w:val="004F6852"/>
    <w:rsid w:val="004F6A66"/>
    <w:rsid w:val="004F6D27"/>
    <w:rsid w:val="004F7D56"/>
    <w:rsid w:val="004F7FD4"/>
    <w:rsid w:val="0050006C"/>
    <w:rsid w:val="005018EF"/>
    <w:rsid w:val="00502378"/>
    <w:rsid w:val="00504D34"/>
    <w:rsid w:val="00510515"/>
    <w:rsid w:val="00510776"/>
    <w:rsid w:val="005113A3"/>
    <w:rsid w:val="00513AA3"/>
    <w:rsid w:val="00513BB3"/>
    <w:rsid w:val="00514A53"/>
    <w:rsid w:val="00514C05"/>
    <w:rsid w:val="005165D0"/>
    <w:rsid w:val="00516683"/>
    <w:rsid w:val="005166C0"/>
    <w:rsid w:val="00517755"/>
    <w:rsid w:val="00517BC0"/>
    <w:rsid w:val="0052192E"/>
    <w:rsid w:val="00522079"/>
    <w:rsid w:val="005223FC"/>
    <w:rsid w:val="00522A49"/>
    <w:rsid w:val="0052565C"/>
    <w:rsid w:val="00526753"/>
    <w:rsid w:val="00526F7E"/>
    <w:rsid w:val="005277CA"/>
    <w:rsid w:val="005301A4"/>
    <w:rsid w:val="005306BE"/>
    <w:rsid w:val="00531CA6"/>
    <w:rsid w:val="00531D9A"/>
    <w:rsid w:val="00532104"/>
    <w:rsid w:val="0053429E"/>
    <w:rsid w:val="00534FC1"/>
    <w:rsid w:val="00536B72"/>
    <w:rsid w:val="00537A33"/>
    <w:rsid w:val="00544577"/>
    <w:rsid w:val="005447EA"/>
    <w:rsid w:val="00544BA9"/>
    <w:rsid w:val="00545322"/>
    <w:rsid w:val="005468BE"/>
    <w:rsid w:val="00546FB1"/>
    <w:rsid w:val="005475D1"/>
    <w:rsid w:val="00550201"/>
    <w:rsid w:val="00550F85"/>
    <w:rsid w:val="005520DA"/>
    <w:rsid w:val="005553A5"/>
    <w:rsid w:val="005569BA"/>
    <w:rsid w:val="00557BD0"/>
    <w:rsid w:val="00560211"/>
    <w:rsid w:val="00560814"/>
    <w:rsid w:val="00560A59"/>
    <w:rsid w:val="00561999"/>
    <w:rsid w:val="00563EA8"/>
    <w:rsid w:val="00563F52"/>
    <w:rsid w:val="005646E8"/>
    <w:rsid w:val="00565335"/>
    <w:rsid w:val="0056606A"/>
    <w:rsid w:val="00566361"/>
    <w:rsid w:val="00570395"/>
    <w:rsid w:val="0057200F"/>
    <w:rsid w:val="00573686"/>
    <w:rsid w:val="00574936"/>
    <w:rsid w:val="00574942"/>
    <w:rsid w:val="00575388"/>
    <w:rsid w:val="005753D1"/>
    <w:rsid w:val="00575C18"/>
    <w:rsid w:val="005769CD"/>
    <w:rsid w:val="00576EFE"/>
    <w:rsid w:val="00580117"/>
    <w:rsid w:val="0058313A"/>
    <w:rsid w:val="005842FD"/>
    <w:rsid w:val="00586964"/>
    <w:rsid w:val="0059058B"/>
    <w:rsid w:val="00591AC7"/>
    <w:rsid w:val="00593BA1"/>
    <w:rsid w:val="0059710B"/>
    <w:rsid w:val="005A1BBB"/>
    <w:rsid w:val="005A210E"/>
    <w:rsid w:val="005A3146"/>
    <w:rsid w:val="005A5581"/>
    <w:rsid w:val="005A7D81"/>
    <w:rsid w:val="005A7F0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132A"/>
    <w:rsid w:val="005D2F52"/>
    <w:rsid w:val="005D6B60"/>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762A"/>
    <w:rsid w:val="00611341"/>
    <w:rsid w:val="00611A3B"/>
    <w:rsid w:val="0061237A"/>
    <w:rsid w:val="0061577C"/>
    <w:rsid w:val="00615C42"/>
    <w:rsid w:val="006167CD"/>
    <w:rsid w:val="00617F1F"/>
    <w:rsid w:val="006206DD"/>
    <w:rsid w:val="006208DF"/>
    <w:rsid w:val="006228B0"/>
    <w:rsid w:val="0062317D"/>
    <w:rsid w:val="00623C0D"/>
    <w:rsid w:val="006243A4"/>
    <w:rsid w:val="006267BF"/>
    <w:rsid w:val="006311D8"/>
    <w:rsid w:val="006317FB"/>
    <w:rsid w:val="00631D3B"/>
    <w:rsid w:val="00635A4E"/>
    <w:rsid w:val="00636098"/>
    <w:rsid w:val="0063752D"/>
    <w:rsid w:val="00640949"/>
    <w:rsid w:val="00640A37"/>
    <w:rsid w:val="00641B2E"/>
    <w:rsid w:val="00642DD1"/>
    <w:rsid w:val="00643641"/>
    <w:rsid w:val="00644254"/>
    <w:rsid w:val="00645A14"/>
    <w:rsid w:val="00647CB5"/>
    <w:rsid w:val="006500D0"/>
    <w:rsid w:val="0065058D"/>
    <w:rsid w:val="00650E1C"/>
    <w:rsid w:val="006532D7"/>
    <w:rsid w:val="00653434"/>
    <w:rsid w:val="0066008C"/>
    <w:rsid w:val="00660D96"/>
    <w:rsid w:val="00661694"/>
    <w:rsid w:val="00662910"/>
    <w:rsid w:val="006644B1"/>
    <w:rsid w:val="0066524B"/>
    <w:rsid w:val="00666738"/>
    <w:rsid w:val="00666EF0"/>
    <w:rsid w:val="00667F47"/>
    <w:rsid w:val="00670A09"/>
    <w:rsid w:val="00674597"/>
    <w:rsid w:val="0067481B"/>
    <w:rsid w:val="00676E4E"/>
    <w:rsid w:val="00681211"/>
    <w:rsid w:val="006819EF"/>
    <w:rsid w:val="006821C4"/>
    <w:rsid w:val="00683109"/>
    <w:rsid w:val="00683607"/>
    <w:rsid w:val="0068774B"/>
    <w:rsid w:val="00690652"/>
    <w:rsid w:val="006923F8"/>
    <w:rsid w:val="006928B8"/>
    <w:rsid w:val="00692FDA"/>
    <w:rsid w:val="006935A7"/>
    <w:rsid w:val="006946AE"/>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C10FA"/>
    <w:rsid w:val="006C1938"/>
    <w:rsid w:val="006C20C2"/>
    <w:rsid w:val="006C2A57"/>
    <w:rsid w:val="006C4188"/>
    <w:rsid w:val="006C4459"/>
    <w:rsid w:val="006C4637"/>
    <w:rsid w:val="006C5924"/>
    <w:rsid w:val="006C5B96"/>
    <w:rsid w:val="006C699C"/>
    <w:rsid w:val="006C75D6"/>
    <w:rsid w:val="006C77A7"/>
    <w:rsid w:val="006D1062"/>
    <w:rsid w:val="006D271F"/>
    <w:rsid w:val="006D3AC9"/>
    <w:rsid w:val="006D5874"/>
    <w:rsid w:val="006D6499"/>
    <w:rsid w:val="006D7036"/>
    <w:rsid w:val="006E045C"/>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601E"/>
    <w:rsid w:val="00706744"/>
    <w:rsid w:val="00706FB1"/>
    <w:rsid w:val="00707039"/>
    <w:rsid w:val="007078A2"/>
    <w:rsid w:val="00707EE0"/>
    <w:rsid w:val="0071029E"/>
    <w:rsid w:val="00711ECD"/>
    <w:rsid w:val="00714ECA"/>
    <w:rsid w:val="00714EDA"/>
    <w:rsid w:val="0071574C"/>
    <w:rsid w:val="00715BCE"/>
    <w:rsid w:val="00715D8D"/>
    <w:rsid w:val="00715F7C"/>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500F2"/>
    <w:rsid w:val="00750294"/>
    <w:rsid w:val="007509F0"/>
    <w:rsid w:val="00750D29"/>
    <w:rsid w:val="00751669"/>
    <w:rsid w:val="0075171F"/>
    <w:rsid w:val="007527D9"/>
    <w:rsid w:val="00754A10"/>
    <w:rsid w:val="007568D0"/>
    <w:rsid w:val="007572F8"/>
    <w:rsid w:val="00757D34"/>
    <w:rsid w:val="00760687"/>
    <w:rsid w:val="00761D8E"/>
    <w:rsid w:val="00762C93"/>
    <w:rsid w:val="00763A70"/>
    <w:rsid w:val="00764455"/>
    <w:rsid w:val="00765064"/>
    <w:rsid w:val="00766CAA"/>
    <w:rsid w:val="00767470"/>
    <w:rsid w:val="00767B9C"/>
    <w:rsid w:val="007711A0"/>
    <w:rsid w:val="007722E8"/>
    <w:rsid w:val="007744FE"/>
    <w:rsid w:val="00776B42"/>
    <w:rsid w:val="007772F3"/>
    <w:rsid w:val="00777679"/>
    <w:rsid w:val="0078148E"/>
    <w:rsid w:val="00784B3A"/>
    <w:rsid w:val="00785081"/>
    <w:rsid w:val="00786B0E"/>
    <w:rsid w:val="0078705F"/>
    <w:rsid w:val="007875E6"/>
    <w:rsid w:val="007878B4"/>
    <w:rsid w:val="00787F58"/>
    <w:rsid w:val="0079014B"/>
    <w:rsid w:val="007925ED"/>
    <w:rsid w:val="00793A5D"/>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324F"/>
    <w:rsid w:val="007B4FC3"/>
    <w:rsid w:val="007B70CE"/>
    <w:rsid w:val="007C1009"/>
    <w:rsid w:val="007C2070"/>
    <w:rsid w:val="007C2579"/>
    <w:rsid w:val="007C268B"/>
    <w:rsid w:val="007C2810"/>
    <w:rsid w:val="007C287D"/>
    <w:rsid w:val="007C2988"/>
    <w:rsid w:val="007C32E6"/>
    <w:rsid w:val="007C4A56"/>
    <w:rsid w:val="007C52A5"/>
    <w:rsid w:val="007C5CAB"/>
    <w:rsid w:val="007C5F1F"/>
    <w:rsid w:val="007C6237"/>
    <w:rsid w:val="007C6646"/>
    <w:rsid w:val="007C6842"/>
    <w:rsid w:val="007C6B67"/>
    <w:rsid w:val="007C741D"/>
    <w:rsid w:val="007C772F"/>
    <w:rsid w:val="007D0C5A"/>
    <w:rsid w:val="007D0F75"/>
    <w:rsid w:val="007D20D9"/>
    <w:rsid w:val="007D2BD0"/>
    <w:rsid w:val="007D39CC"/>
    <w:rsid w:val="007D4587"/>
    <w:rsid w:val="007D4A34"/>
    <w:rsid w:val="007D4D74"/>
    <w:rsid w:val="007D639C"/>
    <w:rsid w:val="007E196E"/>
    <w:rsid w:val="007E1A03"/>
    <w:rsid w:val="007E367D"/>
    <w:rsid w:val="007E46EA"/>
    <w:rsid w:val="007E4721"/>
    <w:rsid w:val="007E5FFC"/>
    <w:rsid w:val="007E6683"/>
    <w:rsid w:val="007E67BF"/>
    <w:rsid w:val="007F03F8"/>
    <w:rsid w:val="007F064D"/>
    <w:rsid w:val="007F0C91"/>
    <w:rsid w:val="007F15B8"/>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71AE"/>
    <w:rsid w:val="00820EBA"/>
    <w:rsid w:val="0082111B"/>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61C3"/>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F69"/>
    <w:rsid w:val="00876E00"/>
    <w:rsid w:val="008774E8"/>
    <w:rsid w:val="00877C8B"/>
    <w:rsid w:val="008803CA"/>
    <w:rsid w:val="008805C8"/>
    <w:rsid w:val="00882470"/>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6D2E"/>
    <w:rsid w:val="008A7006"/>
    <w:rsid w:val="008B1F6C"/>
    <w:rsid w:val="008B3373"/>
    <w:rsid w:val="008B69E7"/>
    <w:rsid w:val="008B7B1F"/>
    <w:rsid w:val="008C0311"/>
    <w:rsid w:val="008C2FC1"/>
    <w:rsid w:val="008C393D"/>
    <w:rsid w:val="008C4CFD"/>
    <w:rsid w:val="008D0179"/>
    <w:rsid w:val="008D184F"/>
    <w:rsid w:val="008D1AEA"/>
    <w:rsid w:val="008D2C0F"/>
    <w:rsid w:val="008D460F"/>
    <w:rsid w:val="008D4D0F"/>
    <w:rsid w:val="008D4E2B"/>
    <w:rsid w:val="008D5959"/>
    <w:rsid w:val="008D5C18"/>
    <w:rsid w:val="008D64BA"/>
    <w:rsid w:val="008E0F0E"/>
    <w:rsid w:val="008E3801"/>
    <w:rsid w:val="008E55C0"/>
    <w:rsid w:val="008F074D"/>
    <w:rsid w:val="008F1E37"/>
    <w:rsid w:val="008F3103"/>
    <w:rsid w:val="008F3517"/>
    <w:rsid w:val="008F3F91"/>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56E5"/>
    <w:rsid w:val="00936CA8"/>
    <w:rsid w:val="009378FF"/>
    <w:rsid w:val="00937ED7"/>
    <w:rsid w:val="00942976"/>
    <w:rsid w:val="00943CEC"/>
    <w:rsid w:val="009445D2"/>
    <w:rsid w:val="009468B5"/>
    <w:rsid w:val="00947492"/>
    <w:rsid w:val="00947609"/>
    <w:rsid w:val="00947641"/>
    <w:rsid w:val="009500A1"/>
    <w:rsid w:val="00950989"/>
    <w:rsid w:val="00952291"/>
    <w:rsid w:val="009527B3"/>
    <w:rsid w:val="009529AD"/>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71E"/>
    <w:rsid w:val="00970A5C"/>
    <w:rsid w:val="00971D4C"/>
    <w:rsid w:val="009732E2"/>
    <w:rsid w:val="009738BB"/>
    <w:rsid w:val="009756B3"/>
    <w:rsid w:val="009767D4"/>
    <w:rsid w:val="00976DDF"/>
    <w:rsid w:val="00977021"/>
    <w:rsid w:val="009770EC"/>
    <w:rsid w:val="00977852"/>
    <w:rsid w:val="00981B11"/>
    <w:rsid w:val="00982BE5"/>
    <w:rsid w:val="00985400"/>
    <w:rsid w:val="00985998"/>
    <w:rsid w:val="00986B62"/>
    <w:rsid w:val="00987FDD"/>
    <w:rsid w:val="00990F37"/>
    <w:rsid w:val="00991F15"/>
    <w:rsid w:val="0099248C"/>
    <w:rsid w:val="00992DD5"/>
    <w:rsid w:val="00994E67"/>
    <w:rsid w:val="009951A5"/>
    <w:rsid w:val="0099554C"/>
    <w:rsid w:val="00996B08"/>
    <w:rsid w:val="00997234"/>
    <w:rsid w:val="00997D3F"/>
    <w:rsid w:val="009A0DF7"/>
    <w:rsid w:val="009A2F5B"/>
    <w:rsid w:val="009A41A3"/>
    <w:rsid w:val="009A4689"/>
    <w:rsid w:val="009A529F"/>
    <w:rsid w:val="009A52B7"/>
    <w:rsid w:val="009B0BA8"/>
    <w:rsid w:val="009B17E0"/>
    <w:rsid w:val="009B22E2"/>
    <w:rsid w:val="009B33E0"/>
    <w:rsid w:val="009B374A"/>
    <w:rsid w:val="009B3A5F"/>
    <w:rsid w:val="009B3C87"/>
    <w:rsid w:val="009B43E6"/>
    <w:rsid w:val="009B5FE5"/>
    <w:rsid w:val="009B6516"/>
    <w:rsid w:val="009C0DFF"/>
    <w:rsid w:val="009C6E3B"/>
    <w:rsid w:val="009C6EF7"/>
    <w:rsid w:val="009D0503"/>
    <w:rsid w:val="009D2636"/>
    <w:rsid w:val="009D2CEB"/>
    <w:rsid w:val="009D403A"/>
    <w:rsid w:val="009D546C"/>
    <w:rsid w:val="009D57D3"/>
    <w:rsid w:val="009D6666"/>
    <w:rsid w:val="009D66F9"/>
    <w:rsid w:val="009D787E"/>
    <w:rsid w:val="009D7D44"/>
    <w:rsid w:val="009E02F7"/>
    <w:rsid w:val="009E0AD7"/>
    <w:rsid w:val="009E3D48"/>
    <w:rsid w:val="009E6050"/>
    <w:rsid w:val="009E7B71"/>
    <w:rsid w:val="009F008C"/>
    <w:rsid w:val="009F0303"/>
    <w:rsid w:val="009F2BFF"/>
    <w:rsid w:val="009F3515"/>
    <w:rsid w:val="009F4686"/>
    <w:rsid w:val="009F5C98"/>
    <w:rsid w:val="009F78DF"/>
    <w:rsid w:val="009F7E18"/>
    <w:rsid w:val="00A00DEA"/>
    <w:rsid w:val="00A00E3F"/>
    <w:rsid w:val="00A04B29"/>
    <w:rsid w:val="00A0702B"/>
    <w:rsid w:val="00A10BFF"/>
    <w:rsid w:val="00A10D8B"/>
    <w:rsid w:val="00A11B4F"/>
    <w:rsid w:val="00A12FA2"/>
    <w:rsid w:val="00A136CE"/>
    <w:rsid w:val="00A13957"/>
    <w:rsid w:val="00A14B13"/>
    <w:rsid w:val="00A150A5"/>
    <w:rsid w:val="00A16CEF"/>
    <w:rsid w:val="00A178E2"/>
    <w:rsid w:val="00A2060A"/>
    <w:rsid w:val="00A20B29"/>
    <w:rsid w:val="00A2168C"/>
    <w:rsid w:val="00A2237C"/>
    <w:rsid w:val="00A2369E"/>
    <w:rsid w:val="00A25362"/>
    <w:rsid w:val="00A25AC7"/>
    <w:rsid w:val="00A2687D"/>
    <w:rsid w:val="00A26C6F"/>
    <w:rsid w:val="00A26E54"/>
    <w:rsid w:val="00A26F7E"/>
    <w:rsid w:val="00A27729"/>
    <w:rsid w:val="00A30454"/>
    <w:rsid w:val="00A31145"/>
    <w:rsid w:val="00A33504"/>
    <w:rsid w:val="00A33F8C"/>
    <w:rsid w:val="00A34C54"/>
    <w:rsid w:val="00A35109"/>
    <w:rsid w:val="00A40EB4"/>
    <w:rsid w:val="00A418A9"/>
    <w:rsid w:val="00A4248B"/>
    <w:rsid w:val="00A42CCC"/>
    <w:rsid w:val="00A4322C"/>
    <w:rsid w:val="00A448D7"/>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A5"/>
    <w:rsid w:val="00A64F38"/>
    <w:rsid w:val="00A65198"/>
    <w:rsid w:val="00A654FA"/>
    <w:rsid w:val="00A65DF0"/>
    <w:rsid w:val="00A67E1B"/>
    <w:rsid w:val="00A70E9B"/>
    <w:rsid w:val="00A72734"/>
    <w:rsid w:val="00A72B60"/>
    <w:rsid w:val="00A7329D"/>
    <w:rsid w:val="00A7332E"/>
    <w:rsid w:val="00A74A5A"/>
    <w:rsid w:val="00A80D37"/>
    <w:rsid w:val="00A82429"/>
    <w:rsid w:val="00A829A1"/>
    <w:rsid w:val="00A8313F"/>
    <w:rsid w:val="00A83728"/>
    <w:rsid w:val="00A843F8"/>
    <w:rsid w:val="00A85477"/>
    <w:rsid w:val="00A8758A"/>
    <w:rsid w:val="00A91C6E"/>
    <w:rsid w:val="00A94966"/>
    <w:rsid w:val="00A9578E"/>
    <w:rsid w:val="00A95F16"/>
    <w:rsid w:val="00A97695"/>
    <w:rsid w:val="00AA4492"/>
    <w:rsid w:val="00AA4851"/>
    <w:rsid w:val="00AA4AF2"/>
    <w:rsid w:val="00AA66A9"/>
    <w:rsid w:val="00AA6B93"/>
    <w:rsid w:val="00AB0159"/>
    <w:rsid w:val="00AB111B"/>
    <w:rsid w:val="00AB1483"/>
    <w:rsid w:val="00AB2295"/>
    <w:rsid w:val="00AB23B3"/>
    <w:rsid w:val="00AB3A98"/>
    <w:rsid w:val="00AB4BFA"/>
    <w:rsid w:val="00AB76A2"/>
    <w:rsid w:val="00AB7844"/>
    <w:rsid w:val="00AC19CD"/>
    <w:rsid w:val="00AC2914"/>
    <w:rsid w:val="00AC2FBD"/>
    <w:rsid w:val="00AC54A1"/>
    <w:rsid w:val="00AC5793"/>
    <w:rsid w:val="00AC6A28"/>
    <w:rsid w:val="00AC7C40"/>
    <w:rsid w:val="00AD0318"/>
    <w:rsid w:val="00AD0613"/>
    <w:rsid w:val="00AD0E99"/>
    <w:rsid w:val="00AD1CBC"/>
    <w:rsid w:val="00AD2D6F"/>
    <w:rsid w:val="00AD3921"/>
    <w:rsid w:val="00AD3D31"/>
    <w:rsid w:val="00AD67BD"/>
    <w:rsid w:val="00AD6DE1"/>
    <w:rsid w:val="00AE157C"/>
    <w:rsid w:val="00AE1C85"/>
    <w:rsid w:val="00AE219D"/>
    <w:rsid w:val="00AE3047"/>
    <w:rsid w:val="00AE4E5A"/>
    <w:rsid w:val="00AE5C8F"/>
    <w:rsid w:val="00AE6A5E"/>
    <w:rsid w:val="00AF0C60"/>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2E2B"/>
    <w:rsid w:val="00B13BB1"/>
    <w:rsid w:val="00B16ACE"/>
    <w:rsid w:val="00B16B45"/>
    <w:rsid w:val="00B17DFC"/>
    <w:rsid w:val="00B2077A"/>
    <w:rsid w:val="00B21274"/>
    <w:rsid w:val="00B215A1"/>
    <w:rsid w:val="00B21D9A"/>
    <w:rsid w:val="00B22FE8"/>
    <w:rsid w:val="00B24377"/>
    <w:rsid w:val="00B24706"/>
    <w:rsid w:val="00B24DA0"/>
    <w:rsid w:val="00B2573D"/>
    <w:rsid w:val="00B25E8D"/>
    <w:rsid w:val="00B26272"/>
    <w:rsid w:val="00B270B8"/>
    <w:rsid w:val="00B30C89"/>
    <w:rsid w:val="00B30E82"/>
    <w:rsid w:val="00B3190F"/>
    <w:rsid w:val="00B31A3F"/>
    <w:rsid w:val="00B352C4"/>
    <w:rsid w:val="00B3651A"/>
    <w:rsid w:val="00B36B7C"/>
    <w:rsid w:val="00B36C55"/>
    <w:rsid w:val="00B373A8"/>
    <w:rsid w:val="00B374F0"/>
    <w:rsid w:val="00B401B0"/>
    <w:rsid w:val="00B40370"/>
    <w:rsid w:val="00B408ED"/>
    <w:rsid w:val="00B432A3"/>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603E8"/>
    <w:rsid w:val="00B6104C"/>
    <w:rsid w:val="00B6107B"/>
    <w:rsid w:val="00B61119"/>
    <w:rsid w:val="00B62AD3"/>
    <w:rsid w:val="00B63F4C"/>
    <w:rsid w:val="00B64830"/>
    <w:rsid w:val="00B6606A"/>
    <w:rsid w:val="00B66237"/>
    <w:rsid w:val="00B66931"/>
    <w:rsid w:val="00B671CA"/>
    <w:rsid w:val="00B7010D"/>
    <w:rsid w:val="00B7390E"/>
    <w:rsid w:val="00B73E9A"/>
    <w:rsid w:val="00B74B1E"/>
    <w:rsid w:val="00B74EF8"/>
    <w:rsid w:val="00B751DF"/>
    <w:rsid w:val="00B7682C"/>
    <w:rsid w:val="00B7689E"/>
    <w:rsid w:val="00B81B0B"/>
    <w:rsid w:val="00B828F1"/>
    <w:rsid w:val="00B8340E"/>
    <w:rsid w:val="00B83C31"/>
    <w:rsid w:val="00B84274"/>
    <w:rsid w:val="00B8445C"/>
    <w:rsid w:val="00B85898"/>
    <w:rsid w:val="00B8751A"/>
    <w:rsid w:val="00B900F8"/>
    <w:rsid w:val="00B92D5C"/>
    <w:rsid w:val="00B94146"/>
    <w:rsid w:val="00B9638B"/>
    <w:rsid w:val="00B96411"/>
    <w:rsid w:val="00B97E59"/>
    <w:rsid w:val="00BA03D6"/>
    <w:rsid w:val="00BA05ED"/>
    <w:rsid w:val="00BA0CB7"/>
    <w:rsid w:val="00BA2399"/>
    <w:rsid w:val="00BA27FE"/>
    <w:rsid w:val="00BA2D99"/>
    <w:rsid w:val="00BA3C67"/>
    <w:rsid w:val="00BA3EA1"/>
    <w:rsid w:val="00BA4FF4"/>
    <w:rsid w:val="00BA632D"/>
    <w:rsid w:val="00BA6661"/>
    <w:rsid w:val="00BB006F"/>
    <w:rsid w:val="00BB00DA"/>
    <w:rsid w:val="00BB03B8"/>
    <w:rsid w:val="00BB08D6"/>
    <w:rsid w:val="00BB0B91"/>
    <w:rsid w:val="00BB2BB5"/>
    <w:rsid w:val="00BB49FF"/>
    <w:rsid w:val="00BB4EA0"/>
    <w:rsid w:val="00BB58C9"/>
    <w:rsid w:val="00BB5D40"/>
    <w:rsid w:val="00BB5ED4"/>
    <w:rsid w:val="00BB6629"/>
    <w:rsid w:val="00BB66B8"/>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A38"/>
    <w:rsid w:val="00BD4D37"/>
    <w:rsid w:val="00BD5F5C"/>
    <w:rsid w:val="00BD6124"/>
    <w:rsid w:val="00BD751D"/>
    <w:rsid w:val="00BD7835"/>
    <w:rsid w:val="00BE097F"/>
    <w:rsid w:val="00BE1984"/>
    <w:rsid w:val="00BE28D7"/>
    <w:rsid w:val="00BE2CDC"/>
    <w:rsid w:val="00BE2EF3"/>
    <w:rsid w:val="00BE3A9B"/>
    <w:rsid w:val="00BE50A3"/>
    <w:rsid w:val="00BE630E"/>
    <w:rsid w:val="00BE7979"/>
    <w:rsid w:val="00BE7C56"/>
    <w:rsid w:val="00BF106B"/>
    <w:rsid w:val="00BF4C1D"/>
    <w:rsid w:val="00BF4E63"/>
    <w:rsid w:val="00BF54EA"/>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31152"/>
    <w:rsid w:val="00C319AC"/>
    <w:rsid w:val="00C31FED"/>
    <w:rsid w:val="00C325AF"/>
    <w:rsid w:val="00C3372B"/>
    <w:rsid w:val="00C365C1"/>
    <w:rsid w:val="00C3789B"/>
    <w:rsid w:val="00C43328"/>
    <w:rsid w:val="00C4388C"/>
    <w:rsid w:val="00C452BF"/>
    <w:rsid w:val="00C4583D"/>
    <w:rsid w:val="00C46BA7"/>
    <w:rsid w:val="00C4760A"/>
    <w:rsid w:val="00C47FF5"/>
    <w:rsid w:val="00C50C09"/>
    <w:rsid w:val="00C5192E"/>
    <w:rsid w:val="00C51E06"/>
    <w:rsid w:val="00C546A6"/>
    <w:rsid w:val="00C54FBA"/>
    <w:rsid w:val="00C555E3"/>
    <w:rsid w:val="00C55650"/>
    <w:rsid w:val="00C570FF"/>
    <w:rsid w:val="00C57E5A"/>
    <w:rsid w:val="00C610AC"/>
    <w:rsid w:val="00C61CCB"/>
    <w:rsid w:val="00C620A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48F0"/>
    <w:rsid w:val="00C864F2"/>
    <w:rsid w:val="00C9049B"/>
    <w:rsid w:val="00C90F43"/>
    <w:rsid w:val="00C92186"/>
    <w:rsid w:val="00C92742"/>
    <w:rsid w:val="00C92BDE"/>
    <w:rsid w:val="00C92C7B"/>
    <w:rsid w:val="00C94074"/>
    <w:rsid w:val="00C94D5C"/>
    <w:rsid w:val="00C9745D"/>
    <w:rsid w:val="00CA0B44"/>
    <w:rsid w:val="00CA1386"/>
    <w:rsid w:val="00CA19F0"/>
    <w:rsid w:val="00CA23C0"/>
    <w:rsid w:val="00CA429D"/>
    <w:rsid w:val="00CA5021"/>
    <w:rsid w:val="00CA51AD"/>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3D9"/>
    <w:rsid w:val="00CF454E"/>
    <w:rsid w:val="00CF47C0"/>
    <w:rsid w:val="00CF4E7F"/>
    <w:rsid w:val="00CF5B0B"/>
    <w:rsid w:val="00CF5BAC"/>
    <w:rsid w:val="00CF7D6D"/>
    <w:rsid w:val="00D0236F"/>
    <w:rsid w:val="00D03D9C"/>
    <w:rsid w:val="00D042B0"/>
    <w:rsid w:val="00D076F9"/>
    <w:rsid w:val="00D0797D"/>
    <w:rsid w:val="00D079E1"/>
    <w:rsid w:val="00D10C05"/>
    <w:rsid w:val="00D114D9"/>
    <w:rsid w:val="00D11DE4"/>
    <w:rsid w:val="00D135C8"/>
    <w:rsid w:val="00D14263"/>
    <w:rsid w:val="00D14276"/>
    <w:rsid w:val="00D144C6"/>
    <w:rsid w:val="00D14D04"/>
    <w:rsid w:val="00D151F0"/>
    <w:rsid w:val="00D15278"/>
    <w:rsid w:val="00D1694D"/>
    <w:rsid w:val="00D16AB7"/>
    <w:rsid w:val="00D209B1"/>
    <w:rsid w:val="00D20A5C"/>
    <w:rsid w:val="00D21846"/>
    <w:rsid w:val="00D239E0"/>
    <w:rsid w:val="00D25F77"/>
    <w:rsid w:val="00D264FC"/>
    <w:rsid w:val="00D2659A"/>
    <w:rsid w:val="00D2783E"/>
    <w:rsid w:val="00D32178"/>
    <w:rsid w:val="00D32313"/>
    <w:rsid w:val="00D348B0"/>
    <w:rsid w:val="00D349BC"/>
    <w:rsid w:val="00D3599B"/>
    <w:rsid w:val="00D3651D"/>
    <w:rsid w:val="00D37288"/>
    <w:rsid w:val="00D37ED3"/>
    <w:rsid w:val="00D405E3"/>
    <w:rsid w:val="00D44EB0"/>
    <w:rsid w:val="00D44EF5"/>
    <w:rsid w:val="00D450DD"/>
    <w:rsid w:val="00D45D8D"/>
    <w:rsid w:val="00D460CA"/>
    <w:rsid w:val="00D466C6"/>
    <w:rsid w:val="00D46A30"/>
    <w:rsid w:val="00D50964"/>
    <w:rsid w:val="00D52F71"/>
    <w:rsid w:val="00D536EF"/>
    <w:rsid w:val="00D53E6A"/>
    <w:rsid w:val="00D53FEE"/>
    <w:rsid w:val="00D54634"/>
    <w:rsid w:val="00D563AC"/>
    <w:rsid w:val="00D5658E"/>
    <w:rsid w:val="00D568A2"/>
    <w:rsid w:val="00D57254"/>
    <w:rsid w:val="00D5728E"/>
    <w:rsid w:val="00D600BF"/>
    <w:rsid w:val="00D628CF"/>
    <w:rsid w:val="00D62FEB"/>
    <w:rsid w:val="00D631BA"/>
    <w:rsid w:val="00D64D42"/>
    <w:rsid w:val="00D6547A"/>
    <w:rsid w:val="00D662CD"/>
    <w:rsid w:val="00D665FA"/>
    <w:rsid w:val="00D67BFA"/>
    <w:rsid w:val="00D67DAE"/>
    <w:rsid w:val="00D67E58"/>
    <w:rsid w:val="00D724A5"/>
    <w:rsid w:val="00D7274A"/>
    <w:rsid w:val="00D72878"/>
    <w:rsid w:val="00D80917"/>
    <w:rsid w:val="00D81FAC"/>
    <w:rsid w:val="00D82EDF"/>
    <w:rsid w:val="00D83092"/>
    <w:rsid w:val="00D84368"/>
    <w:rsid w:val="00D84EE2"/>
    <w:rsid w:val="00D85F29"/>
    <w:rsid w:val="00D86C03"/>
    <w:rsid w:val="00D86CB3"/>
    <w:rsid w:val="00D87ABE"/>
    <w:rsid w:val="00D92561"/>
    <w:rsid w:val="00D9358C"/>
    <w:rsid w:val="00D94F20"/>
    <w:rsid w:val="00D97490"/>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6572"/>
    <w:rsid w:val="00DB7C99"/>
    <w:rsid w:val="00DC0195"/>
    <w:rsid w:val="00DC0B3C"/>
    <w:rsid w:val="00DC1D5D"/>
    <w:rsid w:val="00DC1EF2"/>
    <w:rsid w:val="00DC2AA8"/>
    <w:rsid w:val="00DC3D9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96F"/>
    <w:rsid w:val="00E2284B"/>
    <w:rsid w:val="00E23253"/>
    <w:rsid w:val="00E24EA8"/>
    <w:rsid w:val="00E25160"/>
    <w:rsid w:val="00E255D2"/>
    <w:rsid w:val="00E2625C"/>
    <w:rsid w:val="00E2696D"/>
    <w:rsid w:val="00E26B14"/>
    <w:rsid w:val="00E278D8"/>
    <w:rsid w:val="00E27E12"/>
    <w:rsid w:val="00E30DDD"/>
    <w:rsid w:val="00E30E33"/>
    <w:rsid w:val="00E32CBF"/>
    <w:rsid w:val="00E3374B"/>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52D0"/>
    <w:rsid w:val="00E5589F"/>
    <w:rsid w:val="00E55AA3"/>
    <w:rsid w:val="00E55E85"/>
    <w:rsid w:val="00E567CC"/>
    <w:rsid w:val="00E56B61"/>
    <w:rsid w:val="00E6010B"/>
    <w:rsid w:val="00E60E5D"/>
    <w:rsid w:val="00E61467"/>
    <w:rsid w:val="00E627F9"/>
    <w:rsid w:val="00E630E7"/>
    <w:rsid w:val="00E63F5E"/>
    <w:rsid w:val="00E66D42"/>
    <w:rsid w:val="00E71B84"/>
    <w:rsid w:val="00E71CAE"/>
    <w:rsid w:val="00E74379"/>
    <w:rsid w:val="00E745D8"/>
    <w:rsid w:val="00E75AB8"/>
    <w:rsid w:val="00E7623B"/>
    <w:rsid w:val="00E76838"/>
    <w:rsid w:val="00E777A7"/>
    <w:rsid w:val="00E77DFE"/>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7F7E"/>
    <w:rsid w:val="00EA4A19"/>
    <w:rsid w:val="00EA4D06"/>
    <w:rsid w:val="00EA4FDE"/>
    <w:rsid w:val="00EA5404"/>
    <w:rsid w:val="00EA59BC"/>
    <w:rsid w:val="00EA59F2"/>
    <w:rsid w:val="00EA7465"/>
    <w:rsid w:val="00EB00C2"/>
    <w:rsid w:val="00EB06DF"/>
    <w:rsid w:val="00EB1092"/>
    <w:rsid w:val="00EB19A6"/>
    <w:rsid w:val="00EB20DA"/>
    <w:rsid w:val="00EB68C2"/>
    <w:rsid w:val="00EB7371"/>
    <w:rsid w:val="00EC001C"/>
    <w:rsid w:val="00EC0944"/>
    <w:rsid w:val="00EC1596"/>
    <w:rsid w:val="00EC226C"/>
    <w:rsid w:val="00EC3827"/>
    <w:rsid w:val="00EC79CC"/>
    <w:rsid w:val="00ED1E37"/>
    <w:rsid w:val="00ED4E00"/>
    <w:rsid w:val="00ED7B47"/>
    <w:rsid w:val="00EE0346"/>
    <w:rsid w:val="00EE131C"/>
    <w:rsid w:val="00EE1D5E"/>
    <w:rsid w:val="00EE2185"/>
    <w:rsid w:val="00EE2561"/>
    <w:rsid w:val="00EE37BB"/>
    <w:rsid w:val="00EE4A11"/>
    <w:rsid w:val="00EE6699"/>
    <w:rsid w:val="00EF14D3"/>
    <w:rsid w:val="00EF1DAE"/>
    <w:rsid w:val="00EF42C8"/>
    <w:rsid w:val="00EF4464"/>
    <w:rsid w:val="00EF4B5B"/>
    <w:rsid w:val="00EF5112"/>
    <w:rsid w:val="00F009B6"/>
    <w:rsid w:val="00F01E31"/>
    <w:rsid w:val="00F03FBD"/>
    <w:rsid w:val="00F043CB"/>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BEB"/>
    <w:rsid w:val="00F44629"/>
    <w:rsid w:val="00F4797D"/>
    <w:rsid w:val="00F47A15"/>
    <w:rsid w:val="00F526BA"/>
    <w:rsid w:val="00F53C54"/>
    <w:rsid w:val="00F548DD"/>
    <w:rsid w:val="00F551FE"/>
    <w:rsid w:val="00F5666B"/>
    <w:rsid w:val="00F5697F"/>
    <w:rsid w:val="00F576F2"/>
    <w:rsid w:val="00F57AB2"/>
    <w:rsid w:val="00F605DF"/>
    <w:rsid w:val="00F606AC"/>
    <w:rsid w:val="00F60B31"/>
    <w:rsid w:val="00F64DFF"/>
    <w:rsid w:val="00F65C58"/>
    <w:rsid w:val="00F67FA4"/>
    <w:rsid w:val="00F712EB"/>
    <w:rsid w:val="00F71D2D"/>
    <w:rsid w:val="00F720BE"/>
    <w:rsid w:val="00F727A1"/>
    <w:rsid w:val="00F729E7"/>
    <w:rsid w:val="00F74ED4"/>
    <w:rsid w:val="00F753F9"/>
    <w:rsid w:val="00F75607"/>
    <w:rsid w:val="00F81047"/>
    <w:rsid w:val="00F82548"/>
    <w:rsid w:val="00F8551A"/>
    <w:rsid w:val="00F856E1"/>
    <w:rsid w:val="00F85D0D"/>
    <w:rsid w:val="00F905A7"/>
    <w:rsid w:val="00F90AD0"/>
    <w:rsid w:val="00F90EDF"/>
    <w:rsid w:val="00F910E3"/>
    <w:rsid w:val="00F9124C"/>
    <w:rsid w:val="00F91499"/>
    <w:rsid w:val="00F9283C"/>
    <w:rsid w:val="00F935B7"/>
    <w:rsid w:val="00F96E2A"/>
    <w:rsid w:val="00FA06FD"/>
    <w:rsid w:val="00FA081B"/>
    <w:rsid w:val="00FA1177"/>
    <w:rsid w:val="00FA1289"/>
    <w:rsid w:val="00FA2089"/>
    <w:rsid w:val="00FA226A"/>
    <w:rsid w:val="00FA3393"/>
    <w:rsid w:val="00FA3CE2"/>
    <w:rsid w:val="00FA7F1A"/>
    <w:rsid w:val="00FB0605"/>
    <w:rsid w:val="00FB3510"/>
    <w:rsid w:val="00FB45BE"/>
    <w:rsid w:val="00FB57F3"/>
    <w:rsid w:val="00FB5807"/>
    <w:rsid w:val="00FB5F3B"/>
    <w:rsid w:val="00FC11FC"/>
    <w:rsid w:val="00FC4B93"/>
    <w:rsid w:val="00FC4EF2"/>
    <w:rsid w:val="00FC550D"/>
    <w:rsid w:val="00FC7F1B"/>
    <w:rsid w:val="00FD13B5"/>
    <w:rsid w:val="00FD1E07"/>
    <w:rsid w:val="00FD24D9"/>
    <w:rsid w:val="00FD26AB"/>
    <w:rsid w:val="00FD28EA"/>
    <w:rsid w:val="00FD36F5"/>
    <w:rsid w:val="00FD4CF0"/>
    <w:rsid w:val="00FD6096"/>
    <w:rsid w:val="00FD745F"/>
    <w:rsid w:val="00FE04BA"/>
    <w:rsid w:val="00FE0BEB"/>
    <w:rsid w:val="00FE461B"/>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14973110-1CE6-4347-9273-9D3D527EC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11</Pages>
  <Words>14583</Words>
  <Characters>85463</Characters>
  <Application>Microsoft Office Word</Application>
  <DocSecurity>0</DocSecurity>
  <Lines>1294</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77</cp:revision>
  <dcterms:created xsi:type="dcterms:W3CDTF">2025-07-15T08:52:00Z</dcterms:created>
  <dcterms:modified xsi:type="dcterms:W3CDTF">2025-07-17T08:42:00Z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zotero-version="7.0.21"&gt;&lt;session id="Rwn8s2rV"/&gt;&lt;style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