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9ACF0" w14:textId="435153D8" w:rsidR="00985400" w:rsidRPr="00F729E7" w:rsidRDefault="00D3651D" w:rsidP="00985400">
      <w:pPr>
        <w:pStyle w:val="BodyText"/>
        <w:spacing w:line="360" w:lineRule="auto"/>
        <w:ind w:left="0"/>
        <w:rPr>
          <w:rFonts w:eastAsiaTheme="minorEastAsia"/>
          <w:b/>
          <w:color w:val="000000" w:themeColor="text1"/>
          <w:sz w:val="32"/>
          <w:szCs w:val="12"/>
          <w:lang w:eastAsia="ko-KR"/>
        </w:rPr>
      </w:pPr>
      <w:bookmarkStart w:id="0" w:name="_Hlk178434872"/>
      <w:r w:rsidRPr="00C0224E">
        <w:rPr>
          <w:b/>
          <w:sz w:val="32"/>
          <w:szCs w:val="32"/>
        </w:rPr>
        <w:t xml:space="preserve">SARS-CoV-2 </w:t>
      </w:r>
      <w:r w:rsidR="0026481E">
        <w:rPr>
          <w:b/>
          <w:sz w:val="32"/>
          <w:szCs w:val="32"/>
        </w:rPr>
        <w:t>Variants Analysis</w:t>
      </w:r>
    </w:p>
    <w:bookmarkEnd w:id="0"/>
    <w:p w14:paraId="59DA8B71" w14:textId="77777777" w:rsidR="00D3651D" w:rsidRPr="00471695" w:rsidRDefault="00D3651D" w:rsidP="00D079E1">
      <w:pPr>
        <w:pStyle w:val="BodyText"/>
        <w:kinsoku w:val="0"/>
        <w:overflowPunct w:val="0"/>
        <w:spacing w:line="276" w:lineRule="auto"/>
        <w:ind w:left="0"/>
        <w:jc w:val="both"/>
        <w:rPr>
          <w:rFonts w:eastAsiaTheme="minorEastAsia"/>
          <w:color w:val="000000"/>
          <w:sz w:val="22"/>
          <w:szCs w:val="22"/>
          <w:lang w:eastAsia="zh-CN"/>
        </w:rPr>
      </w:pPr>
    </w:p>
    <w:p w14:paraId="6C21A4FB" w14:textId="5A54789D" w:rsidR="00B63F4C" w:rsidRPr="007744FE" w:rsidRDefault="00B63F4C" w:rsidP="00B63F4C">
      <w:pPr>
        <w:spacing w:line="276" w:lineRule="auto"/>
        <w:jc w:val="both"/>
        <w:rPr>
          <w:b/>
          <w:bCs/>
          <w:sz w:val="24"/>
          <w:szCs w:val="24"/>
        </w:rPr>
      </w:pPr>
      <w:r w:rsidRPr="007744FE">
        <w:rPr>
          <w:b/>
          <w:bCs/>
          <w:sz w:val="24"/>
          <w:szCs w:val="24"/>
        </w:rPr>
        <w:t>Objectives</w:t>
      </w:r>
    </w:p>
    <w:p w14:paraId="5A7B5492" w14:textId="77777777" w:rsidR="009B17E0" w:rsidRDefault="009B17E0" w:rsidP="00471695">
      <w:pPr>
        <w:pStyle w:val="BodyText"/>
        <w:kinsoku w:val="0"/>
        <w:overflowPunct w:val="0"/>
        <w:spacing w:line="276" w:lineRule="auto"/>
        <w:ind w:left="0"/>
        <w:jc w:val="both"/>
        <w:rPr>
          <w:rFonts w:eastAsiaTheme="minorEastAsia"/>
          <w:color w:val="000000" w:themeColor="text1"/>
          <w:sz w:val="22"/>
          <w:szCs w:val="22"/>
          <w:shd w:val="clear" w:color="auto" w:fill="FFFFFF"/>
          <w:lang w:eastAsia="zh-CN"/>
        </w:rPr>
      </w:pPr>
    </w:p>
    <w:p w14:paraId="7F57BA7C" w14:textId="2182D5F9" w:rsidR="0052565C" w:rsidRDefault="005C7EB3" w:rsidP="00471695">
      <w:pPr>
        <w:pStyle w:val="BodyText"/>
        <w:kinsoku w:val="0"/>
        <w:overflowPunct w:val="0"/>
        <w:spacing w:line="276" w:lineRule="auto"/>
        <w:ind w:left="0"/>
        <w:jc w:val="both"/>
        <w:rPr>
          <w:rFonts w:eastAsiaTheme="minorEastAsia"/>
          <w:color w:val="000000" w:themeColor="text1"/>
          <w:sz w:val="22"/>
          <w:szCs w:val="22"/>
          <w:shd w:val="clear" w:color="auto" w:fill="FFFFFF"/>
          <w:lang w:eastAsia="zh-CN"/>
        </w:rPr>
      </w:pPr>
      <w:r w:rsidRPr="005C7EB3">
        <w:rPr>
          <w:rFonts w:eastAsiaTheme="minorEastAsia"/>
          <w:color w:val="000000" w:themeColor="text1"/>
          <w:sz w:val="22"/>
          <w:szCs w:val="22"/>
          <w:shd w:val="clear" w:color="auto" w:fill="FFFFFF"/>
          <w:lang w:eastAsia="zh-CN"/>
        </w:rPr>
        <w:t>After discussing with Professor Jo Youngji, we realized that combining the two topics into a single discussion is challenging. The first topic—using the initial growth rate of COVID-19 variants to predict their dominance—is already complex, particularly in terms of the modeling aspects. Therefore, we have decided to address them as two separate research topics. The main points are as follows:</w:t>
      </w:r>
    </w:p>
    <w:p w14:paraId="201E5360" w14:textId="77777777" w:rsidR="0052565C" w:rsidRDefault="0052565C" w:rsidP="00471695">
      <w:pPr>
        <w:pStyle w:val="BodyText"/>
        <w:kinsoku w:val="0"/>
        <w:overflowPunct w:val="0"/>
        <w:spacing w:line="276" w:lineRule="auto"/>
        <w:ind w:left="0"/>
        <w:jc w:val="both"/>
        <w:rPr>
          <w:rFonts w:eastAsiaTheme="minorEastAsia"/>
          <w:color w:val="000000" w:themeColor="text1"/>
          <w:sz w:val="22"/>
          <w:szCs w:val="22"/>
          <w:shd w:val="clear" w:color="auto" w:fill="FFFFFF"/>
          <w:lang w:eastAsia="zh-CN"/>
        </w:rPr>
      </w:pPr>
    </w:p>
    <w:p w14:paraId="0565A68D" w14:textId="40E4C5B9" w:rsidR="00820EBA" w:rsidRPr="00E7623B" w:rsidRDefault="00820EBA" w:rsidP="00471695">
      <w:pPr>
        <w:pStyle w:val="BodyText"/>
        <w:kinsoku w:val="0"/>
        <w:overflowPunct w:val="0"/>
        <w:spacing w:line="276" w:lineRule="auto"/>
        <w:ind w:left="0"/>
        <w:jc w:val="both"/>
        <w:rPr>
          <w:rFonts w:eastAsiaTheme="minorEastAsia"/>
          <w:b/>
          <w:bCs/>
          <w:color w:val="000000" w:themeColor="text1"/>
          <w:sz w:val="22"/>
          <w:szCs w:val="22"/>
          <w:shd w:val="clear" w:color="auto" w:fill="FFFFFF"/>
          <w:lang w:eastAsia="zh-CN"/>
        </w:rPr>
      </w:pPr>
      <w:r w:rsidRPr="00E7623B">
        <w:rPr>
          <w:rFonts w:eastAsiaTheme="minorEastAsia"/>
          <w:b/>
          <w:bCs/>
          <w:color w:val="000000" w:themeColor="text1"/>
          <w:sz w:val="22"/>
          <w:szCs w:val="22"/>
          <w:shd w:val="clear" w:color="auto" w:fill="FFFFFF"/>
          <w:lang w:eastAsia="zh-CN"/>
        </w:rPr>
        <w:t xml:space="preserve">First </w:t>
      </w:r>
      <w:r w:rsidR="00156057">
        <w:rPr>
          <w:rFonts w:eastAsiaTheme="minorEastAsia"/>
          <w:b/>
          <w:bCs/>
          <w:color w:val="000000" w:themeColor="text1"/>
          <w:sz w:val="22"/>
          <w:szCs w:val="22"/>
          <w:shd w:val="clear" w:color="auto" w:fill="FFFFFF"/>
          <w:lang w:eastAsia="zh-CN"/>
        </w:rPr>
        <w:t>Analysis</w:t>
      </w:r>
    </w:p>
    <w:p w14:paraId="59E066CE" w14:textId="566A31F1" w:rsidR="00B63F4C" w:rsidRDefault="00156057" w:rsidP="00B63F4C">
      <w:pPr>
        <w:pStyle w:val="BodyText"/>
        <w:kinsoku w:val="0"/>
        <w:overflowPunct w:val="0"/>
        <w:spacing w:line="276" w:lineRule="auto"/>
        <w:jc w:val="both"/>
        <w:rPr>
          <w:rFonts w:eastAsiaTheme="minorEastAsia"/>
          <w:color w:val="000000" w:themeColor="text1"/>
          <w:sz w:val="22"/>
          <w:szCs w:val="22"/>
          <w:shd w:val="clear" w:color="auto" w:fill="FFFFFF"/>
          <w:lang w:eastAsia="zh-CN"/>
        </w:rPr>
      </w:pPr>
      <w:r>
        <w:rPr>
          <w:rFonts w:eastAsiaTheme="minorEastAsia"/>
          <w:b/>
          <w:bCs/>
          <w:color w:val="000000" w:themeColor="text1"/>
          <w:sz w:val="22"/>
          <w:szCs w:val="22"/>
          <w:shd w:val="clear" w:color="auto" w:fill="FFFFFF"/>
          <w:lang w:eastAsia="zh-CN"/>
        </w:rPr>
        <w:t xml:space="preserve">Main topic: </w:t>
      </w:r>
      <w:r w:rsidR="00B63F4C" w:rsidRPr="00B63F4C">
        <w:rPr>
          <w:rFonts w:eastAsiaTheme="minorEastAsia"/>
          <w:color w:val="000000" w:themeColor="text1"/>
          <w:sz w:val="22"/>
          <w:szCs w:val="22"/>
          <w:shd w:val="clear" w:color="auto" w:fill="FFFFFF"/>
          <w:lang w:eastAsia="zh-CN"/>
        </w:rPr>
        <w:t>How much early share growth rate can predict the future share dominance (</w:t>
      </w:r>
      <w:r w:rsidR="00CE3F8C">
        <w:rPr>
          <w:rFonts w:eastAsiaTheme="minorEastAsia"/>
          <w:color w:val="000000" w:themeColor="text1"/>
          <w:sz w:val="22"/>
          <w:szCs w:val="22"/>
          <w:shd w:val="clear" w:color="auto" w:fill="FFFFFF"/>
          <w:lang w:eastAsia="zh-CN"/>
        </w:rPr>
        <w:t>general model</w:t>
      </w:r>
      <w:r w:rsidR="00B63F4C" w:rsidRPr="00B63F4C">
        <w:rPr>
          <w:rFonts w:eastAsiaTheme="minorEastAsia"/>
          <w:color w:val="000000" w:themeColor="text1"/>
          <w:sz w:val="22"/>
          <w:szCs w:val="22"/>
          <w:shd w:val="clear" w:color="auto" w:fill="FFFFFF"/>
          <w:lang w:eastAsia="zh-CN"/>
        </w:rPr>
        <w:t xml:space="preserve">). </w:t>
      </w:r>
    </w:p>
    <w:p w14:paraId="34DA8EED" w14:textId="67C3E454" w:rsidR="00B63F4C" w:rsidRPr="00B63F4C" w:rsidRDefault="009F7E18" w:rsidP="00B63F4C">
      <w:pPr>
        <w:pStyle w:val="BodyText"/>
        <w:kinsoku w:val="0"/>
        <w:overflowPunct w:val="0"/>
        <w:spacing w:line="276" w:lineRule="auto"/>
        <w:jc w:val="both"/>
        <w:rPr>
          <w:rFonts w:eastAsiaTheme="minorEastAsia"/>
          <w:color w:val="000000" w:themeColor="text1"/>
          <w:sz w:val="22"/>
          <w:szCs w:val="22"/>
          <w:shd w:val="clear" w:color="auto" w:fill="FFFFFF"/>
          <w:lang w:eastAsia="zh-CN"/>
        </w:rPr>
      </w:pPr>
      <w:r>
        <w:rPr>
          <w:rFonts w:eastAsiaTheme="minorEastAsia"/>
          <w:b/>
          <w:bCs/>
          <w:color w:val="000000" w:themeColor="text1"/>
          <w:sz w:val="22"/>
          <w:szCs w:val="22"/>
          <w:shd w:val="clear" w:color="auto" w:fill="FFFFFF"/>
          <w:lang w:eastAsia="zh-CN"/>
        </w:rPr>
        <w:t>Deliverable goals:</w:t>
      </w:r>
      <w:r>
        <w:rPr>
          <w:rFonts w:eastAsiaTheme="minorEastAsia"/>
          <w:color w:val="000000" w:themeColor="text1"/>
          <w:sz w:val="22"/>
          <w:szCs w:val="22"/>
          <w:shd w:val="clear" w:color="auto" w:fill="FFFFFF"/>
          <w:lang w:eastAsia="zh-CN"/>
        </w:rPr>
        <w:t xml:space="preserve"> </w:t>
      </w:r>
    </w:p>
    <w:p w14:paraId="10D4C8A0" w14:textId="69ABD6D6" w:rsidR="00B63F4C" w:rsidRDefault="00B63F4C" w:rsidP="009F7E18">
      <w:pPr>
        <w:pStyle w:val="BodyText"/>
        <w:numPr>
          <w:ilvl w:val="0"/>
          <w:numId w:val="11"/>
        </w:numPr>
        <w:kinsoku w:val="0"/>
        <w:overflowPunct w:val="0"/>
        <w:spacing w:line="276" w:lineRule="auto"/>
        <w:jc w:val="both"/>
        <w:rPr>
          <w:rFonts w:eastAsiaTheme="minorEastAsia"/>
          <w:color w:val="000000" w:themeColor="text1"/>
          <w:sz w:val="22"/>
          <w:szCs w:val="22"/>
          <w:shd w:val="clear" w:color="auto" w:fill="FFFFFF"/>
          <w:lang w:eastAsia="zh-CN"/>
        </w:rPr>
      </w:pPr>
      <w:r w:rsidRPr="00B63F4C">
        <w:rPr>
          <w:rFonts w:eastAsiaTheme="minorEastAsia"/>
          <w:color w:val="000000" w:themeColor="text1"/>
          <w:sz w:val="22"/>
          <w:szCs w:val="22"/>
          <w:shd w:val="clear" w:color="auto" w:fill="FFFFFF"/>
          <w:lang w:eastAsia="zh-CN"/>
        </w:rPr>
        <w:t>To</w:t>
      </w:r>
      <w:r w:rsidR="009F2BFF">
        <w:rPr>
          <w:rFonts w:eastAsiaTheme="minorEastAsia"/>
          <w:color w:val="000000" w:themeColor="text1"/>
          <w:sz w:val="22"/>
          <w:szCs w:val="22"/>
          <w:shd w:val="clear" w:color="auto" w:fill="FFFFFF"/>
          <w:lang w:eastAsia="zh-CN"/>
        </w:rPr>
        <w:t xml:space="preserve"> evaluate the prediction performance </w:t>
      </w:r>
      <w:r w:rsidR="00566361">
        <w:rPr>
          <w:rFonts w:eastAsiaTheme="minorEastAsia"/>
          <w:color w:val="000000" w:themeColor="text1"/>
          <w:sz w:val="22"/>
          <w:szCs w:val="22"/>
          <w:shd w:val="clear" w:color="auto" w:fill="FFFFFF"/>
          <w:lang w:eastAsia="zh-CN"/>
        </w:rPr>
        <w:t xml:space="preserve">(maximum and duration) </w:t>
      </w:r>
      <w:r w:rsidR="009F2BFF">
        <w:rPr>
          <w:rFonts w:eastAsiaTheme="minorEastAsia"/>
          <w:color w:val="000000" w:themeColor="text1"/>
          <w:sz w:val="22"/>
          <w:szCs w:val="22"/>
          <w:shd w:val="clear" w:color="auto" w:fill="FFFFFF"/>
          <w:lang w:eastAsia="zh-CN"/>
        </w:rPr>
        <w:t>of the model</w:t>
      </w:r>
      <w:r w:rsidRPr="00B63F4C">
        <w:rPr>
          <w:rFonts w:eastAsiaTheme="minorEastAsia"/>
          <w:color w:val="000000" w:themeColor="text1"/>
          <w:sz w:val="22"/>
          <w:szCs w:val="22"/>
          <w:shd w:val="clear" w:color="auto" w:fill="FFFFFF"/>
          <w:lang w:eastAsia="zh-CN"/>
        </w:rPr>
        <w:t xml:space="preserve">. </w:t>
      </w:r>
    </w:p>
    <w:p w14:paraId="4E216928" w14:textId="1D76292E" w:rsidR="00B63F4C" w:rsidRPr="00B63F4C" w:rsidRDefault="00B63F4C" w:rsidP="009F7E18">
      <w:pPr>
        <w:pStyle w:val="BodyText"/>
        <w:numPr>
          <w:ilvl w:val="0"/>
          <w:numId w:val="11"/>
        </w:numPr>
        <w:kinsoku w:val="0"/>
        <w:overflowPunct w:val="0"/>
        <w:spacing w:line="276" w:lineRule="auto"/>
        <w:jc w:val="both"/>
        <w:rPr>
          <w:rFonts w:eastAsiaTheme="minorEastAsia"/>
          <w:color w:val="000000" w:themeColor="text1"/>
          <w:sz w:val="22"/>
          <w:szCs w:val="22"/>
          <w:shd w:val="clear" w:color="auto" w:fill="FFFFFF"/>
          <w:lang w:eastAsia="zh-CN"/>
        </w:rPr>
      </w:pPr>
      <w:r w:rsidRPr="00B63F4C">
        <w:rPr>
          <w:rFonts w:eastAsiaTheme="minorEastAsia"/>
          <w:color w:val="000000" w:themeColor="text1"/>
          <w:sz w:val="22"/>
          <w:szCs w:val="22"/>
          <w:shd w:val="clear" w:color="auto" w:fill="FFFFFF"/>
          <w:lang w:eastAsia="zh-CN"/>
        </w:rPr>
        <w:t>To determine the range of growth rates most contributing to the dominance. (by the coefficient)</w:t>
      </w:r>
    </w:p>
    <w:p w14:paraId="72CC04DC" w14:textId="219B4724" w:rsidR="00B63F4C" w:rsidRPr="00B63F4C" w:rsidRDefault="00B63F4C" w:rsidP="00B63F4C">
      <w:pPr>
        <w:pStyle w:val="BodyText"/>
        <w:kinsoku w:val="0"/>
        <w:overflowPunct w:val="0"/>
        <w:spacing w:line="276" w:lineRule="auto"/>
        <w:jc w:val="both"/>
        <w:rPr>
          <w:rFonts w:eastAsiaTheme="minorEastAsia"/>
          <w:color w:val="000000" w:themeColor="text1"/>
          <w:sz w:val="22"/>
          <w:szCs w:val="22"/>
          <w:shd w:val="clear" w:color="auto" w:fill="FFFFFF"/>
          <w:lang w:eastAsia="zh-CN"/>
        </w:rPr>
      </w:pPr>
      <w:r w:rsidRPr="00B63F4C">
        <w:rPr>
          <w:rFonts w:eastAsiaTheme="minorEastAsia"/>
          <w:b/>
          <w:bCs/>
          <w:color w:val="000000" w:themeColor="text1"/>
          <w:sz w:val="22"/>
          <w:szCs w:val="22"/>
          <w:shd w:val="clear" w:color="auto" w:fill="FFFFFF"/>
          <w:lang w:eastAsia="zh-CN"/>
        </w:rPr>
        <w:t xml:space="preserve">Utility </w:t>
      </w:r>
      <w:r w:rsidRPr="009F7E18">
        <w:rPr>
          <w:rFonts w:eastAsiaTheme="minorEastAsia"/>
          <w:b/>
          <w:bCs/>
          <w:color w:val="000000" w:themeColor="text1"/>
          <w:sz w:val="22"/>
          <w:szCs w:val="22"/>
          <w:shd w:val="clear" w:color="auto" w:fill="FFFFFF"/>
          <w:lang w:eastAsia="zh-CN"/>
        </w:rPr>
        <w:t>of the</w:t>
      </w:r>
      <w:r w:rsidRPr="00B63F4C">
        <w:rPr>
          <w:rFonts w:eastAsiaTheme="minorEastAsia"/>
          <w:b/>
          <w:bCs/>
          <w:color w:val="000000" w:themeColor="text1"/>
          <w:sz w:val="22"/>
          <w:szCs w:val="22"/>
          <w:shd w:val="clear" w:color="auto" w:fill="FFFFFF"/>
          <w:lang w:eastAsia="zh-CN"/>
        </w:rPr>
        <w:t xml:space="preserve"> model:</w:t>
      </w:r>
      <w:r w:rsidRPr="00B63F4C">
        <w:rPr>
          <w:rFonts w:eastAsiaTheme="minorEastAsia"/>
          <w:color w:val="000000" w:themeColor="text1"/>
          <w:sz w:val="22"/>
          <w:szCs w:val="22"/>
          <w:shd w:val="clear" w:color="auto" w:fill="FFFFFF"/>
          <w:lang w:eastAsia="zh-CN"/>
        </w:rPr>
        <w:t xml:space="preserve"> our model can predict the future dominance by monitoring the share growth rate of the new variant, based on the specific growth rate </w:t>
      </w:r>
      <w:r w:rsidR="00081D90">
        <w:rPr>
          <w:rFonts w:eastAsiaTheme="minorEastAsia"/>
          <w:color w:val="000000" w:themeColor="text1"/>
          <w:sz w:val="22"/>
          <w:szCs w:val="22"/>
          <w:shd w:val="clear" w:color="auto" w:fill="FFFFFF"/>
          <w:lang w:eastAsia="zh-CN"/>
        </w:rPr>
        <w:t xml:space="preserve">before reaching the threshold (20%). </w:t>
      </w:r>
    </w:p>
    <w:p w14:paraId="352251FB" w14:textId="77777777" w:rsidR="00B63F4C" w:rsidRPr="00471695" w:rsidRDefault="00B63F4C" w:rsidP="00471695">
      <w:pPr>
        <w:pStyle w:val="BodyText"/>
        <w:kinsoku w:val="0"/>
        <w:overflowPunct w:val="0"/>
        <w:spacing w:line="276" w:lineRule="auto"/>
        <w:ind w:left="0"/>
        <w:jc w:val="both"/>
        <w:rPr>
          <w:rFonts w:eastAsiaTheme="minorEastAsia"/>
          <w:color w:val="000000" w:themeColor="text1"/>
          <w:sz w:val="22"/>
          <w:szCs w:val="22"/>
          <w:shd w:val="clear" w:color="auto" w:fill="FFFFFF"/>
          <w:lang w:eastAsia="zh-CN"/>
        </w:rPr>
      </w:pPr>
    </w:p>
    <w:p w14:paraId="3D3F0F25" w14:textId="77777777" w:rsidR="00DB3BA6" w:rsidRPr="00471695" w:rsidRDefault="00DB3BA6" w:rsidP="00471695">
      <w:pPr>
        <w:pStyle w:val="BodyText"/>
        <w:kinsoku w:val="0"/>
        <w:overflowPunct w:val="0"/>
        <w:spacing w:line="276" w:lineRule="auto"/>
        <w:ind w:left="0"/>
        <w:jc w:val="both"/>
        <w:rPr>
          <w:rFonts w:eastAsiaTheme="minorEastAsia"/>
          <w:sz w:val="22"/>
          <w:szCs w:val="22"/>
          <w:lang w:eastAsia="zh-CN"/>
        </w:rPr>
      </w:pPr>
    </w:p>
    <w:p w14:paraId="2C252024" w14:textId="77777777" w:rsidR="00DB3BA6" w:rsidRPr="007744FE" w:rsidRDefault="00D3651D" w:rsidP="00471695">
      <w:pPr>
        <w:pStyle w:val="BodyText"/>
        <w:kinsoku w:val="0"/>
        <w:overflowPunct w:val="0"/>
        <w:spacing w:line="276" w:lineRule="auto"/>
        <w:ind w:left="0"/>
        <w:jc w:val="both"/>
        <w:rPr>
          <w:rFonts w:eastAsiaTheme="minorEastAsia"/>
          <w:b/>
          <w:bCs/>
          <w:color w:val="000000" w:themeColor="text1"/>
          <w:lang w:eastAsia="ko-KR"/>
        </w:rPr>
      </w:pPr>
      <w:r w:rsidRPr="007744FE">
        <w:rPr>
          <w:b/>
          <w:bCs/>
          <w:color w:val="000000" w:themeColor="text1"/>
        </w:rPr>
        <w:t>Methods</w:t>
      </w:r>
      <w:bookmarkStart w:id="1" w:name="Sample_Collection_and_Definitions"/>
      <w:bookmarkEnd w:id="1"/>
    </w:p>
    <w:p w14:paraId="692327AB" w14:textId="77777777" w:rsidR="00DB3BA6" w:rsidRPr="00471695" w:rsidRDefault="00DB3BA6" w:rsidP="00471695">
      <w:pPr>
        <w:pStyle w:val="BodyText"/>
        <w:kinsoku w:val="0"/>
        <w:overflowPunct w:val="0"/>
        <w:spacing w:line="276" w:lineRule="auto"/>
        <w:ind w:left="0"/>
        <w:jc w:val="both"/>
        <w:rPr>
          <w:rFonts w:eastAsiaTheme="minorEastAsia"/>
          <w:b/>
          <w:bCs/>
          <w:color w:val="000000" w:themeColor="text1"/>
          <w:sz w:val="22"/>
          <w:szCs w:val="22"/>
          <w:lang w:eastAsia="ko-KR"/>
        </w:rPr>
      </w:pPr>
    </w:p>
    <w:p w14:paraId="2D9AA06A" w14:textId="2DE91380" w:rsidR="007E4721" w:rsidRDefault="008F1E37" w:rsidP="00D209B1">
      <w:pPr>
        <w:pStyle w:val="pf0"/>
        <w:spacing w:before="0" w:beforeAutospacing="0" w:after="0" w:afterAutospacing="0" w:line="276" w:lineRule="auto"/>
        <w:jc w:val="both"/>
        <w:rPr>
          <w:color w:val="212121"/>
          <w:sz w:val="22"/>
          <w:szCs w:val="22"/>
          <w:shd w:val="clear" w:color="auto" w:fill="FFFFFF"/>
          <w:lang w:eastAsia="zh-CN"/>
        </w:rPr>
      </w:pPr>
      <w:r w:rsidRPr="00471695">
        <w:rPr>
          <w:b/>
          <w:bCs/>
          <w:color w:val="000000" w:themeColor="text1"/>
          <w:sz w:val="22"/>
          <w:szCs w:val="22"/>
        </w:rPr>
        <w:t>Sample Collection and</w:t>
      </w:r>
      <w:r w:rsidRPr="00471695">
        <w:rPr>
          <w:b/>
          <w:bCs/>
          <w:color w:val="000000" w:themeColor="text1"/>
          <w:spacing w:val="6"/>
          <w:sz w:val="22"/>
          <w:szCs w:val="22"/>
        </w:rPr>
        <w:t xml:space="preserve"> </w:t>
      </w:r>
      <w:r w:rsidRPr="00471695">
        <w:rPr>
          <w:b/>
          <w:bCs/>
          <w:color w:val="000000" w:themeColor="text1"/>
          <w:sz w:val="22"/>
          <w:szCs w:val="22"/>
        </w:rPr>
        <w:t>Definitions</w:t>
      </w:r>
      <w:r w:rsidRPr="00471695">
        <w:rPr>
          <w:rFonts w:eastAsiaTheme="minorEastAsia"/>
          <w:b/>
          <w:bCs/>
          <w:color w:val="000000" w:themeColor="text1"/>
          <w:sz w:val="22"/>
          <w:szCs w:val="22"/>
        </w:rPr>
        <w:t>.</w:t>
      </w:r>
      <w:r w:rsidRPr="00471695">
        <w:rPr>
          <w:rFonts w:eastAsiaTheme="minorEastAsia"/>
          <w:color w:val="000000" w:themeColor="text1"/>
          <w:sz w:val="22"/>
          <w:szCs w:val="22"/>
        </w:rPr>
        <w:t xml:space="preserve"> </w:t>
      </w:r>
      <w:bookmarkStart w:id="2" w:name="Cohort_Study_Design_and_Regression_Model"/>
      <w:bookmarkEnd w:id="2"/>
      <w:r w:rsidR="00D44EF5" w:rsidRPr="00D44EF5">
        <w:rPr>
          <w:color w:val="212121"/>
          <w:sz w:val="22"/>
          <w:szCs w:val="22"/>
          <w:shd w:val="clear" w:color="auto" w:fill="FFFFFF"/>
        </w:rPr>
        <w:t>The GISAID (Global Initiative on Sharing All Influenza Data) COVID-19 collection serves as a vital global repository for SARS-CoV-2 genomic data, enabling researchers worldwide to track the virus's evolution, transmission, and mutations. Since its launch in January 2020, GISAID has been regularly updated with submissions from various countries, showcasing collaborative efforts in combating the pandemic. Notably, nations such as South Korea, the United Kingdom, and the United States have contributed extensively to the database, reflecting their robust genomic surveillance programs. Data is collected through a network of participating laboratories, public health institutions, and universities, where clinical samples are sequenced and analyzed before being uploaded to the platform. Institutions such as the Korea Disease Control and Prevention Agency (KDCA), the UK Health Security Agency (UKHSA), and the Centers for Disease Control and Prevention (CDC) in the U.S. play pivotal roles in their respective countries' contributions. GISAID remains a cornerstone of international cooperation, fostering transparency and accelerating research aimed at understanding and mitigating the global impact of COVID-19.</w:t>
      </w:r>
      <w:r w:rsidR="007E4721">
        <w:rPr>
          <w:color w:val="212121"/>
          <w:sz w:val="22"/>
          <w:szCs w:val="22"/>
          <w:shd w:val="clear" w:color="auto" w:fill="FFFFFF"/>
        </w:rPr>
        <w:t xml:space="preserve"> </w:t>
      </w:r>
    </w:p>
    <w:p w14:paraId="28414763" w14:textId="77777777" w:rsidR="00BE50A3" w:rsidRDefault="00BE50A3" w:rsidP="00BE50A3">
      <w:pPr>
        <w:pStyle w:val="pf0"/>
        <w:spacing w:before="0" w:beforeAutospacing="0" w:after="0" w:afterAutospacing="0" w:line="276" w:lineRule="auto"/>
        <w:rPr>
          <w:color w:val="212121"/>
          <w:sz w:val="22"/>
          <w:szCs w:val="22"/>
          <w:shd w:val="clear" w:color="auto" w:fill="FFFFFF"/>
        </w:rPr>
      </w:pPr>
    </w:p>
    <w:p w14:paraId="20154F45" w14:textId="607E7051" w:rsidR="007E4721" w:rsidRDefault="00BE50A3" w:rsidP="007744FE">
      <w:pPr>
        <w:pStyle w:val="pf0"/>
        <w:spacing w:before="0" w:beforeAutospacing="0" w:after="0" w:afterAutospacing="0" w:line="276" w:lineRule="auto"/>
        <w:jc w:val="both"/>
        <w:rPr>
          <w:color w:val="212121"/>
          <w:sz w:val="22"/>
          <w:szCs w:val="22"/>
          <w:shd w:val="clear" w:color="auto" w:fill="FFFFFF"/>
          <w:lang w:eastAsia="zh-CN"/>
        </w:rPr>
      </w:pPr>
      <w:r w:rsidRPr="00B83C31">
        <w:rPr>
          <w:color w:val="212121"/>
          <w:sz w:val="22"/>
          <w:szCs w:val="22"/>
          <w:shd w:val="clear" w:color="auto" w:fill="FFFFFF"/>
        </w:rPr>
        <w:t xml:space="preserve">The GISAID dataset utilized in this study comprises infection counts from over </w:t>
      </w:r>
      <w:r w:rsidR="00B83C31" w:rsidRPr="00B83C31">
        <w:rPr>
          <w:color w:val="212121"/>
          <w:sz w:val="22"/>
          <w:szCs w:val="22"/>
          <w:shd w:val="clear" w:color="auto" w:fill="FFFFFF"/>
        </w:rPr>
        <w:t>3</w:t>
      </w:r>
      <w:r w:rsidRPr="00B83C31">
        <w:rPr>
          <w:color w:val="212121"/>
          <w:sz w:val="22"/>
          <w:szCs w:val="22"/>
          <w:shd w:val="clear" w:color="auto" w:fill="FFFFFF"/>
        </w:rPr>
        <w:t xml:space="preserve">,000 </w:t>
      </w:r>
      <w:r w:rsidR="00B83C31" w:rsidRPr="00B83C31">
        <w:rPr>
          <w:color w:val="212121"/>
          <w:sz w:val="22"/>
          <w:szCs w:val="22"/>
          <w:shd w:val="clear" w:color="auto" w:fill="FFFFFF"/>
        </w:rPr>
        <w:t xml:space="preserve">SARS-CoV-2 </w:t>
      </w:r>
      <w:r w:rsidR="00B6107B">
        <w:rPr>
          <w:color w:val="212121"/>
          <w:sz w:val="22"/>
          <w:szCs w:val="22"/>
          <w:shd w:val="clear" w:color="auto" w:fill="FFFFFF"/>
        </w:rPr>
        <w:t xml:space="preserve">lineages </w:t>
      </w:r>
      <w:r w:rsidRPr="00B83C31">
        <w:rPr>
          <w:color w:val="212121"/>
          <w:sz w:val="22"/>
          <w:szCs w:val="22"/>
          <w:shd w:val="clear" w:color="auto" w:fill="FFFFFF"/>
        </w:rPr>
        <w:t>across the top 30 countries with the highest cumulative infection counts, spanning the period from January 2020 to May 2024. This dataset is recorded daily, enabling detailed day-level analysis of the pandemic's progression and variant-specific impacts. For the purposes of this research, we focus primarily on these top 30 countries, defined by their total COVID-19 infection cases, as they provide the most comprehensive and impactful data for understanding the global dynamics of the pandemic. By concentrating on these countries, the analysis gains greater relevance and precision, reflecting the regions with the most significant epidemiological and public health implications. This targeted approach allows for deeper insights into the interplay between variant evolution, infection trends, and geographic-specific factors, making the findings highly valuable for both global and regional pandemic responses.</w:t>
      </w:r>
    </w:p>
    <w:p w14:paraId="3EDABAE7" w14:textId="77777777" w:rsidR="007E4721" w:rsidRPr="00471695" w:rsidRDefault="007E4721" w:rsidP="00D44EF5">
      <w:pPr>
        <w:pStyle w:val="pf0"/>
        <w:spacing w:before="0" w:beforeAutospacing="0" w:after="0" w:afterAutospacing="0" w:line="276" w:lineRule="auto"/>
        <w:rPr>
          <w:rFonts w:eastAsiaTheme="minorEastAsia"/>
          <w:b/>
          <w:bCs/>
          <w:spacing w:val="-10"/>
          <w:sz w:val="22"/>
          <w:szCs w:val="22"/>
          <w:lang w:eastAsia="zh-CN"/>
        </w:rPr>
      </w:pPr>
    </w:p>
    <w:p w14:paraId="4A5913E9" w14:textId="17DBB6FE" w:rsidR="00E77DFE" w:rsidRDefault="008D184F" w:rsidP="00015853">
      <w:pPr>
        <w:pStyle w:val="BodyText"/>
        <w:spacing w:line="276" w:lineRule="auto"/>
        <w:ind w:left="0"/>
        <w:jc w:val="both"/>
        <w:rPr>
          <w:sz w:val="22"/>
          <w:szCs w:val="22"/>
        </w:rPr>
      </w:pPr>
      <w:r w:rsidRPr="00471695">
        <w:rPr>
          <w:rFonts w:eastAsiaTheme="minorEastAsia"/>
          <w:b/>
          <w:bCs/>
          <w:color w:val="000000" w:themeColor="text1"/>
          <w:spacing w:val="-10"/>
          <w:sz w:val="22"/>
          <w:szCs w:val="22"/>
          <w:lang w:eastAsia="ko-KR"/>
        </w:rPr>
        <w:t xml:space="preserve">Inclusion/Exclusion criteria. </w:t>
      </w:r>
      <w:r w:rsidR="00015853">
        <w:rPr>
          <w:rFonts w:eastAsiaTheme="minorEastAsia"/>
          <w:b/>
          <w:bCs/>
          <w:color w:val="000000" w:themeColor="text1"/>
          <w:spacing w:val="-10"/>
          <w:sz w:val="22"/>
          <w:szCs w:val="22"/>
          <w:lang w:eastAsia="ko-KR"/>
        </w:rPr>
        <w:t xml:space="preserve"> </w:t>
      </w:r>
    </w:p>
    <w:p w14:paraId="6959E3C0" w14:textId="2ADB1B8C" w:rsidR="00714ECA" w:rsidRPr="00714ECA" w:rsidRDefault="00714ECA" w:rsidP="00FF5F09">
      <w:pPr>
        <w:pStyle w:val="BodyText"/>
        <w:spacing w:line="276" w:lineRule="auto"/>
        <w:ind w:left="0"/>
        <w:jc w:val="both"/>
        <w:rPr>
          <w:sz w:val="22"/>
          <w:szCs w:val="22"/>
        </w:rPr>
      </w:pPr>
      <w:r w:rsidRPr="00714ECA">
        <w:rPr>
          <w:sz w:val="22"/>
          <w:szCs w:val="22"/>
        </w:rPr>
        <w:t xml:space="preserve">In </w:t>
      </w:r>
      <w:r w:rsidR="005A3146">
        <w:rPr>
          <w:sz w:val="22"/>
          <w:szCs w:val="22"/>
        </w:rPr>
        <w:t>the variants</w:t>
      </w:r>
      <w:r w:rsidR="00CE409D">
        <w:rPr>
          <w:sz w:val="22"/>
          <w:szCs w:val="22"/>
        </w:rPr>
        <w:t>’</w:t>
      </w:r>
      <w:r w:rsidR="005A3146">
        <w:rPr>
          <w:sz w:val="22"/>
          <w:szCs w:val="22"/>
        </w:rPr>
        <w:t xml:space="preserve"> dominance prediction</w:t>
      </w:r>
      <w:r w:rsidRPr="00714ECA">
        <w:rPr>
          <w:sz w:val="22"/>
          <w:szCs w:val="22"/>
        </w:rPr>
        <w:t xml:space="preserve"> analysis, to enhance representativeness, we classified over 3,000 SARS-CoV-2 lineages based on their parent lineages and ancestors. The goal of this classification was to aggregate the </w:t>
      </w:r>
      <w:r w:rsidRPr="00714ECA">
        <w:rPr>
          <w:sz w:val="22"/>
          <w:szCs w:val="22"/>
        </w:rPr>
        <w:lastRenderedPageBreak/>
        <w:t>vast number of individual lineages into a manageable set of representative groups, ensuring that each classified lineage reflected a broader category of related lineages. To focus on the most epidemiologically and clinically relevant variants, we established specific criteria for inclusion in the classified lineages. Each lineage had to have recorded at least 500 infections by August 202</w:t>
      </w:r>
      <w:r w:rsidR="00BB66B8">
        <w:rPr>
          <w:rFonts w:hint="eastAsia"/>
          <w:sz w:val="22"/>
          <w:szCs w:val="22"/>
          <w:lang w:eastAsia="zh-CN"/>
        </w:rPr>
        <w:t>4</w:t>
      </w:r>
      <w:r w:rsidRPr="00714ECA">
        <w:rPr>
          <w:sz w:val="22"/>
          <w:szCs w:val="22"/>
        </w:rPr>
        <w:t>, and its peak prevalence within a country had to account for at least one percent of total infections. These thresholds ensured that the selected lineages were significant contributors to the pandemic's trajectory in their respective regions.</w:t>
      </w:r>
    </w:p>
    <w:p w14:paraId="38833E74" w14:textId="77777777" w:rsidR="00714ECA" w:rsidRPr="00714ECA" w:rsidRDefault="00714ECA" w:rsidP="00714ECA">
      <w:pPr>
        <w:pStyle w:val="BodyText"/>
        <w:spacing w:line="276" w:lineRule="auto"/>
        <w:jc w:val="both"/>
        <w:rPr>
          <w:sz w:val="22"/>
          <w:szCs w:val="22"/>
        </w:rPr>
      </w:pPr>
    </w:p>
    <w:p w14:paraId="75E324C6" w14:textId="77777777" w:rsidR="00E23253" w:rsidRPr="00E23253" w:rsidRDefault="00E23253" w:rsidP="00E23253">
      <w:pPr>
        <w:pStyle w:val="BodyText"/>
        <w:spacing w:line="276" w:lineRule="auto"/>
        <w:ind w:left="0"/>
        <w:jc w:val="both"/>
        <w:rPr>
          <w:sz w:val="22"/>
          <w:szCs w:val="22"/>
        </w:rPr>
      </w:pPr>
      <w:r w:rsidRPr="00E23253">
        <w:rPr>
          <w:sz w:val="22"/>
          <w:szCs w:val="22"/>
        </w:rPr>
        <w:t>Using defined criteria, over 3,000 SARS-CoV-2 lineages were consolidated into 22 representative variants for analysis across the 30 countries with the highest cumulative COVID-19 case counts. These lineages include well-known variants such as B.1.1.7 (Alpha), AY.4 (Delta), BA.5 and XBB.1 (Omicron subvariants), and JN.1, among others. Together, they capture the major evolutionary transitions that shaped the pandemic and reflect the dominant variants associated with global transmission waves. Most countries included in the analysis detected all 22 variants, highlighting their widespread dissemination. However, the timing of variant emergence and dominance varied by country, influenced by factors such as differential introduction events, genomic surveillance intensity, and public health interventions [Du Plessis et al., 2021; WHO Situation Reports, 2022].</w:t>
      </w:r>
    </w:p>
    <w:p w14:paraId="2606AED3" w14:textId="77777777" w:rsidR="00E23253" w:rsidRPr="00E23253" w:rsidRDefault="00E23253" w:rsidP="00E23253">
      <w:pPr>
        <w:pStyle w:val="BodyText"/>
        <w:spacing w:line="276" w:lineRule="auto"/>
        <w:jc w:val="both"/>
        <w:rPr>
          <w:sz w:val="22"/>
          <w:szCs w:val="22"/>
        </w:rPr>
      </w:pPr>
    </w:p>
    <w:p w14:paraId="795DA897" w14:textId="6D92769E" w:rsidR="00B81B0B" w:rsidRDefault="00E23253" w:rsidP="00E23253">
      <w:pPr>
        <w:pStyle w:val="BodyText"/>
        <w:spacing w:line="276" w:lineRule="auto"/>
        <w:ind w:left="0"/>
        <w:jc w:val="both"/>
        <w:rPr>
          <w:sz w:val="22"/>
          <w:szCs w:val="22"/>
        </w:rPr>
      </w:pPr>
      <w:r w:rsidRPr="00E23253">
        <w:rPr>
          <w:sz w:val="22"/>
          <w:szCs w:val="22"/>
        </w:rPr>
        <w:t>To contextualize these variants within the broader trajectory of the pandemic, the 22 lineages were grouped into three categories based on their temporal association with global vaccination phases and dominant epidemic waves. Group 1, Before Vaccination, includes variants dominant prior to widespread vaccine availability (e.g., B.1.1, AY.4, B.1.617), corresponding to global waves 1–3 from early 2020 to early 2021 [Gozzi et al., 2023; WHO, 2022]. Group 2, Vaccine Deployment, comprises early Omicron subvariants (e.g., BA.1, BA.2) that emerged rapidly in late 2021 and early 2022 during the initial scale-up of vaccination efforts, replacing Delta as the dominant variant within weeks [Callaway, 2022; UKHSA, 2022]. Group 3, Vaccine Scaled Up, includes later Omicron subvariants (e.g., BA.5, BQ.1, XBB.1, JN.1) that circulated globally from mid-2022 onward, during a phase of high vaccine coverage and partial population immunity, characterized by successive overlapping variant waves rather than a single dominant lineage [WHO, 2023; Tegally et al., 2023]. This grouping framework reflects the interaction between viral evolution and the shifting immunological landscape shaped by global vaccination dynamics.</w:t>
      </w:r>
      <w:r w:rsidR="00644254">
        <w:rPr>
          <w:sz w:val="22"/>
          <w:szCs w:val="22"/>
        </w:rPr>
        <w:t xml:space="preserve"> </w:t>
      </w:r>
      <w:r w:rsidR="00246996" w:rsidRPr="00246996">
        <w:rPr>
          <w:sz w:val="22"/>
          <w:szCs w:val="22"/>
        </w:rPr>
        <w:t xml:space="preserve">The summary table </w:t>
      </w:r>
      <w:r w:rsidR="00246996">
        <w:rPr>
          <w:sz w:val="22"/>
          <w:szCs w:val="22"/>
        </w:rPr>
        <w:t xml:space="preserve">(Table 1) </w:t>
      </w:r>
      <w:r w:rsidR="00246996" w:rsidRPr="00246996">
        <w:rPr>
          <w:sz w:val="22"/>
          <w:szCs w:val="22"/>
        </w:rPr>
        <w:t>for selected countries presents the variants included in each group, along with the corresponding start and end dates of each group’s circulation period.</w:t>
      </w:r>
    </w:p>
    <w:p w14:paraId="1A34D5ED" w14:textId="77777777" w:rsidR="00246996" w:rsidRDefault="00246996" w:rsidP="00E23253">
      <w:pPr>
        <w:pStyle w:val="BodyText"/>
        <w:spacing w:line="276" w:lineRule="auto"/>
        <w:ind w:left="0"/>
        <w:jc w:val="both"/>
        <w:rPr>
          <w:sz w:val="22"/>
          <w:szCs w:val="22"/>
        </w:rPr>
      </w:pPr>
    </w:p>
    <w:p w14:paraId="53D13D6D" w14:textId="2A9091BF" w:rsidR="00246996" w:rsidRDefault="00246996" w:rsidP="00E23253">
      <w:pPr>
        <w:pStyle w:val="BodyText"/>
        <w:spacing w:line="276" w:lineRule="auto"/>
        <w:ind w:left="0"/>
        <w:jc w:val="both"/>
        <w:rPr>
          <w:sz w:val="22"/>
          <w:szCs w:val="22"/>
        </w:rPr>
      </w:pPr>
      <w:r w:rsidRPr="003661E7">
        <w:rPr>
          <w:noProof/>
          <w:sz w:val="22"/>
          <w:szCs w:val="22"/>
          <w:lang w:eastAsia="zh-CN"/>
        </w:rPr>
        <w:drawing>
          <wp:inline distT="0" distB="0" distL="0" distR="0" wp14:anchorId="073427E1" wp14:editId="53A7456F">
            <wp:extent cx="6191250" cy="2160270"/>
            <wp:effectExtent l="0" t="0" r="6350" b="0"/>
            <wp:docPr id="749533366" name="Picture 1"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000056" name="Picture 1" descr="A table with numbers and letters&#10;&#10;AI-generated content may be incorrect."/>
                    <pic:cNvPicPr/>
                  </pic:nvPicPr>
                  <pic:blipFill>
                    <a:blip r:embed="rId8"/>
                    <a:stretch>
                      <a:fillRect/>
                    </a:stretch>
                  </pic:blipFill>
                  <pic:spPr>
                    <a:xfrm>
                      <a:off x="0" y="0"/>
                      <a:ext cx="6191250" cy="2160270"/>
                    </a:xfrm>
                    <a:prstGeom prst="rect">
                      <a:avLst/>
                    </a:prstGeom>
                  </pic:spPr>
                </pic:pic>
              </a:graphicData>
            </a:graphic>
          </wp:inline>
        </w:drawing>
      </w:r>
    </w:p>
    <w:p w14:paraId="6E82C09D" w14:textId="37B77B6D" w:rsidR="00246996" w:rsidRPr="00F71D2D" w:rsidRDefault="00246996" w:rsidP="00246996">
      <w:pPr>
        <w:pStyle w:val="BodyText"/>
        <w:spacing w:line="276" w:lineRule="auto"/>
        <w:jc w:val="center"/>
        <w:rPr>
          <w:sz w:val="20"/>
          <w:szCs w:val="20"/>
          <w:lang w:eastAsia="zh-CN"/>
        </w:rPr>
      </w:pPr>
      <w:r w:rsidRPr="00480D37">
        <w:rPr>
          <w:sz w:val="20"/>
          <w:szCs w:val="20"/>
          <w:lang w:eastAsia="zh-CN"/>
        </w:rPr>
        <w:t xml:space="preserve">Table1: </w:t>
      </w:r>
      <w:r w:rsidR="00CD0AE5" w:rsidRPr="00CD0AE5">
        <w:rPr>
          <w:sz w:val="20"/>
          <w:szCs w:val="20"/>
          <w:lang w:eastAsia="zh-CN"/>
        </w:rPr>
        <w:t>Variant groups by vaccination phase, with start/end dates and representative lineages for five selected countries.</w:t>
      </w:r>
    </w:p>
    <w:p w14:paraId="3D67AFA2" w14:textId="77777777" w:rsidR="00C06C01" w:rsidRDefault="00C06C01" w:rsidP="00F85D0D">
      <w:pPr>
        <w:pStyle w:val="BodyText"/>
        <w:spacing w:line="276" w:lineRule="auto"/>
        <w:jc w:val="both"/>
        <w:rPr>
          <w:sz w:val="22"/>
          <w:szCs w:val="22"/>
          <w:lang w:eastAsia="zh-CN"/>
        </w:rPr>
      </w:pPr>
    </w:p>
    <w:p w14:paraId="57F2335E" w14:textId="135EF848" w:rsidR="00F85D0D" w:rsidRDefault="00C06C01" w:rsidP="00F85D0D">
      <w:pPr>
        <w:pStyle w:val="BodyText"/>
        <w:spacing w:line="276" w:lineRule="auto"/>
        <w:jc w:val="both"/>
        <w:rPr>
          <w:sz w:val="22"/>
          <w:szCs w:val="22"/>
        </w:rPr>
      </w:pPr>
      <w:r w:rsidRPr="00C06C01">
        <w:rPr>
          <w:sz w:val="22"/>
          <w:szCs w:val="22"/>
        </w:rPr>
        <w:t xml:space="preserve">The response variable in the variant dominance prediction model is based on an operational definition of “dominance.” In this study, dominance is characterized using two primary metrics: (1) the peak prevalence of the variant, calculated with a 7-day rolling average to smooth short-term fluctuations; and (2) the duration of dominance, defined as the time span of the variant’s epidemic wave. Following the criteria proposed by du </w:t>
      </w:r>
      <w:r w:rsidRPr="00C06C01">
        <w:rPr>
          <w:sz w:val="22"/>
          <w:szCs w:val="22"/>
        </w:rPr>
        <w:lastRenderedPageBreak/>
        <w:t>Plessis et al. [ref], an epidemic wave is identified as a period of at least 14 consecutive days during which a minimum of 10 sequenced cases of the variant are reported. This definition ensures that dominance captures sustained transmission rather than transient occurrences, reflecting both the intensity and persistence of variant circulation. The selection of epidemic waves for each variant is illustrated in the Appendix figure.</w:t>
      </w:r>
    </w:p>
    <w:p w14:paraId="6935867F" w14:textId="77777777" w:rsidR="00C06C01" w:rsidRPr="00F85D0D" w:rsidRDefault="00C06C01" w:rsidP="00F85D0D">
      <w:pPr>
        <w:pStyle w:val="BodyText"/>
        <w:spacing w:line="276" w:lineRule="auto"/>
        <w:jc w:val="both"/>
        <w:rPr>
          <w:sz w:val="22"/>
          <w:szCs w:val="22"/>
        </w:rPr>
      </w:pPr>
    </w:p>
    <w:p w14:paraId="306704F0" w14:textId="13B28432" w:rsidR="002A4FCB" w:rsidRDefault="002A4FCB" w:rsidP="00FF5F09">
      <w:pPr>
        <w:pStyle w:val="BodyText"/>
        <w:spacing w:line="276" w:lineRule="auto"/>
        <w:ind w:left="0"/>
        <w:jc w:val="both"/>
        <w:rPr>
          <w:sz w:val="22"/>
          <w:szCs w:val="22"/>
        </w:rPr>
      </w:pPr>
      <w:r w:rsidRPr="002A4FCB">
        <w:rPr>
          <w:sz w:val="22"/>
          <w:szCs w:val="22"/>
        </w:rPr>
        <w:t xml:space="preserve">The input features of the model are derived from a flexible observation window that defines the initial stage of variant emergence. This window is anchored to the point at which a variant first reaches 20% of the domestic share, which serves as a proxy for significant epidemiological establishment. This threshold is consistent with informal practices in public health surveillance, such as those adopted in GISAID and WHO variant tracking dashboards and has been used in prior studies to mark meaningful variant emergence [ref, ref]. The period preceding this threshold is designated as the initial stage, representing the early phase of local transmission prior to widespread dominance. Two special cases are addressed in this framework: (1) If a variant reaches the 20% threshold too quickly (e.g., within one week, as observed with B.1 in most countries), it is excluded from model training due to insufficient pre-dominance data for robust prediction. (2) If a variant never reaches the threshold, or does so only after an extended period, a maximum observation window is imposed to define the initial stage. This approach ensures consistency in input construction across variants with differing transmission patterns, enabling the model to focus on early predictive signals. The minimum duration requirement affects which variants are included in the model, while the maximum observation window does not impact inclusion but instead limits the temporal span of input data for low-prevalence variants. To reduce the influence of sporadic noise, all criteria are applied after smoothing the time series. Figure 1 illustrates an example where the maximum observation window is set to 35 days; the 20% threshold is marked by a red dashed line, and the initial stage period is shaded in </w:t>
      </w:r>
      <w:r w:rsidR="00D563AC">
        <w:rPr>
          <w:sz w:val="22"/>
          <w:szCs w:val="22"/>
        </w:rPr>
        <w:t>light yellow</w:t>
      </w:r>
      <w:r w:rsidRPr="002A4FCB">
        <w:rPr>
          <w:sz w:val="22"/>
          <w:szCs w:val="22"/>
        </w:rPr>
        <w:t>.</w:t>
      </w:r>
    </w:p>
    <w:p w14:paraId="45AEEF09" w14:textId="750A809D" w:rsidR="00E63F5E" w:rsidRDefault="00E52DE2" w:rsidP="00FF5F09">
      <w:pPr>
        <w:pStyle w:val="BodyText"/>
        <w:spacing w:line="276" w:lineRule="auto"/>
        <w:ind w:left="0"/>
        <w:jc w:val="both"/>
        <w:rPr>
          <w:sz w:val="22"/>
          <w:szCs w:val="22"/>
        </w:rPr>
      </w:pPr>
      <w:r>
        <w:rPr>
          <w:noProof/>
          <w:sz w:val="22"/>
          <w:szCs w:val="22"/>
          <w14:ligatures w14:val="standardContextual"/>
        </w:rPr>
        <w:drawing>
          <wp:inline distT="0" distB="0" distL="0" distR="0" wp14:anchorId="2EF4FFBF" wp14:editId="6D4A005F">
            <wp:extent cx="6191250" cy="4422140"/>
            <wp:effectExtent l="0" t="0" r="6350" b="0"/>
            <wp:docPr id="6386275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627598" name="Picture 638627598"/>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91250" cy="4422140"/>
                    </a:xfrm>
                    <a:prstGeom prst="rect">
                      <a:avLst/>
                    </a:prstGeom>
                  </pic:spPr>
                </pic:pic>
              </a:graphicData>
            </a:graphic>
          </wp:inline>
        </w:drawing>
      </w:r>
    </w:p>
    <w:p w14:paraId="2A925399" w14:textId="11DA7014" w:rsidR="00CE3F8C" w:rsidRDefault="00522079" w:rsidP="00317016">
      <w:pPr>
        <w:pStyle w:val="BodyText"/>
        <w:spacing w:line="276" w:lineRule="auto"/>
        <w:ind w:left="0"/>
        <w:jc w:val="both"/>
        <w:rPr>
          <w:rFonts w:eastAsiaTheme="minorEastAsia"/>
          <w:sz w:val="20"/>
          <w:szCs w:val="20"/>
          <w:lang w:eastAsia="ko-KR"/>
        </w:rPr>
      </w:pPr>
      <w:r w:rsidRPr="00522079">
        <w:rPr>
          <w:sz w:val="20"/>
          <w:szCs w:val="20"/>
          <w:lang w:eastAsia="zh-CN"/>
        </w:rPr>
        <w:t xml:space="preserve">Figure 1. Examples of initial periods defined by the 20% share threshold (red dashed line) and a maximum observation window of 35 days (grey shaded area). Shown for representative variants: B.1.617 (Before vaccination), BA.1 (Vaccine </w:t>
      </w:r>
      <w:r w:rsidRPr="00522079">
        <w:rPr>
          <w:sz w:val="20"/>
          <w:szCs w:val="20"/>
          <w:lang w:eastAsia="zh-CN"/>
        </w:rPr>
        <w:lastRenderedPageBreak/>
        <w:t>deployment), and BA.5 (Vaccine scaled up).</w:t>
      </w:r>
    </w:p>
    <w:p w14:paraId="3AD04C38" w14:textId="77777777" w:rsidR="0012182B" w:rsidRDefault="0012182B" w:rsidP="00317016">
      <w:pPr>
        <w:pStyle w:val="BodyText"/>
        <w:spacing w:line="276" w:lineRule="auto"/>
        <w:ind w:left="0"/>
        <w:jc w:val="both"/>
        <w:rPr>
          <w:rFonts w:eastAsiaTheme="minorEastAsia"/>
          <w:sz w:val="22"/>
          <w:szCs w:val="22"/>
          <w:lang w:eastAsia="ko-KR"/>
        </w:rPr>
      </w:pPr>
    </w:p>
    <w:p w14:paraId="0DED69F1" w14:textId="77777777" w:rsidR="002A37BB" w:rsidRPr="0012182B" w:rsidRDefault="002A37BB" w:rsidP="00317016">
      <w:pPr>
        <w:pStyle w:val="BodyText"/>
        <w:spacing w:line="276" w:lineRule="auto"/>
        <w:ind w:left="0"/>
        <w:jc w:val="both"/>
        <w:rPr>
          <w:rFonts w:eastAsiaTheme="minorEastAsia"/>
          <w:sz w:val="22"/>
          <w:szCs w:val="22"/>
          <w:lang w:eastAsia="ko-KR"/>
        </w:rPr>
      </w:pPr>
    </w:p>
    <w:p w14:paraId="464BC906" w14:textId="65BB4F19" w:rsidR="00AE6A5E" w:rsidRDefault="00317016" w:rsidP="00517755">
      <w:pPr>
        <w:pStyle w:val="BodyText"/>
        <w:spacing w:line="276" w:lineRule="auto"/>
        <w:ind w:left="0"/>
        <w:jc w:val="both"/>
        <w:rPr>
          <w:sz w:val="22"/>
          <w:szCs w:val="22"/>
        </w:rPr>
      </w:pPr>
      <w:r>
        <w:rPr>
          <w:rFonts w:eastAsiaTheme="minorEastAsia"/>
          <w:b/>
          <w:bCs/>
          <w:color w:val="000000" w:themeColor="text1"/>
          <w:spacing w:val="-10"/>
          <w:sz w:val="22"/>
          <w:szCs w:val="22"/>
          <w:lang w:eastAsia="ko-KR"/>
        </w:rPr>
        <w:t>Statistical Methodologies</w:t>
      </w:r>
      <w:r w:rsidR="00AA4492">
        <w:rPr>
          <w:rFonts w:eastAsiaTheme="minorEastAsia"/>
          <w:b/>
          <w:bCs/>
          <w:color w:val="000000" w:themeColor="text1"/>
          <w:spacing w:val="-10"/>
          <w:sz w:val="22"/>
          <w:szCs w:val="22"/>
          <w:lang w:eastAsia="ko-KR"/>
        </w:rPr>
        <w:t xml:space="preserve"> (Dominance Prediction)</w:t>
      </w:r>
      <w:r w:rsidRPr="00471695">
        <w:rPr>
          <w:rFonts w:eastAsiaTheme="minorEastAsia"/>
          <w:b/>
          <w:bCs/>
          <w:color w:val="000000" w:themeColor="text1"/>
          <w:spacing w:val="-10"/>
          <w:sz w:val="22"/>
          <w:szCs w:val="22"/>
          <w:lang w:eastAsia="ko-KR"/>
        </w:rPr>
        <w:t xml:space="preserve">. </w:t>
      </w:r>
      <w:r>
        <w:rPr>
          <w:rFonts w:eastAsiaTheme="minorEastAsia"/>
          <w:b/>
          <w:bCs/>
          <w:color w:val="000000" w:themeColor="text1"/>
          <w:spacing w:val="-10"/>
          <w:sz w:val="22"/>
          <w:szCs w:val="22"/>
          <w:lang w:eastAsia="ko-KR"/>
        </w:rPr>
        <w:t xml:space="preserve"> </w:t>
      </w:r>
    </w:p>
    <w:p w14:paraId="3DC77055" w14:textId="14EE5458" w:rsidR="0089048B" w:rsidRDefault="00111D49" w:rsidP="00111D49">
      <w:pPr>
        <w:pStyle w:val="BodyText"/>
        <w:spacing w:line="276" w:lineRule="auto"/>
        <w:ind w:left="0"/>
        <w:jc w:val="both"/>
        <w:rPr>
          <w:sz w:val="22"/>
          <w:szCs w:val="22"/>
        </w:rPr>
      </w:pPr>
      <w:r w:rsidRPr="00111D49">
        <w:rPr>
          <w:sz w:val="22"/>
          <w:szCs w:val="22"/>
        </w:rPr>
        <w:t>To quantify the growth dynamics of SARS-CoV-2 variants during their initial emergence, we first fitted a generalized additive model (GAM) to the time series of each variant’s share within the initial stage in each country. The growth rate was then derived by computing the first derivative of the fitted GAM, capturing the rate of change in prevalence over time [Wood, 2017]. As the lengths of these growth rate sequences varied across variants and countries, each sequence was subsequently transformed into a smoothed density curve, which served as a key input feature for the prediction model. This approach preserves the temporal structure of early growth while enabling comparison across variable-length trajectories. In parallel, the overall scale of variant prevalence was summarized by computing the mean share during the initial period, providing a complementary input reflecting baseline transmissibility.</w:t>
      </w:r>
    </w:p>
    <w:p w14:paraId="629C8EE5" w14:textId="1A9AEE26" w:rsidR="00111D49" w:rsidRPr="0089048B" w:rsidRDefault="00111D49" w:rsidP="00111D49">
      <w:pPr>
        <w:pStyle w:val="BodyText"/>
        <w:spacing w:line="276" w:lineRule="auto"/>
        <w:ind w:left="0"/>
        <w:jc w:val="both"/>
        <w:rPr>
          <w:sz w:val="22"/>
          <w:szCs w:val="22"/>
        </w:rPr>
      </w:pPr>
    </w:p>
    <w:p w14:paraId="53E566BE" w14:textId="77777777" w:rsidR="00AF57FA" w:rsidRDefault="0089048B" w:rsidP="00AF57FA">
      <w:pPr>
        <w:pStyle w:val="BodyText"/>
        <w:spacing w:line="276" w:lineRule="auto"/>
        <w:ind w:left="0"/>
        <w:jc w:val="both"/>
        <w:rPr>
          <w:sz w:val="22"/>
          <w:szCs w:val="22"/>
          <w:lang w:eastAsia="zh-CN"/>
        </w:rPr>
      </w:pPr>
      <w:r w:rsidRPr="0089048B">
        <w:rPr>
          <w:sz w:val="22"/>
          <w:szCs w:val="22"/>
        </w:rPr>
        <w:t xml:space="preserve">The prediction model was constructed using a functional data regression approach (FDA) [Functional Data Analysis, J.O. Ramsay; R package </w:t>
      </w:r>
      <w:r w:rsidR="00AE5C8F">
        <w:rPr>
          <w:sz w:val="22"/>
          <w:szCs w:val="22"/>
        </w:rPr>
        <w:t>{</w:t>
      </w:r>
      <w:r w:rsidRPr="0089048B">
        <w:rPr>
          <w:sz w:val="22"/>
          <w:szCs w:val="22"/>
        </w:rPr>
        <w:t>fda</w:t>
      </w:r>
      <w:r w:rsidR="00AE5C8F">
        <w:rPr>
          <w:sz w:val="22"/>
          <w:szCs w:val="22"/>
        </w:rPr>
        <w:t>}</w:t>
      </w:r>
      <w:r w:rsidRPr="0089048B">
        <w:rPr>
          <w:sz w:val="22"/>
          <w:szCs w:val="22"/>
        </w:rPr>
        <w:t>], which extends traditional regression methods by allowing coefficients to vary continuously</w:t>
      </w:r>
      <w:r w:rsidR="000C1F96">
        <w:rPr>
          <w:sz w:val="22"/>
          <w:szCs w:val="22"/>
        </w:rPr>
        <w:t xml:space="preserve"> </w:t>
      </w:r>
      <w:r w:rsidRPr="0089048B">
        <w:rPr>
          <w:sz w:val="22"/>
          <w:szCs w:val="22"/>
        </w:rPr>
        <w:t>—</w:t>
      </w:r>
      <w:r w:rsidR="000C1F96">
        <w:rPr>
          <w:sz w:val="22"/>
          <w:szCs w:val="22"/>
        </w:rPr>
        <w:t xml:space="preserve"> </w:t>
      </w:r>
      <w:r w:rsidRPr="0089048B">
        <w:rPr>
          <w:sz w:val="22"/>
          <w:szCs w:val="22"/>
        </w:rPr>
        <w:t>treating them as functions rather than fixed values. By representing growth rate sequences as density curves, we avoided alignment issues caused by the differing timing of variant growth. This transformation shifts the modeling focus from chronological time to the distributional scale of growth rates, enabling the use of FDA with scale-varying rather than time-varying coefficients. This approach enhances interpretability and more effectively captures variations in growth dynamics across different variants</w:t>
      </w:r>
      <w:r w:rsidR="001D0EDB">
        <w:rPr>
          <w:sz w:val="22"/>
          <w:szCs w:val="22"/>
        </w:rPr>
        <w:t xml:space="preserve">. </w:t>
      </w:r>
      <w:r w:rsidR="00AF57FA">
        <w:rPr>
          <w:sz w:val="22"/>
          <w:szCs w:val="22"/>
          <w:lang w:eastAsia="zh-CN"/>
        </w:rPr>
        <w:t xml:space="preserve">Let </w:t>
      </w:r>
      <m:oMath>
        <m:sSub>
          <m:sSubPr>
            <m:ctrlPr>
              <w:rPr>
                <w:rFonts w:ascii="Cambria Math" w:hAnsi="Cambria Math"/>
                <w:i/>
                <w:sz w:val="22"/>
                <w:szCs w:val="22"/>
                <w:lang w:eastAsia="zh-CN"/>
              </w:rPr>
            </m:ctrlPr>
          </m:sSubPr>
          <m:e>
            <m:r>
              <w:rPr>
                <w:rFonts w:ascii="Cambria Math" w:hAnsi="Cambria Math"/>
                <w:sz w:val="22"/>
                <w:szCs w:val="22"/>
                <w:lang w:eastAsia="zh-CN"/>
              </w:rPr>
              <m:t>C</m:t>
            </m:r>
          </m:e>
          <m:sub>
            <m:r>
              <w:rPr>
                <w:rFonts w:ascii="Cambria Math" w:hAnsi="Cambria Math"/>
                <w:sz w:val="22"/>
                <w:szCs w:val="22"/>
                <w:lang w:eastAsia="zh-CN"/>
              </w:rPr>
              <m:t>L</m:t>
            </m:r>
          </m:sub>
        </m:sSub>
      </m:oMath>
      <w:r w:rsidR="00AF57FA">
        <w:rPr>
          <w:sz w:val="22"/>
          <w:szCs w:val="22"/>
          <w:lang w:eastAsia="zh-CN"/>
        </w:rPr>
        <w:t xml:space="preserve"> and </w:t>
      </w:r>
      <m:oMath>
        <m:sSub>
          <m:sSubPr>
            <m:ctrlPr>
              <w:rPr>
                <w:rFonts w:ascii="Cambria Math" w:hAnsi="Cambria Math"/>
                <w:i/>
                <w:sz w:val="22"/>
                <w:szCs w:val="22"/>
                <w:lang w:eastAsia="zh-CN"/>
              </w:rPr>
            </m:ctrlPr>
          </m:sSubPr>
          <m:e>
            <m:r>
              <w:rPr>
                <w:rFonts w:ascii="Cambria Math" w:hAnsi="Cambria Math"/>
                <w:sz w:val="22"/>
                <w:szCs w:val="22"/>
                <w:lang w:eastAsia="zh-CN"/>
              </w:rPr>
              <m:t>C</m:t>
            </m:r>
          </m:e>
          <m:sub>
            <m:r>
              <w:rPr>
                <w:rFonts w:ascii="Cambria Math" w:hAnsi="Cambria Math"/>
                <w:sz w:val="22"/>
                <w:szCs w:val="22"/>
                <w:lang w:eastAsia="zh-CN"/>
              </w:rPr>
              <m:t>U</m:t>
            </m:r>
          </m:sub>
        </m:sSub>
      </m:oMath>
      <w:r w:rsidR="00AF57FA">
        <w:rPr>
          <w:sz w:val="22"/>
          <w:szCs w:val="22"/>
          <w:lang w:eastAsia="zh-CN"/>
        </w:rPr>
        <w:t xml:space="preserve"> </w:t>
      </w:r>
      <w:r w:rsidR="00AF57FA" w:rsidRPr="005B612A">
        <w:rPr>
          <w:sz w:val="22"/>
          <w:szCs w:val="22"/>
          <w:lang w:eastAsia="zh-CN"/>
        </w:rPr>
        <w:t>denote the lower and upper bounds of the growth rate across all variants and let</w:t>
      </w:r>
      <m:oMath>
        <m:sSub>
          <m:sSubPr>
            <m:ctrlPr>
              <w:rPr>
                <w:rFonts w:ascii="Cambria Math" w:hAnsi="Cambria Math"/>
                <w:i/>
                <w:sz w:val="22"/>
                <w:szCs w:val="22"/>
                <w:lang w:eastAsia="zh-CN"/>
              </w:rPr>
            </m:ctrlPr>
          </m:sSubPr>
          <m:e>
            <m:r>
              <w:rPr>
                <w:rFonts w:ascii="Cambria Math" w:hAnsi="Cambria Math"/>
                <w:sz w:val="22"/>
                <w:szCs w:val="22"/>
                <w:lang w:eastAsia="zh-CN"/>
              </w:rPr>
              <m:t xml:space="preserve"> C</m:t>
            </m:r>
          </m:e>
          <m:sub>
            <m:r>
              <w:rPr>
                <w:rFonts w:ascii="Cambria Math" w:hAnsi="Cambria Math"/>
                <w:sz w:val="22"/>
                <w:szCs w:val="22"/>
                <w:lang w:eastAsia="zh-CN"/>
              </w:rPr>
              <m:t>r</m:t>
            </m:r>
          </m:sub>
        </m:sSub>
        <m:r>
          <w:rPr>
            <w:rFonts w:ascii="Cambria Math" w:hAnsi="Cambria Math"/>
            <w:sz w:val="22"/>
            <w:szCs w:val="22"/>
            <w:lang w:eastAsia="zh-CN"/>
          </w:rPr>
          <m:t>=(</m:t>
        </m:r>
        <m:sSub>
          <m:sSubPr>
            <m:ctrlPr>
              <w:rPr>
                <w:rFonts w:ascii="Cambria Math" w:hAnsi="Cambria Math"/>
                <w:i/>
                <w:sz w:val="22"/>
                <w:szCs w:val="22"/>
                <w:lang w:eastAsia="zh-CN"/>
              </w:rPr>
            </m:ctrlPr>
          </m:sSubPr>
          <m:e>
            <m:r>
              <w:rPr>
                <w:rFonts w:ascii="Cambria Math" w:hAnsi="Cambria Math"/>
                <w:sz w:val="22"/>
                <w:szCs w:val="22"/>
                <w:lang w:eastAsia="zh-CN"/>
              </w:rPr>
              <m:t>C</m:t>
            </m:r>
          </m:e>
          <m:sub>
            <m:r>
              <w:rPr>
                <w:rFonts w:ascii="Cambria Math" w:hAnsi="Cambria Math"/>
                <w:sz w:val="22"/>
                <w:szCs w:val="22"/>
                <w:lang w:eastAsia="zh-CN"/>
              </w:rPr>
              <m:t>L</m:t>
            </m:r>
          </m:sub>
        </m:sSub>
        <m:r>
          <w:rPr>
            <w:rFonts w:ascii="Cambria Math" w:hAnsi="Cambria Math"/>
            <w:sz w:val="22"/>
            <w:szCs w:val="22"/>
            <w:lang w:eastAsia="zh-CN"/>
          </w:rPr>
          <m:t xml:space="preserve">, </m:t>
        </m:r>
        <m:sSub>
          <m:sSubPr>
            <m:ctrlPr>
              <w:rPr>
                <w:rFonts w:ascii="Cambria Math" w:hAnsi="Cambria Math"/>
                <w:i/>
                <w:sz w:val="22"/>
                <w:szCs w:val="22"/>
                <w:lang w:eastAsia="zh-CN"/>
              </w:rPr>
            </m:ctrlPr>
          </m:sSubPr>
          <m:e>
            <m:r>
              <w:rPr>
                <w:rFonts w:ascii="Cambria Math" w:hAnsi="Cambria Math"/>
                <w:sz w:val="22"/>
                <w:szCs w:val="22"/>
                <w:lang w:eastAsia="zh-CN"/>
              </w:rPr>
              <m:t>C</m:t>
            </m:r>
          </m:e>
          <m:sub>
            <m:r>
              <w:rPr>
                <w:rFonts w:ascii="Cambria Math" w:hAnsi="Cambria Math"/>
                <w:sz w:val="22"/>
                <w:szCs w:val="22"/>
                <w:lang w:eastAsia="zh-CN"/>
              </w:rPr>
              <m:t>U</m:t>
            </m:r>
          </m:sub>
        </m:sSub>
        <m:r>
          <w:rPr>
            <w:rFonts w:ascii="Cambria Math" w:hAnsi="Cambria Math"/>
            <w:sz w:val="22"/>
            <w:szCs w:val="22"/>
            <w:lang w:eastAsia="zh-CN"/>
          </w:rPr>
          <m:t>)</m:t>
        </m:r>
      </m:oMath>
      <w:r w:rsidR="00AF57FA">
        <w:rPr>
          <w:sz w:val="22"/>
          <w:szCs w:val="22"/>
          <w:lang w:eastAsia="zh-CN"/>
        </w:rPr>
        <w:t xml:space="preserve"> </w:t>
      </w:r>
      <w:r w:rsidR="00AF57FA" w:rsidRPr="00FD6096">
        <w:rPr>
          <w:sz w:val="22"/>
          <w:szCs w:val="22"/>
          <w:lang w:eastAsia="zh-CN"/>
        </w:rPr>
        <w:t>represent the range of growth rates.</w:t>
      </w:r>
      <w:r w:rsidR="00AF57FA">
        <w:rPr>
          <w:sz w:val="22"/>
          <w:szCs w:val="22"/>
          <w:lang w:eastAsia="zh-CN"/>
        </w:rPr>
        <w:t xml:space="preserve"> Let </w:t>
      </w:r>
      <m:oMath>
        <m:sSub>
          <m:sSubPr>
            <m:ctrlPr>
              <w:rPr>
                <w:rFonts w:ascii="Cambria Math" w:hAnsi="Cambria Math"/>
                <w:i/>
                <w:sz w:val="22"/>
                <w:szCs w:val="22"/>
                <w:lang w:eastAsia="zh-CN"/>
              </w:rPr>
            </m:ctrlPr>
          </m:sSubPr>
          <m:e>
            <m:r>
              <w:rPr>
                <w:rFonts w:ascii="Cambria Math" w:hAnsi="Cambria Math"/>
                <w:sz w:val="22"/>
                <w:szCs w:val="22"/>
                <w:lang w:eastAsia="zh-CN"/>
              </w:rPr>
              <m:t>x</m:t>
            </m:r>
          </m:e>
          <m:sub>
            <m:r>
              <w:rPr>
                <w:rFonts w:ascii="Cambria Math" w:hAnsi="Cambria Math"/>
                <w:sz w:val="22"/>
                <w:szCs w:val="22"/>
                <w:lang w:eastAsia="zh-CN"/>
              </w:rPr>
              <m:t>i</m:t>
            </m:r>
          </m:sub>
        </m:sSub>
        <m:r>
          <w:rPr>
            <w:rFonts w:ascii="Cambria Math" w:hAnsi="Cambria Math"/>
            <w:sz w:val="22"/>
            <w:szCs w:val="22"/>
            <w:lang w:eastAsia="zh-CN"/>
          </w:rPr>
          <m:t>(c)</m:t>
        </m:r>
      </m:oMath>
      <w:r w:rsidR="00AF57FA">
        <w:rPr>
          <w:sz w:val="22"/>
          <w:szCs w:val="22"/>
          <w:lang w:eastAsia="zh-CN"/>
        </w:rPr>
        <w:t xml:space="preserve"> </w:t>
      </w:r>
      <w:r w:rsidR="00AF57FA" w:rsidRPr="00FD6096">
        <w:rPr>
          <w:sz w:val="22"/>
          <w:szCs w:val="22"/>
          <w:lang w:eastAsia="zh-CN"/>
        </w:rPr>
        <w:t>denote the density function of the growth rate for the</w:t>
      </w:r>
      <w:r w:rsidR="00AF57FA">
        <w:rPr>
          <w:sz w:val="22"/>
          <w:szCs w:val="22"/>
          <w:lang w:eastAsia="zh-CN"/>
        </w:rPr>
        <w:t xml:space="preserve"> </w:t>
      </w:r>
      <m:oMath>
        <m:sSup>
          <m:sSupPr>
            <m:ctrlPr>
              <w:rPr>
                <w:rFonts w:ascii="Cambria Math" w:hAnsi="Cambria Math"/>
                <w:i/>
                <w:sz w:val="22"/>
                <w:szCs w:val="22"/>
                <w:lang w:eastAsia="zh-CN"/>
              </w:rPr>
            </m:ctrlPr>
          </m:sSupPr>
          <m:e>
            <m:r>
              <w:rPr>
                <w:rFonts w:ascii="Cambria Math" w:hAnsi="Cambria Math"/>
                <w:sz w:val="22"/>
                <w:szCs w:val="22"/>
                <w:lang w:eastAsia="zh-CN"/>
              </w:rPr>
              <m:t>i</m:t>
            </m:r>
          </m:e>
          <m:sup>
            <m:r>
              <w:rPr>
                <w:rFonts w:ascii="Cambria Math" w:hAnsi="Cambria Math"/>
                <w:sz w:val="22"/>
                <w:szCs w:val="22"/>
                <w:lang w:eastAsia="zh-CN"/>
              </w:rPr>
              <m:t>th</m:t>
            </m:r>
          </m:sup>
        </m:sSup>
      </m:oMath>
      <w:r w:rsidR="00AF57FA">
        <w:rPr>
          <w:sz w:val="22"/>
          <w:szCs w:val="22"/>
          <w:lang w:eastAsia="zh-CN"/>
        </w:rPr>
        <w:t xml:space="preserve"> variant and </w:t>
      </w:r>
      <m:oMath>
        <m:sSub>
          <m:sSubPr>
            <m:ctrlPr>
              <w:rPr>
                <w:rFonts w:ascii="Cambria Math" w:hAnsi="Cambria Math"/>
                <w:i/>
                <w:sz w:val="22"/>
                <w:szCs w:val="22"/>
                <w:lang w:eastAsia="zh-CN"/>
              </w:rPr>
            </m:ctrlPr>
          </m:sSubPr>
          <m:e>
            <m:r>
              <w:rPr>
                <w:rFonts w:ascii="Cambria Math" w:hAnsi="Cambria Math"/>
                <w:sz w:val="22"/>
                <w:szCs w:val="22"/>
                <w:lang w:eastAsia="zh-CN"/>
              </w:rPr>
              <m:t>z</m:t>
            </m:r>
          </m:e>
          <m:sub>
            <m:r>
              <w:rPr>
                <w:rFonts w:ascii="Cambria Math" w:hAnsi="Cambria Math"/>
                <w:sz w:val="22"/>
                <w:szCs w:val="22"/>
                <w:lang w:eastAsia="zh-CN"/>
              </w:rPr>
              <m:t>i</m:t>
            </m:r>
          </m:sub>
        </m:sSub>
      </m:oMath>
      <w:r w:rsidR="00AF57FA">
        <w:rPr>
          <w:sz w:val="22"/>
          <w:szCs w:val="22"/>
          <w:lang w:eastAsia="zh-CN"/>
        </w:rPr>
        <w:t xml:space="preserve"> </w:t>
      </w:r>
      <w:r w:rsidR="00AF57FA" w:rsidRPr="00AA6B93">
        <w:rPr>
          <w:sz w:val="22"/>
          <w:szCs w:val="22"/>
          <w:lang w:eastAsia="zh-CN"/>
        </w:rPr>
        <w:t>represent the mean share during the initial period for the</w:t>
      </w:r>
      <w:r w:rsidR="00AF57FA">
        <w:rPr>
          <w:sz w:val="22"/>
          <w:szCs w:val="22"/>
          <w:lang w:eastAsia="zh-CN"/>
        </w:rPr>
        <w:t xml:space="preserve"> </w:t>
      </w:r>
      <m:oMath>
        <m:sSup>
          <m:sSupPr>
            <m:ctrlPr>
              <w:rPr>
                <w:rFonts w:ascii="Cambria Math" w:hAnsi="Cambria Math"/>
                <w:i/>
                <w:sz w:val="22"/>
                <w:szCs w:val="22"/>
                <w:lang w:eastAsia="zh-CN"/>
              </w:rPr>
            </m:ctrlPr>
          </m:sSupPr>
          <m:e>
            <m:r>
              <w:rPr>
                <w:rFonts w:ascii="Cambria Math" w:hAnsi="Cambria Math"/>
                <w:sz w:val="22"/>
                <w:szCs w:val="22"/>
                <w:lang w:eastAsia="zh-CN"/>
              </w:rPr>
              <m:t>i</m:t>
            </m:r>
          </m:e>
          <m:sup>
            <m:r>
              <w:rPr>
                <w:rFonts w:ascii="Cambria Math" w:hAnsi="Cambria Math"/>
                <w:sz w:val="22"/>
                <w:szCs w:val="22"/>
                <w:lang w:eastAsia="zh-CN"/>
              </w:rPr>
              <m:t>th</m:t>
            </m:r>
          </m:sup>
        </m:sSup>
      </m:oMath>
      <w:r w:rsidR="00AF57FA">
        <w:rPr>
          <w:sz w:val="22"/>
          <w:szCs w:val="22"/>
          <w:lang w:eastAsia="zh-CN"/>
        </w:rPr>
        <w:t xml:space="preserve"> variant. </w:t>
      </w:r>
      <w:r w:rsidR="00AF57FA" w:rsidRPr="00AA6B93">
        <w:rPr>
          <w:sz w:val="22"/>
          <w:szCs w:val="22"/>
          <w:lang w:eastAsia="zh-CN"/>
        </w:rPr>
        <w:t>The functional regression model then follows the standard form introduced in Ramsay’s work:</w:t>
      </w:r>
    </w:p>
    <w:p w14:paraId="22A37A1E" w14:textId="77777777" w:rsidR="00AF57FA" w:rsidRDefault="00AF57FA" w:rsidP="00AF57FA">
      <w:pPr>
        <w:pStyle w:val="BodyText"/>
        <w:spacing w:line="276" w:lineRule="auto"/>
        <w:ind w:left="0"/>
        <w:jc w:val="both"/>
        <w:rPr>
          <w:sz w:val="22"/>
          <w:szCs w:val="22"/>
          <w:lang w:eastAsia="zh-CN"/>
        </w:rPr>
      </w:pPr>
      <m:oMathPara>
        <m:oMath>
          <m:r>
            <w:rPr>
              <w:rFonts w:ascii="Cambria Math" w:hAnsi="Cambria Math" w:cs="Calibri"/>
              <w:sz w:val="22"/>
              <w:szCs w:val="22"/>
              <w:lang w:eastAsia="zh-CN"/>
            </w:rPr>
            <m:t>g(E</m:t>
          </m:r>
          <m:d>
            <m:dPr>
              <m:begChr m:val="["/>
              <m:endChr m:val="]"/>
              <m:ctrlPr>
                <w:rPr>
                  <w:rFonts w:ascii="Cambria Math" w:hAnsi="Cambria Math" w:cs="Calibri"/>
                  <w:i/>
                  <w:sz w:val="22"/>
                  <w:szCs w:val="22"/>
                  <w:lang w:eastAsia="zh-CN"/>
                </w:rPr>
              </m:ctrlPr>
            </m:dPr>
            <m:e>
              <m:sSub>
                <m:sSubPr>
                  <m:ctrlPr>
                    <w:rPr>
                      <w:rFonts w:ascii="Cambria Math" w:hAnsi="Cambria Math"/>
                      <w:i/>
                      <w:sz w:val="22"/>
                      <w:szCs w:val="22"/>
                      <w:lang w:eastAsia="zh-CN"/>
                    </w:rPr>
                  </m:ctrlPr>
                </m:sSubPr>
                <m:e>
                  <m:r>
                    <w:rPr>
                      <w:rFonts w:ascii="Cambria Math" w:hAnsi="Cambria Math"/>
                      <w:sz w:val="22"/>
                      <w:szCs w:val="22"/>
                      <w:lang w:eastAsia="zh-CN"/>
                    </w:rPr>
                    <m:t>y</m:t>
                  </m:r>
                </m:e>
                <m:sub>
                  <m:r>
                    <w:rPr>
                      <w:rFonts w:ascii="Cambria Math" w:hAnsi="Cambria Math"/>
                      <w:sz w:val="22"/>
                      <w:szCs w:val="22"/>
                      <w:lang w:eastAsia="zh-CN"/>
                    </w:rPr>
                    <m:t>i</m:t>
                  </m:r>
                </m:sub>
              </m:sSub>
              <m:ctrlPr>
                <w:rPr>
                  <w:rFonts w:ascii="Cambria Math" w:hAnsi="Cambria Math"/>
                  <w:i/>
                  <w:sz w:val="22"/>
                  <w:szCs w:val="22"/>
                  <w:lang w:eastAsia="zh-CN"/>
                </w:rPr>
              </m:ctrlPr>
            </m:e>
          </m:d>
          <m:r>
            <w:rPr>
              <w:rFonts w:ascii="Cambria Math" w:hAnsi="Cambria Math"/>
              <w:sz w:val="22"/>
              <w:szCs w:val="22"/>
              <w:lang w:eastAsia="zh-CN"/>
            </w:rPr>
            <m:t xml:space="preserve">)= </m:t>
          </m:r>
          <m:sSub>
            <m:sSubPr>
              <m:ctrlPr>
                <w:rPr>
                  <w:rFonts w:ascii="Cambria Math" w:hAnsi="Cambria Math"/>
                  <w:i/>
                  <w:sz w:val="22"/>
                  <w:szCs w:val="22"/>
                  <w:lang w:eastAsia="zh-CN"/>
                </w:rPr>
              </m:ctrlPr>
            </m:sSubPr>
            <m:e>
              <m:r>
                <w:rPr>
                  <w:rFonts w:ascii="Cambria Math" w:hAnsi="Cambria Math"/>
                  <w:sz w:val="22"/>
                  <w:szCs w:val="22"/>
                  <w:lang w:eastAsia="zh-CN"/>
                </w:rPr>
                <m:t>β</m:t>
              </m:r>
            </m:e>
            <m:sub>
              <m:r>
                <w:rPr>
                  <w:rFonts w:ascii="Cambria Math" w:hAnsi="Cambria Math"/>
                  <w:sz w:val="22"/>
                  <w:szCs w:val="22"/>
                  <w:lang w:eastAsia="zh-CN"/>
                </w:rPr>
                <m:t>1</m:t>
              </m:r>
            </m:sub>
          </m:sSub>
          <m:sSub>
            <m:sSubPr>
              <m:ctrlPr>
                <w:rPr>
                  <w:rFonts w:ascii="Cambria Math" w:hAnsi="Cambria Math"/>
                  <w:i/>
                  <w:sz w:val="22"/>
                  <w:szCs w:val="22"/>
                  <w:lang w:eastAsia="zh-CN"/>
                </w:rPr>
              </m:ctrlPr>
            </m:sSubPr>
            <m:e>
              <m:r>
                <w:rPr>
                  <w:rFonts w:ascii="Cambria Math" w:hAnsi="Cambria Math"/>
                  <w:sz w:val="22"/>
                  <w:szCs w:val="22"/>
                  <w:lang w:eastAsia="zh-CN"/>
                </w:rPr>
                <m:t>z</m:t>
              </m:r>
            </m:e>
            <m:sub>
              <m:r>
                <w:rPr>
                  <w:rFonts w:ascii="Cambria Math" w:hAnsi="Cambria Math"/>
                  <w:sz w:val="22"/>
                  <w:szCs w:val="22"/>
                  <w:lang w:eastAsia="zh-CN"/>
                </w:rPr>
                <m:t>i</m:t>
              </m:r>
            </m:sub>
          </m:sSub>
          <m:r>
            <w:rPr>
              <w:rFonts w:ascii="Cambria Math" w:hAnsi="Cambria Math"/>
              <w:sz w:val="22"/>
              <w:szCs w:val="22"/>
              <w:lang w:eastAsia="zh-CN"/>
            </w:rPr>
            <m:t xml:space="preserve">+ </m:t>
          </m:r>
          <m:nary>
            <m:naryPr>
              <m:supHide m:val="1"/>
              <m:ctrlPr>
                <w:rPr>
                  <w:rFonts w:ascii="Cambria Math" w:hAnsi="Cambria Math"/>
                  <w:i/>
                  <w:sz w:val="22"/>
                  <w:szCs w:val="22"/>
                  <w:lang w:eastAsia="zh-CN"/>
                </w:rPr>
              </m:ctrlPr>
            </m:naryPr>
            <m:sub>
              <m:sSub>
                <m:sSubPr>
                  <m:ctrlPr>
                    <w:rPr>
                      <w:rFonts w:ascii="Cambria Math" w:hAnsi="Cambria Math"/>
                      <w:i/>
                      <w:sz w:val="22"/>
                      <w:szCs w:val="22"/>
                      <w:lang w:eastAsia="zh-CN"/>
                    </w:rPr>
                  </m:ctrlPr>
                </m:sSubPr>
                <m:e>
                  <m:r>
                    <w:rPr>
                      <w:rFonts w:ascii="Cambria Math" w:hAnsi="Cambria Math"/>
                      <w:sz w:val="22"/>
                      <w:szCs w:val="22"/>
                      <w:lang w:eastAsia="zh-CN"/>
                    </w:rPr>
                    <m:t>C</m:t>
                  </m:r>
                </m:e>
                <m:sub>
                  <m:r>
                    <w:rPr>
                      <w:rFonts w:ascii="Cambria Math" w:hAnsi="Cambria Math"/>
                      <w:sz w:val="22"/>
                      <w:szCs w:val="22"/>
                      <w:lang w:eastAsia="zh-CN"/>
                    </w:rPr>
                    <m:t>r</m:t>
                  </m:r>
                </m:sub>
              </m:sSub>
            </m:sub>
            <m:sup/>
            <m:e>
              <m:sSub>
                <m:sSubPr>
                  <m:ctrlPr>
                    <w:rPr>
                      <w:rFonts w:ascii="Cambria Math" w:hAnsi="Cambria Math"/>
                      <w:i/>
                      <w:sz w:val="22"/>
                      <w:szCs w:val="22"/>
                      <w:lang w:eastAsia="zh-CN"/>
                    </w:rPr>
                  </m:ctrlPr>
                </m:sSubPr>
                <m:e>
                  <m:r>
                    <w:rPr>
                      <w:rFonts w:ascii="Cambria Math" w:hAnsi="Cambria Math"/>
                      <w:sz w:val="22"/>
                      <w:szCs w:val="22"/>
                      <w:lang w:eastAsia="zh-CN"/>
                    </w:rPr>
                    <m:t>x</m:t>
                  </m:r>
                </m:e>
                <m:sub>
                  <m:r>
                    <w:rPr>
                      <w:rFonts w:ascii="Cambria Math" w:hAnsi="Cambria Math"/>
                      <w:sz w:val="22"/>
                      <w:szCs w:val="22"/>
                      <w:lang w:eastAsia="zh-CN"/>
                    </w:rPr>
                    <m:t>i</m:t>
                  </m:r>
                </m:sub>
              </m:sSub>
              <m:d>
                <m:dPr>
                  <m:ctrlPr>
                    <w:rPr>
                      <w:rFonts w:ascii="Cambria Math" w:hAnsi="Cambria Math"/>
                      <w:i/>
                      <w:sz w:val="22"/>
                      <w:szCs w:val="22"/>
                      <w:lang w:eastAsia="zh-CN"/>
                    </w:rPr>
                  </m:ctrlPr>
                </m:dPr>
                <m:e>
                  <m:r>
                    <w:rPr>
                      <w:rFonts w:ascii="Cambria Math" w:hAnsi="Cambria Math"/>
                      <w:sz w:val="22"/>
                      <w:szCs w:val="22"/>
                      <w:lang w:eastAsia="zh-CN"/>
                    </w:rPr>
                    <m:t>c</m:t>
                  </m:r>
                </m:e>
              </m:d>
              <m:sSub>
                <m:sSubPr>
                  <m:ctrlPr>
                    <w:rPr>
                      <w:rFonts w:ascii="Cambria Math" w:hAnsi="Cambria Math"/>
                      <w:i/>
                      <w:sz w:val="22"/>
                      <w:szCs w:val="22"/>
                      <w:lang w:eastAsia="zh-CN"/>
                    </w:rPr>
                  </m:ctrlPr>
                </m:sSubPr>
                <m:e>
                  <m:r>
                    <w:rPr>
                      <w:rFonts w:ascii="Cambria Math" w:hAnsi="Cambria Math"/>
                      <w:sz w:val="22"/>
                      <w:szCs w:val="22"/>
                      <w:lang w:eastAsia="zh-CN"/>
                    </w:rPr>
                    <m:t>β</m:t>
                  </m:r>
                </m:e>
                <m:sub>
                  <m:r>
                    <w:rPr>
                      <w:rFonts w:ascii="Cambria Math" w:hAnsi="Cambria Math"/>
                      <w:sz w:val="22"/>
                      <w:szCs w:val="22"/>
                      <w:lang w:eastAsia="zh-CN"/>
                    </w:rPr>
                    <m:t>2</m:t>
                  </m:r>
                </m:sub>
              </m:sSub>
              <m:d>
                <m:dPr>
                  <m:ctrlPr>
                    <w:rPr>
                      <w:rFonts w:ascii="Cambria Math" w:hAnsi="Cambria Math"/>
                      <w:i/>
                      <w:sz w:val="22"/>
                      <w:szCs w:val="22"/>
                      <w:lang w:eastAsia="zh-CN"/>
                    </w:rPr>
                  </m:ctrlPr>
                </m:dPr>
                <m:e>
                  <m:r>
                    <w:rPr>
                      <w:rFonts w:ascii="Cambria Math" w:hAnsi="Cambria Math"/>
                      <w:sz w:val="22"/>
                      <w:szCs w:val="22"/>
                      <w:lang w:eastAsia="zh-CN"/>
                    </w:rPr>
                    <m:t>c</m:t>
                  </m:r>
                </m:e>
              </m:d>
              <m:r>
                <w:rPr>
                  <w:rFonts w:ascii="Cambria Math" w:hAnsi="Cambria Math"/>
                  <w:sz w:val="22"/>
                  <w:szCs w:val="22"/>
                  <w:lang w:eastAsia="zh-CN"/>
                </w:rPr>
                <m:t>dc</m:t>
              </m:r>
            </m:e>
          </m:nary>
        </m:oMath>
      </m:oMathPara>
    </w:p>
    <w:p w14:paraId="7490845F" w14:textId="77777777" w:rsidR="00AF57FA" w:rsidRDefault="00AF57FA" w:rsidP="00AF57FA">
      <w:pPr>
        <w:pStyle w:val="BodyText"/>
        <w:spacing w:line="276" w:lineRule="auto"/>
        <w:ind w:left="0"/>
        <w:jc w:val="both"/>
        <w:rPr>
          <w:rFonts w:eastAsiaTheme="minorEastAsia"/>
          <w:sz w:val="22"/>
          <w:szCs w:val="22"/>
          <w:lang w:eastAsia="zh-CN"/>
        </w:rPr>
      </w:pPr>
      <w:r>
        <w:rPr>
          <w:rFonts w:eastAsiaTheme="minorEastAsia"/>
          <w:sz w:val="22"/>
          <w:szCs w:val="22"/>
          <w:lang w:eastAsia="ko-KR"/>
        </w:rPr>
        <w:t xml:space="preserve">Here, </w:t>
      </w:r>
      <m:oMath>
        <m:sSub>
          <m:sSubPr>
            <m:ctrlPr>
              <w:rPr>
                <w:rFonts w:ascii="Cambria Math" w:eastAsiaTheme="minorEastAsia" w:hAnsi="Cambria Math"/>
                <w:i/>
                <w:sz w:val="22"/>
                <w:szCs w:val="22"/>
                <w:lang w:eastAsia="ko-KR"/>
              </w:rPr>
            </m:ctrlPr>
          </m:sSubPr>
          <m:e>
            <m:r>
              <w:rPr>
                <w:rFonts w:ascii="Cambria Math" w:eastAsiaTheme="minorEastAsia" w:hAnsi="Cambria Math"/>
                <w:sz w:val="22"/>
                <w:szCs w:val="22"/>
                <w:lang w:eastAsia="ko-KR"/>
              </w:rPr>
              <m:t>β</m:t>
            </m:r>
          </m:e>
          <m:sub>
            <m:r>
              <w:rPr>
                <w:rFonts w:ascii="Cambria Math" w:eastAsiaTheme="minorEastAsia" w:hAnsi="Cambria Math"/>
                <w:sz w:val="22"/>
                <w:szCs w:val="22"/>
                <w:lang w:eastAsia="ko-KR"/>
              </w:rPr>
              <m:t>1</m:t>
            </m:r>
          </m:sub>
        </m:sSub>
      </m:oMath>
      <w:r>
        <w:rPr>
          <w:rFonts w:eastAsiaTheme="minorEastAsia"/>
          <w:sz w:val="22"/>
          <w:szCs w:val="22"/>
          <w:lang w:eastAsia="ko-KR"/>
        </w:rPr>
        <w:t xml:space="preserve"> </w:t>
      </w:r>
      <w:r w:rsidRPr="0002700B">
        <w:rPr>
          <w:rFonts w:eastAsiaTheme="minorEastAsia"/>
          <w:sz w:val="22"/>
          <w:szCs w:val="22"/>
          <w:lang w:eastAsia="ko-KR"/>
        </w:rPr>
        <w:t>captures the effect of the mean initial share</w:t>
      </w:r>
      <w:r>
        <w:rPr>
          <w:rFonts w:eastAsiaTheme="minorEastAsia"/>
          <w:sz w:val="22"/>
          <w:szCs w:val="22"/>
          <w:lang w:eastAsia="ko-KR"/>
        </w:rPr>
        <w:t xml:space="preserve"> </w:t>
      </w:r>
      <m:oMath>
        <m:sSub>
          <m:sSubPr>
            <m:ctrlPr>
              <w:rPr>
                <w:rFonts w:ascii="Cambria Math" w:eastAsiaTheme="minorEastAsia" w:hAnsi="Cambria Math"/>
                <w:i/>
                <w:sz w:val="22"/>
                <w:szCs w:val="22"/>
                <w:lang w:eastAsia="ko-KR"/>
              </w:rPr>
            </m:ctrlPr>
          </m:sSubPr>
          <m:e>
            <m:r>
              <w:rPr>
                <w:rFonts w:ascii="Cambria Math" w:eastAsiaTheme="minorEastAsia" w:hAnsi="Cambria Math"/>
                <w:sz w:val="22"/>
                <w:szCs w:val="22"/>
                <w:lang w:eastAsia="ko-KR"/>
              </w:rPr>
              <m:t>z</m:t>
            </m:r>
          </m:e>
          <m:sub>
            <m:r>
              <w:rPr>
                <w:rFonts w:ascii="Cambria Math" w:eastAsiaTheme="minorEastAsia" w:hAnsi="Cambria Math"/>
                <w:sz w:val="22"/>
                <w:szCs w:val="22"/>
                <w:lang w:eastAsia="ko-KR"/>
              </w:rPr>
              <m:t>i</m:t>
            </m:r>
          </m:sub>
        </m:sSub>
      </m:oMath>
      <w:r>
        <w:rPr>
          <w:rFonts w:eastAsiaTheme="minorEastAsia"/>
          <w:sz w:val="22"/>
          <w:szCs w:val="22"/>
          <w:lang w:eastAsia="ko-KR"/>
        </w:rPr>
        <w:t xml:space="preserve"> on the response variable </w:t>
      </w:r>
      <m:oMath>
        <m:sSub>
          <m:sSubPr>
            <m:ctrlPr>
              <w:rPr>
                <w:rFonts w:ascii="Cambria Math" w:eastAsiaTheme="minorEastAsia" w:hAnsi="Cambria Math"/>
                <w:i/>
                <w:sz w:val="22"/>
                <w:szCs w:val="22"/>
                <w:lang w:eastAsia="ko-KR"/>
              </w:rPr>
            </m:ctrlPr>
          </m:sSubPr>
          <m:e>
            <m:r>
              <w:rPr>
                <w:rFonts w:ascii="Cambria Math" w:eastAsiaTheme="minorEastAsia" w:hAnsi="Cambria Math"/>
                <w:sz w:val="22"/>
                <w:szCs w:val="22"/>
                <w:lang w:eastAsia="ko-KR"/>
              </w:rPr>
              <m:t>y</m:t>
            </m:r>
          </m:e>
          <m:sub>
            <m:r>
              <w:rPr>
                <w:rFonts w:ascii="Cambria Math" w:eastAsiaTheme="minorEastAsia" w:hAnsi="Cambria Math"/>
                <w:sz w:val="22"/>
                <w:szCs w:val="22"/>
                <w:lang w:eastAsia="ko-KR"/>
              </w:rPr>
              <m:t>i</m:t>
            </m:r>
          </m:sub>
        </m:sSub>
      </m:oMath>
      <w:r>
        <w:rPr>
          <w:rFonts w:eastAsiaTheme="minorEastAsia"/>
          <w:sz w:val="22"/>
          <w:szCs w:val="22"/>
          <w:lang w:eastAsia="ko-KR"/>
        </w:rPr>
        <w:t xml:space="preserve">, while </w:t>
      </w:r>
      <m:oMath>
        <m:sSub>
          <m:sSubPr>
            <m:ctrlPr>
              <w:rPr>
                <w:rFonts w:ascii="Cambria Math" w:eastAsiaTheme="minorEastAsia" w:hAnsi="Cambria Math"/>
                <w:i/>
                <w:sz w:val="22"/>
                <w:szCs w:val="22"/>
                <w:lang w:eastAsia="ko-KR"/>
              </w:rPr>
            </m:ctrlPr>
          </m:sSubPr>
          <m:e>
            <m:r>
              <w:rPr>
                <w:rFonts w:ascii="Cambria Math" w:eastAsiaTheme="minorEastAsia" w:hAnsi="Cambria Math"/>
                <w:sz w:val="22"/>
                <w:szCs w:val="22"/>
                <w:lang w:eastAsia="ko-KR"/>
              </w:rPr>
              <m:t>β</m:t>
            </m:r>
          </m:e>
          <m:sub>
            <m:r>
              <w:rPr>
                <w:rFonts w:ascii="Cambria Math" w:eastAsiaTheme="minorEastAsia" w:hAnsi="Cambria Math"/>
                <w:sz w:val="22"/>
                <w:szCs w:val="22"/>
                <w:lang w:eastAsia="ko-KR"/>
              </w:rPr>
              <m:t>2</m:t>
            </m:r>
          </m:sub>
        </m:sSub>
        <m:r>
          <w:rPr>
            <w:rFonts w:ascii="Cambria Math" w:eastAsiaTheme="minorEastAsia" w:hAnsi="Cambria Math"/>
            <w:sz w:val="22"/>
            <w:szCs w:val="22"/>
            <w:lang w:eastAsia="ko-KR"/>
          </w:rPr>
          <m:t>(c)</m:t>
        </m:r>
      </m:oMath>
      <w:r>
        <w:rPr>
          <w:rFonts w:eastAsiaTheme="minorEastAsia"/>
          <w:sz w:val="22"/>
          <w:szCs w:val="22"/>
          <w:lang w:eastAsia="ko-KR"/>
        </w:rPr>
        <w:t xml:space="preserve"> </w:t>
      </w:r>
      <w:r w:rsidRPr="00D64D42">
        <w:rPr>
          <w:rFonts w:eastAsiaTheme="minorEastAsia"/>
          <w:sz w:val="22"/>
          <w:szCs w:val="22"/>
          <w:lang w:eastAsia="ko-KR"/>
        </w:rPr>
        <w:t xml:space="preserve">represents the functional coefficient </w:t>
      </w:r>
      <w:r>
        <w:rPr>
          <w:rFonts w:eastAsiaTheme="minorEastAsia"/>
          <w:sz w:val="22"/>
          <w:szCs w:val="22"/>
          <w:lang w:eastAsia="ko-KR"/>
        </w:rPr>
        <w:t>(generated via Fourier basis in our analysis [</w:t>
      </w:r>
      <w:r w:rsidRPr="00434FF5">
        <w:rPr>
          <w:rFonts w:eastAsiaTheme="minorEastAsia"/>
          <w:sz w:val="22"/>
          <w:szCs w:val="22"/>
          <w:highlight w:val="yellow"/>
          <w:lang w:eastAsia="ko-KR"/>
        </w:rPr>
        <w:t>REF</w:t>
      </w:r>
      <w:r>
        <w:rPr>
          <w:rFonts w:eastAsiaTheme="minorEastAsia"/>
          <w:sz w:val="22"/>
          <w:szCs w:val="22"/>
          <w:lang w:eastAsia="ko-KR"/>
        </w:rPr>
        <w:t xml:space="preserve">]) </w:t>
      </w:r>
      <w:r w:rsidRPr="00D64D42">
        <w:rPr>
          <w:rFonts w:eastAsiaTheme="minorEastAsia"/>
          <w:sz w:val="22"/>
          <w:szCs w:val="22"/>
          <w:lang w:eastAsia="ko-KR"/>
        </w:rPr>
        <w:t>that quantifies the contribution of the growth rate density</w:t>
      </w:r>
      <w:r>
        <w:rPr>
          <w:rFonts w:eastAsiaTheme="minorEastAsia"/>
          <w:sz w:val="22"/>
          <w:szCs w:val="22"/>
          <w:lang w:eastAsia="ko-KR"/>
        </w:rPr>
        <w:t xml:space="preserve"> </w:t>
      </w:r>
      <m:oMath>
        <m:sSub>
          <m:sSubPr>
            <m:ctrlPr>
              <w:rPr>
                <w:rFonts w:ascii="Cambria Math" w:hAnsi="Cambria Math"/>
                <w:i/>
                <w:sz w:val="22"/>
                <w:szCs w:val="22"/>
                <w:lang w:eastAsia="zh-CN"/>
              </w:rPr>
            </m:ctrlPr>
          </m:sSubPr>
          <m:e>
            <m:r>
              <w:rPr>
                <w:rFonts w:ascii="Cambria Math" w:hAnsi="Cambria Math"/>
                <w:sz w:val="22"/>
                <w:szCs w:val="22"/>
                <w:lang w:eastAsia="zh-CN"/>
              </w:rPr>
              <m:t>x</m:t>
            </m:r>
          </m:e>
          <m:sub>
            <m:r>
              <w:rPr>
                <w:rFonts w:ascii="Cambria Math" w:hAnsi="Cambria Math"/>
                <w:sz w:val="22"/>
                <w:szCs w:val="22"/>
                <w:lang w:eastAsia="zh-CN"/>
              </w:rPr>
              <m:t>i</m:t>
            </m:r>
          </m:sub>
        </m:sSub>
        <m:r>
          <w:rPr>
            <w:rFonts w:ascii="Cambria Math" w:hAnsi="Cambria Math"/>
            <w:sz w:val="22"/>
            <w:szCs w:val="22"/>
            <w:lang w:eastAsia="zh-CN"/>
          </w:rPr>
          <m:t>(c)</m:t>
        </m:r>
      </m:oMath>
      <w:r>
        <w:rPr>
          <w:rFonts w:eastAsiaTheme="minorEastAsia"/>
          <w:sz w:val="22"/>
          <w:szCs w:val="22"/>
          <w:lang w:eastAsia="zh-CN"/>
        </w:rPr>
        <w:t xml:space="preserve">, </w:t>
      </w:r>
      <w:r w:rsidRPr="00D64D42">
        <w:rPr>
          <w:rFonts w:eastAsiaTheme="minorEastAsia"/>
          <w:sz w:val="22"/>
          <w:szCs w:val="22"/>
          <w:lang w:eastAsia="zh-CN"/>
        </w:rPr>
        <w:t>at each value</w:t>
      </w:r>
      <w:r>
        <w:rPr>
          <w:rFonts w:eastAsiaTheme="minorEastAsia"/>
          <w:sz w:val="22"/>
          <w:szCs w:val="22"/>
          <w:lang w:eastAsia="zh-CN"/>
        </w:rPr>
        <w:t xml:space="preserve"> </w:t>
      </w:r>
      <m:oMath>
        <m:r>
          <w:rPr>
            <w:rFonts w:ascii="Cambria Math" w:hAnsi="Cambria Math"/>
            <w:sz w:val="22"/>
            <w:szCs w:val="22"/>
            <w:lang w:eastAsia="zh-CN"/>
          </w:rPr>
          <m:t>c</m:t>
        </m:r>
      </m:oMath>
      <w:r>
        <w:rPr>
          <w:rFonts w:eastAsiaTheme="minorEastAsia"/>
          <w:sz w:val="22"/>
          <w:szCs w:val="22"/>
          <w:lang w:eastAsia="zh-CN"/>
        </w:rPr>
        <w:t xml:space="preserve"> </w:t>
      </w:r>
      <w:r w:rsidRPr="00C26037">
        <w:rPr>
          <w:rFonts w:eastAsiaTheme="minorEastAsia"/>
          <w:sz w:val="22"/>
          <w:szCs w:val="22"/>
          <w:lang w:eastAsia="zh-CN"/>
        </w:rPr>
        <w:t>within the range</w:t>
      </w:r>
      <m:oMath>
        <m:sSub>
          <m:sSubPr>
            <m:ctrlPr>
              <w:rPr>
                <w:rFonts w:ascii="Cambria Math" w:hAnsi="Cambria Math"/>
                <w:i/>
                <w:sz w:val="22"/>
                <w:szCs w:val="22"/>
                <w:lang w:eastAsia="zh-CN"/>
              </w:rPr>
            </m:ctrlPr>
          </m:sSubPr>
          <m:e>
            <m:r>
              <w:rPr>
                <w:rFonts w:ascii="Cambria Math" w:hAnsi="Cambria Math"/>
                <w:sz w:val="22"/>
                <w:szCs w:val="22"/>
                <w:lang w:eastAsia="zh-CN"/>
              </w:rPr>
              <m:t xml:space="preserve"> C</m:t>
            </m:r>
          </m:e>
          <m:sub>
            <m:r>
              <w:rPr>
                <w:rFonts w:ascii="Cambria Math" w:hAnsi="Cambria Math"/>
                <w:sz w:val="22"/>
                <w:szCs w:val="22"/>
                <w:lang w:eastAsia="zh-CN"/>
              </w:rPr>
              <m:t>r</m:t>
            </m:r>
          </m:sub>
        </m:sSub>
      </m:oMath>
      <w:r>
        <w:rPr>
          <w:rFonts w:eastAsiaTheme="minorEastAsia"/>
          <w:sz w:val="22"/>
          <w:szCs w:val="22"/>
          <w:lang w:eastAsia="zh-CN"/>
        </w:rPr>
        <w:t xml:space="preserve">. </w:t>
      </w:r>
      <w:r w:rsidRPr="002F262C">
        <w:rPr>
          <w:rFonts w:eastAsiaTheme="minorEastAsia"/>
          <w:sz w:val="22"/>
          <w:szCs w:val="22"/>
          <w:lang w:eastAsia="zh-CN"/>
        </w:rPr>
        <w:t xml:space="preserve">Since the assessment of variant dominance is based on two perspectives—the maximum share of infections and the duration of the epidemic wave—the response variable </w:t>
      </w:r>
      <m:oMath>
        <m:sSub>
          <m:sSubPr>
            <m:ctrlPr>
              <w:rPr>
                <w:rFonts w:ascii="Cambria Math" w:hAnsi="Cambria Math"/>
                <w:i/>
                <w:sz w:val="22"/>
                <w:szCs w:val="22"/>
                <w:lang w:eastAsia="zh-CN"/>
              </w:rPr>
            </m:ctrlPr>
          </m:sSubPr>
          <m:e>
            <m:r>
              <w:rPr>
                <w:rFonts w:ascii="Cambria Math" w:hAnsi="Cambria Math"/>
                <w:sz w:val="22"/>
                <w:szCs w:val="22"/>
                <w:lang w:eastAsia="zh-CN"/>
              </w:rPr>
              <m:t>y</m:t>
            </m:r>
          </m:e>
          <m:sub>
            <m:r>
              <w:rPr>
                <w:rFonts w:ascii="Cambria Math" w:hAnsi="Cambria Math"/>
                <w:sz w:val="22"/>
                <w:szCs w:val="22"/>
                <w:lang w:eastAsia="zh-CN"/>
              </w:rPr>
              <m:t>i</m:t>
            </m:r>
          </m:sub>
        </m:sSub>
      </m:oMath>
      <w:r w:rsidRPr="002F262C">
        <w:rPr>
          <w:rFonts w:eastAsiaTheme="minorEastAsia"/>
          <w:sz w:val="22"/>
          <w:szCs w:val="22"/>
          <w:lang w:eastAsia="zh-CN"/>
        </w:rPr>
        <w:t xml:space="preserve"> can represent either the maximum share or the duration</w:t>
      </w:r>
      <w:r>
        <w:rPr>
          <w:rFonts w:eastAsiaTheme="minorEastAsia"/>
          <w:sz w:val="22"/>
          <w:szCs w:val="22"/>
          <w:lang w:eastAsia="zh-CN"/>
        </w:rPr>
        <w:t xml:space="preserve">. </w:t>
      </w:r>
    </w:p>
    <w:p w14:paraId="0A3B811F" w14:textId="77777777" w:rsidR="001D0EDB" w:rsidRDefault="001D0EDB" w:rsidP="0089048B">
      <w:pPr>
        <w:pStyle w:val="BodyText"/>
        <w:spacing w:line="276" w:lineRule="auto"/>
        <w:ind w:left="0"/>
        <w:jc w:val="both"/>
        <w:rPr>
          <w:sz w:val="22"/>
          <w:szCs w:val="22"/>
        </w:rPr>
      </w:pPr>
    </w:p>
    <w:p w14:paraId="4DA153C0" w14:textId="0BD8D25D" w:rsidR="004A0A22" w:rsidRDefault="00C051F3" w:rsidP="00785081">
      <w:pPr>
        <w:pStyle w:val="BodyText"/>
        <w:spacing w:line="276" w:lineRule="auto"/>
        <w:ind w:left="0"/>
        <w:jc w:val="both"/>
        <w:rPr>
          <w:sz w:val="22"/>
          <w:szCs w:val="22"/>
        </w:rPr>
      </w:pPr>
      <w:r w:rsidRPr="00C051F3">
        <w:rPr>
          <w:sz w:val="22"/>
          <w:szCs w:val="22"/>
        </w:rPr>
        <w:t>All model results were evaluated using 5-fold cross-validation, in which the data were randomly partitioned into five subsets, with each subset used once as a test set while the remaining four were used for training. Model performance was assessed using two complementary metrics: root mean square error (RMSE) and coefficient of determination (R²). RMSE captures the average magnitude of prediction errors, providing an interpretable measure of accuracy in the original scale of the response variable, while R² quantifies the proportion of variance explained by the model, reflecting its overall explanatory power. This cross-validation framework ensures robust, out-of-sample evaluation and mitigates the risk of overfitting.</w:t>
      </w:r>
    </w:p>
    <w:p w14:paraId="0A563CB3" w14:textId="77777777" w:rsidR="0052192E" w:rsidRDefault="0052192E" w:rsidP="00FA7F1A">
      <w:pPr>
        <w:pStyle w:val="BodyText"/>
        <w:spacing w:line="276" w:lineRule="auto"/>
        <w:ind w:left="0"/>
        <w:jc w:val="both"/>
        <w:rPr>
          <w:sz w:val="22"/>
          <w:szCs w:val="22"/>
          <w:lang w:eastAsia="zh-CN"/>
        </w:rPr>
      </w:pPr>
    </w:p>
    <w:p w14:paraId="2E6A5DF1" w14:textId="77777777" w:rsidR="00534FC1" w:rsidRDefault="00534FC1" w:rsidP="00FA7F1A">
      <w:pPr>
        <w:pStyle w:val="BodyText"/>
        <w:spacing w:line="276" w:lineRule="auto"/>
        <w:ind w:left="0"/>
        <w:jc w:val="both"/>
        <w:rPr>
          <w:sz w:val="22"/>
          <w:szCs w:val="22"/>
          <w:lang w:eastAsia="zh-CN"/>
        </w:rPr>
      </w:pPr>
    </w:p>
    <w:p w14:paraId="5B822DD5" w14:textId="77777777" w:rsidR="00534FC1" w:rsidRDefault="00534FC1" w:rsidP="00FA7F1A">
      <w:pPr>
        <w:pStyle w:val="BodyText"/>
        <w:spacing w:line="276" w:lineRule="auto"/>
        <w:ind w:left="0"/>
        <w:jc w:val="both"/>
        <w:rPr>
          <w:sz w:val="22"/>
          <w:szCs w:val="22"/>
          <w:lang w:eastAsia="zh-CN"/>
        </w:rPr>
      </w:pPr>
    </w:p>
    <w:p w14:paraId="75EC9EA4" w14:textId="77777777" w:rsidR="00534FC1" w:rsidRDefault="00534FC1" w:rsidP="00FA7F1A">
      <w:pPr>
        <w:pStyle w:val="BodyText"/>
        <w:spacing w:line="276" w:lineRule="auto"/>
        <w:ind w:left="0"/>
        <w:jc w:val="both"/>
        <w:rPr>
          <w:sz w:val="22"/>
          <w:szCs w:val="22"/>
          <w:lang w:eastAsia="zh-CN"/>
        </w:rPr>
      </w:pPr>
    </w:p>
    <w:p w14:paraId="3DA8AFD2" w14:textId="77777777" w:rsidR="00534FC1" w:rsidRDefault="00534FC1" w:rsidP="00FA7F1A">
      <w:pPr>
        <w:pStyle w:val="BodyText"/>
        <w:spacing w:line="276" w:lineRule="auto"/>
        <w:ind w:left="0"/>
        <w:jc w:val="both"/>
        <w:rPr>
          <w:sz w:val="22"/>
          <w:szCs w:val="22"/>
          <w:lang w:eastAsia="zh-CN"/>
        </w:rPr>
      </w:pPr>
    </w:p>
    <w:p w14:paraId="17FF02E9" w14:textId="77777777" w:rsidR="00534FC1" w:rsidRDefault="00534FC1" w:rsidP="00FA7F1A">
      <w:pPr>
        <w:pStyle w:val="BodyText"/>
        <w:spacing w:line="276" w:lineRule="auto"/>
        <w:ind w:left="0"/>
        <w:jc w:val="both"/>
        <w:rPr>
          <w:sz w:val="22"/>
          <w:szCs w:val="22"/>
          <w:lang w:eastAsia="zh-CN"/>
        </w:rPr>
      </w:pPr>
    </w:p>
    <w:p w14:paraId="279AAF72" w14:textId="77777777" w:rsidR="00534FC1" w:rsidRDefault="00534FC1" w:rsidP="00FA7F1A">
      <w:pPr>
        <w:pStyle w:val="BodyText"/>
        <w:spacing w:line="276" w:lineRule="auto"/>
        <w:ind w:left="0"/>
        <w:jc w:val="both"/>
        <w:rPr>
          <w:sz w:val="22"/>
          <w:szCs w:val="22"/>
          <w:lang w:eastAsia="zh-CN"/>
        </w:rPr>
      </w:pPr>
    </w:p>
    <w:p w14:paraId="52DC873C" w14:textId="77777777" w:rsidR="00534FC1" w:rsidRDefault="00534FC1" w:rsidP="00FA7F1A">
      <w:pPr>
        <w:pStyle w:val="BodyText"/>
        <w:spacing w:line="276" w:lineRule="auto"/>
        <w:ind w:left="0"/>
        <w:jc w:val="both"/>
        <w:rPr>
          <w:sz w:val="22"/>
          <w:szCs w:val="22"/>
          <w:lang w:eastAsia="zh-CN"/>
        </w:rPr>
      </w:pPr>
    </w:p>
    <w:p w14:paraId="00F082ED" w14:textId="77777777" w:rsidR="00534FC1" w:rsidRDefault="00534FC1" w:rsidP="00FA7F1A">
      <w:pPr>
        <w:pStyle w:val="BodyText"/>
        <w:spacing w:line="276" w:lineRule="auto"/>
        <w:ind w:left="0"/>
        <w:jc w:val="both"/>
        <w:rPr>
          <w:sz w:val="22"/>
          <w:szCs w:val="22"/>
          <w:lang w:eastAsia="zh-CN"/>
        </w:rPr>
      </w:pPr>
    </w:p>
    <w:p w14:paraId="671AA5C3" w14:textId="77777777" w:rsidR="00534FC1" w:rsidRDefault="00534FC1" w:rsidP="00FA7F1A">
      <w:pPr>
        <w:pStyle w:val="BodyText"/>
        <w:spacing w:line="276" w:lineRule="auto"/>
        <w:ind w:left="0"/>
        <w:jc w:val="both"/>
        <w:rPr>
          <w:sz w:val="22"/>
          <w:szCs w:val="22"/>
          <w:lang w:eastAsia="zh-CN"/>
        </w:rPr>
      </w:pPr>
    </w:p>
    <w:p w14:paraId="73513BB8" w14:textId="02137AF4" w:rsidR="0052192E" w:rsidRPr="004C16A7" w:rsidRDefault="0052192E" w:rsidP="0052192E">
      <w:pPr>
        <w:pStyle w:val="BodyText"/>
        <w:spacing w:line="276" w:lineRule="auto"/>
        <w:ind w:left="0"/>
        <w:jc w:val="both"/>
        <w:rPr>
          <w:rFonts w:eastAsiaTheme="minorEastAsia"/>
          <w:b/>
          <w:bCs/>
          <w:sz w:val="22"/>
          <w:szCs w:val="22"/>
          <w:lang w:eastAsia="ko-KR"/>
        </w:rPr>
      </w:pPr>
      <w:r w:rsidRPr="00471695">
        <w:rPr>
          <w:b/>
          <w:bCs/>
          <w:sz w:val="22"/>
          <w:szCs w:val="22"/>
        </w:rPr>
        <w:t>Results</w:t>
      </w:r>
    </w:p>
    <w:p w14:paraId="3D752690" w14:textId="77777777" w:rsidR="00B21274" w:rsidRDefault="00B21274" w:rsidP="00AF3DC2">
      <w:pPr>
        <w:pStyle w:val="BodyText"/>
        <w:spacing w:line="276" w:lineRule="auto"/>
        <w:ind w:left="0"/>
        <w:jc w:val="both"/>
        <w:rPr>
          <w:rFonts w:eastAsiaTheme="minorEastAsia"/>
          <w:sz w:val="22"/>
          <w:szCs w:val="22"/>
          <w:lang w:eastAsia="zh-CN"/>
        </w:rPr>
      </w:pPr>
      <w:r w:rsidRPr="00B21274">
        <w:rPr>
          <w:rFonts w:eastAsiaTheme="minorEastAsia"/>
          <w:sz w:val="22"/>
          <w:szCs w:val="22"/>
          <w:lang w:eastAsia="zh-CN"/>
        </w:rPr>
        <w:t>In our analysis, we tuned the maximum observation window and the minimum required days for model inclusion. The tuning ranges were set to 3, 4, and 5 weeks for the maximum observation window, and 7 and 14 days for the minimum requirement. Separate prediction models were fitted for peak magnitude and duration. The results are presented in Table 2 and Table 3. Across all settings, model performance consistently improved with a larger observation window, indicating that variants with low initial prevalence benefit from longer input periods to achieve accurate predictions. In contrast, increasing the minimum required days reduced the number of variants included in the model, and the improvement in performance was relatively marginal. Based on these results, the configuration with a 5-week maximum observation window and a 1-week minimum requirement is preferred for balancing performance and coverage.</w:t>
      </w:r>
    </w:p>
    <w:p w14:paraId="1294D5C6" w14:textId="1A0E9BA1" w:rsidR="00DD5D50" w:rsidRDefault="00A65DF0" w:rsidP="00AF3DC2">
      <w:pPr>
        <w:pStyle w:val="BodyText"/>
        <w:spacing w:line="276" w:lineRule="auto"/>
        <w:ind w:left="0"/>
        <w:jc w:val="both"/>
        <w:rPr>
          <w:rFonts w:eastAsiaTheme="minorEastAsia"/>
          <w:sz w:val="22"/>
          <w:szCs w:val="22"/>
          <w:lang w:eastAsia="zh-CN"/>
        </w:rPr>
      </w:pPr>
      <w:r>
        <w:rPr>
          <w:rFonts w:eastAsiaTheme="minorEastAsia"/>
          <w:noProof/>
          <w:sz w:val="22"/>
          <w:szCs w:val="22"/>
          <w:lang w:eastAsia="zh-CN"/>
          <w14:ligatures w14:val="standardContextual"/>
        </w:rPr>
        <w:drawing>
          <wp:inline distT="0" distB="0" distL="0" distR="0" wp14:anchorId="06603252" wp14:editId="757FD549">
            <wp:extent cx="6191250" cy="1548130"/>
            <wp:effectExtent l="0" t="0" r="6350" b="1270"/>
            <wp:docPr id="1745281651" name="Picture 3" descr="A table with numbers and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281651" name="Picture 3" descr="A table with numbers and a number of number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91250" cy="1548130"/>
                    </a:xfrm>
                    <a:prstGeom prst="rect">
                      <a:avLst/>
                    </a:prstGeom>
                  </pic:spPr>
                </pic:pic>
              </a:graphicData>
            </a:graphic>
          </wp:inline>
        </w:drawing>
      </w:r>
    </w:p>
    <w:p w14:paraId="1AC69DE7" w14:textId="457692DA" w:rsidR="00534FC1" w:rsidRDefault="00534FC1" w:rsidP="00AF3DC2">
      <w:pPr>
        <w:pStyle w:val="BodyText"/>
        <w:spacing w:line="276" w:lineRule="auto"/>
        <w:ind w:left="0"/>
        <w:jc w:val="both"/>
        <w:rPr>
          <w:rFonts w:eastAsiaTheme="minorEastAsia"/>
          <w:sz w:val="22"/>
          <w:szCs w:val="22"/>
          <w:lang w:eastAsia="zh-CN"/>
        </w:rPr>
      </w:pPr>
      <w:r w:rsidRPr="00480D37">
        <w:rPr>
          <w:sz w:val="20"/>
          <w:szCs w:val="20"/>
          <w:lang w:eastAsia="zh-CN"/>
        </w:rPr>
        <w:t>Table</w:t>
      </w:r>
      <w:r>
        <w:rPr>
          <w:sz w:val="20"/>
          <w:szCs w:val="20"/>
          <w:lang w:eastAsia="zh-CN"/>
        </w:rPr>
        <w:t>2</w:t>
      </w:r>
      <w:r w:rsidRPr="00480D37">
        <w:rPr>
          <w:sz w:val="20"/>
          <w:szCs w:val="20"/>
          <w:lang w:eastAsia="zh-CN"/>
        </w:rPr>
        <w:t xml:space="preserve">: </w:t>
      </w:r>
      <w:r w:rsidR="00483F2C">
        <w:rPr>
          <w:sz w:val="20"/>
          <w:szCs w:val="20"/>
          <w:lang w:eastAsia="zh-CN"/>
        </w:rPr>
        <w:t xml:space="preserve">Model </w:t>
      </w:r>
      <w:r w:rsidR="00AD67BD">
        <w:rPr>
          <w:sz w:val="20"/>
          <w:szCs w:val="20"/>
          <w:lang w:eastAsia="zh-CN"/>
        </w:rPr>
        <w:t xml:space="preserve">tuning </w:t>
      </w:r>
      <w:r w:rsidR="00483F2C">
        <w:rPr>
          <w:sz w:val="20"/>
          <w:szCs w:val="20"/>
          <w:lang w:eastAsia="zh-CN"/>
        </w:rPr>
        <w:t>results for maximum prediction</w:t>
      </w:r>
      <w:r w:rsidRPr="00CD0AE5">
        <w:rPr>
          <w:sz w:val="20"/>
          <w:szCs w:val="20"/>
          <w:lang w:eastAsia="zh-CN"/>
        </w:rPr>
        <w:t>.</w:t>
      </w:r>
    </w:p>
    <w:p w14:paraId="5A4E26F2" w14:textId="77777777" w:rsidR="00534FC1" w:rsidRDefault="00534FC1" w:rsidP="00AF3DC2">
      <w:pPr>
        <w:pStyle w:val="BodyText"/>
        <w:spacing w:line="276" w:lineRule="auto"/>
        <w:ind w:left="0"/>
        <w:jc w:val="both"/>
        <w:rPr>
          <w:rFonts w:eastAsiaTheme="minorEastAsia"/>
          <w:sz w:val="22"/>
          <w:szCs w:val="22"/>
          <w:lang w:eastAsia="zh-CN"/>
        </w:rPr>
      </w:pPr>
    </w:p>
    <w:p w14:paraId="7D85408F" w14:textId="51BD19CB" w:rsidR="00A65DF0" w:rsidRDefault="00534FC1" w:rsidP="00AF3DC2">
      <w:pPr>
        <w:pStyle w:val="BodyText"/>
        <w:spacing w:line="276" w:lineRule="auto"/>
        <w:ind w:left="0"/>
        <w:jc w:val="both"/>
        <w:rPr>
          <w:rFonts w:eastAsiaTheme="minorEastAsia"/>
          <w:sz w:val="22"/>
          <w:szCs w:val="22"/>
          <w:lang w:eastAsia="zh-CN"/>
        </w:rPr>
      </w:pPr>
      <w:r>
        <w:rPr>
          <w:rFonts w:eastAsiaTheme="minorEastAsia"/>
          <w:noProof/>
          <w:sz w:val="22"/>
          <w:szCs w:val="22"/>
          <w:lang w:eastAsia="zh-CN"/>
          <w14:ligatures w14:val="standardContextual"/>
        </w:rPr>
        <w:drawing>
          <wp:inline distT="0" distB="0" distL="0" distR="0" wp14:anchorId="5E935FAE" wp14:editId="2D1764B9">
            <wp:extent cx="6191250" cy="1548130"/>
            <wp:effectExtent l="0" t="0" r="6350" b="1270"/>
            <wp:docPr id="180549496" name="Picture 4" descr="A table with numbers and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49496" name="Picture 4" descr="A table with numbers and a number of number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91250" cy="1548130"/>
                    </a:xfrm>
                    <a:prstGeom prst="rect">
                      <a:avLst/>
                    </a:prstGeom>
                  </pic:spPr>
                </pic:pic>
              </a:graphicData>
            </a:graphic>
          </wp:inline>
        </w:drawing>
      </w:r>
    </w:p>
    <w:p w14:paraId="1E14358E" w14:textId="517AEF0F" w:rsidR="00483F2C" w:rsidRDefault="00483F2C" w:rsidP="00AF3DC2">
      <w:pPr>
        <w:pStyle w:val="BodyText"/>
        <w:spacing w:line="276" w:lineRule="auto"/>
        <w:ind w:left="0"/>
        <w:jc w:val="both"/>
        <w:rPr>
          <w:rFonts w:eastAsiaTheme="minorEastAsia"/>
          <w:sz w:val="22"/>
          <w:szCs w:val="22"/>
          <w:lang w:eastAsia="zh-CN"/>
        </w:rPr>
      </w:pPr>
      <w:r w:rsidRPr="00480D37">
        <w:rPr>
          <w:sz w:val="20"/>
          <w:szCs w:val="20"/>
          <w:lang w:eastAsia="zh-CN"/>
        </w:rPr>
        <w:t>Table</w:t>
      </w:r>
      <w:r>
        <w:rPr>
          <w:sz w:val="20"/>
          <w:szCs w:val="20"/>
          <w:lang w:eastAsia="zh-CN"/>
        </w:rPr>
        <w:t>3</w:t>
      </w:r>
      <w:r w:rsidRPr="00480D37">
        <w:rPr>
          <w:sz w:val="20"/>
          <w:szCs w:val="20"/>
          <w:lang w:eastAsia="zh-CN"/>
        </w:rPr>
        <w:t xml:space="preserve">: </w:t>
      </w:r>
      <w:r>
        <w:rPr>
          <w:sz w:val="20"/>
          <w:szCs w:val="20"/>
          <w:lang w:eastAsia="zh-CN"/>
        </w:rPr>
        <w:t xml:space="preserve">Model </w:t>
      </w:r>
      <w:r w:rsidR="00AD67BD">
        <w:rPr>
          <w:sz w:val="20"/>
          <w:szCs w:val="20"/>
          <w:lang w:eastAsia="zh-CN"/>
        </w:rPr>
        <w:t xml:space="preserve">tuning </w:t>
      </w:r>
      <w:r>
        <w:rPr>
          <w:sz w:val="20"/>
          <w:szCs w:val="20"/>
          <w:lang w:eastAsia="zh-CN"/>
        </w:rPr>
        <w:t>results for duration prediction</w:t>
      </w:r>
      <w:r w:rsidRPr="00CD0AE5">
        <w:rPr>
          <w:sz w:val="20"/>
          <w:szCs w:val="20"/>
          <w:lang w:eastAsia="zh-CN"/>
        </w:rPr>
        <w:t>.</w:t>
      </w:r>
    </w:p>
    <w:p w14:paraId="6E545C80" w14:textId="77777777" w:rsidR="00A72B60" w:rsidRDefault="00A72B60" w:rsidP="0047766B">
      <w:pPr>
        <w:rPr>
          <w:rFonts w:eastAsiaTheme="minorEastAsia"/>
          <w:sz w:val="20"/>
          <w:szCs w:val="20"/>
          <w:lang w:eastAsia="zh-CN"/>
        </w:rPr>
      </w:pPr>
    </w:p>
    <w:p w14:paraId="40F80C1B" w14:textId="77777777" w:rsidR="00065C4D" w:rsidRPr="00065C4D" w:rsidRDefault="00065C4D" w:rsidP="00065C4D">
      <w:pPr>
        <w:rPr>
          <w:rFonts w:eastAsiaTheme="minorEastAsia"/>
          <w:lang w:eastAsia="zh-CN"/>
        </w:rPr>
      </w:pPr>
      <w:r w:rsidRPr="00065C4D">
        <w:rPr>
          <w:rFonts w:eastAsiaTheme="minorEastAsia"/>
          <w:lang w:eastAsia="zh-CN"/>
        </w:rPr>
        <w:t>With the preferred configuration, the functional regression models were fitted based on the minimum mean 5-fold cross-validated RMSE. In total, three models were constructed for predicting the maximum domestic share and three for predicting the duration of variant circulation. The estimated functional coefficients for growth rate are shown in Figure 2 and Figure 3.</w:t>
      </w:r>
    </w:p>
    <w:p w14:paraId="06F5301E" w14:textId="77777777" w:rsidR="00065C4D" w:rsidRPr="00065C4D" w:rsidRDefault="00065C4D" w:rsidP="00065C4D">
      <w:pPr>
        <w:rPr>
          <w:rFonts w:eastAsiaTheme="minorEastAsia"/>
          <w:lang w:eastAsia="zh-CN"/>
        </w:rPr>
      </w:pPr>
    </w:p>
    <w:p w14:paraId="20043A36" w14:textId="77777777" w:rsidR="00065C4D" w:rsidRDefault="00065C4D" w:rsidP="00065C4D">
      <w:pPr>
        <w:rPr>
          <w:rFonts w:eastAsiaTheme="minorEastAsia"/>
          <w:lang w:eastAsia="zh-CN"/>
        </w:rPr>
      </w:pPr>
      <w:r w:rsidRPr="00065C4D">
        <w:rPr>
          <w:rFonts w:eastAsiaTheme="minorEastAsia"/>
          <w:lang w:eastAsia="zh-CN"/>
        </w:rPr>
        <w:t>For the maximum prediction models, the Before Vaccination and Vaccination Scaled Up groups exhibit similar patterns: growth rates between 0% and 20% are positively associated with the maximum domestic share of the variant. However, in the Vaccination Scaled Up group, growth rates exceeding 25% show a negative contribution. In contrast, the Vaccine Deployment group displays less consistent or interpretable patterns.</w:t>
      </w:r>
      <w:r>
        <w:rPr>
          <w:rFonts w:eastAsiaTheme="minorEastAsia"/>
          <w:lang w:eastAsia="zh-CN"/>
        </w:rPr>
        <w:t xml:space="preserve"> </w:t>
      </w:r>
    </w:p>
    <w:p w14:paraId="1B4D0A1C" w14:textId="77777777" w:rsidR="00065C4D" w:rsidRDefault="00065C4D" w:rsidP="00065C4D">
      <w:pPr>
        <w:rPr>
          <w:rFonts w:eastAsiaTheme="minorEastAsia"/>
          <w:lang w:eastAsia="zh-CN"/>
        </w:rPr>
      </w:pPr>
    </w:p>
    <w:p w14:paraId="572C4612" w14:textId="6D3B698C" w:rsidR="005D7B3B" w:rsidRDefault="00065C4D" w:rsidP="00065C4D">
      <w:pPr>
        <w:rPr>
          <w:rFonts w:eastAsiaTheme="minorEastAsia"/>
          <w:lang w:eastAsia="zh-CN"/>
        </w:rPr>
      </w:pPr>
      <w:r w:rsidRPr="00065C4D">
        <w:rPr>
          <w:rFonts w:eastAsiaTheme="minorEastAsia"/>
          <w:lang w:eastAsia="zh-CN"/>
        </w:rPr>
        <w:t>Regarding the duration prediction models, across all groups, growth rates above 25% are strongly negatively associated with variant duration, while moderate growth rates (0% to 20%) tend to have a slight positive effect.</w:t>
      </w:r>
    </w:p>
    <w:p w14:paraId="2A623CBC" w14:textId="2F232FBD" w:rsidR="006A11E4" w:rsidRDefault="0086306E" w:rsidP="0047766B">
      <w:pPr>
        <w:rPr>
          <w:rFonts w:eastAsiaTheme="minorEastAsia"/>
          <w:lang w:eastAsia="zh-CN"/>
        </w:rPr>
      </w:pPr>
      <w:r>
        <w:rPr>
          <w:rFonts w:eastAsiaTheme="minorEastAsia"/>
          <w:noProof/>
          <w:lang w:eastAsia="zh-CN"/>
          <w14:ligatures w14:val="standardContextual"/>
        </w:rPr>
        <w:lastRenderedPageBreak/>
        <w:drawing>
          <wp:inline distT="0" distB="0" distL="0" distR="0" wp14:anchorId="47EACC6B" wp14:editId="04ADA517">
            <wp:extent cx="2011680" cy="1341120"/>
            <wp:effectExtent l="0" t="0" r="0" b="5080"/>
            <wp:docPr id="5899097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909749" name="Picture 58990974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11680" cy="1341120"/>
                    </a:xfrm>
                    <a:prstGeom prst="rect">
                      <a:avLst/>
                    </a:prstGeom>
                  </pic:spPr>
                </pic:pic>
              </a:graphicData>
            </a:graphic>
          </wp:inline>
        </w:drawing>
      </w:r>
      <w:r>
        <w:rPr>
          <w:rFonts w:eastAsiaTheme="minorEastAsia"/>
          <w:noProof/>
          <w:lang w:eastAsia="zh-CN"/>
          <w14:ligatures w14:val="standardContextual"/>
        </w:rPr>
        <w:drawing>
          <wp:inline distT="0" distB="0" distL="0" distR="0" wp14:anchorId="409FD4B8" wp14:editId="2C95AA29">
            <wp:extent cx="2011680" cy="1341120"/>
            <wp:effectExtent l="0" t="0" r="0" b="5080"/>
            <wp:docPr id="1732313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31347" name="Picture 17323134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011680" cy="1341120"/>
                    </a:xfrm>
                    <a:prstGeom prst="rect">
                      <a:avLst/>
                    </a:prstGeom>
                  </pic:spPr>
                </pic:pic>
              </a:graphicData>
            </a:graphic>
          </wp:inline>
        </w:drawing>
      </w:r>
      <w:r w:rsidR="00BE7979">
        <w:rPr>
          <w:rFonts w:eastAsiaTheme="minorEastAsia"/>
          <w:noProof/>
          <w:lang w:eastAsia="zh-CN"/>
          <w14:ligatures w14:val="standardContextual"/>
        </w:rPr>
        <w:drawing>
          <wp:inline distT="0" distB="0" distL="0" distR="0" wp14:anchorId="73EB24F9" wp14:editId="5B3F75C3">
            <wp:extent cx="2011680" cy="1341120"/>
            <wp:effectExtent l="0" t="0" r="0" b="5080"/>
            <wp:docPr id="18018205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820517" name="Picture 180182051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11680" cy="1341120"/>
                    </a:xfrm>
                    <a:prstGeom prst="rect">
                      <a:avLst/>
                    </a:prstGeom>
                  </pic:spPr>
                </pic:pic>
              </a:graphicData>
            </a:graphic>
          </wp:inline>
        </w:drawing>
      </w:r>
    </w:p>
    <w:p w14:paraId="01819444" w14:textId="1CE7F173" w:rsidR="005D7B3B" w:rsidRDefault="005D7B3B" w:rsidP="005D7B3B">
      <w:pPr>
        <w:jc w:val="center"/>
        <w:rPr>
          <w:sz w:val="20"/>
          <w:szCs w:val="20"/>
        </w:rPr>
      </w:pPr>
      <w:r w:rsidRPr="00CF2A22">
        <w:rPr>
          <w:sz w:val="20"/>
          <w:szCs w:val="20"/>
        </w:rPr>
        <w:t xml:space="preserve">Figure </w:t>
      </w:r>
      <w:r>
        <w:rPr>
          <w:sz w:val="20"/>
          <w:szCs w:val="20"/>
        </w:rPr>
        <w:t>2</w:t>
      </w:r>
      <w:r w:rsidRPr="00CF2A22">
        <w:rPr>
          <w:sz w:val="20"/>
          <w:szCs w:val="20"/>
        </w:rPr>
        <w:t xml:space="preserve">: Fitted growth rate coefficients </w:t>
      </w:r>
      <m:oMath>
        <m:sSub>
          <m:sSubPr>
            <m:ctrlPr>
              <w:rPr>
                <w:rFonts w:ascii="Cambria Math" w:eastAsiaTheme="minorEastAsia" w:hAnsi="Cambria Math"/>
                <w:i/>
                <w:sz w:val="20"/>
                <w:szCs w:val="20"/>
                <w:lang w:eastAsia="ko-KR"/>
              </w:rPr>
            </m:ctrlPr>
          </m:sSubPr>
          <m:e>
            <m:r>
              <w:rPr>
                <w:rFonts w:ascii="Cambria Math" w:eastAsiaTheme="minorEastAsia" w:hAnsi="Cambria Math"/>
                <w:sz w:val="20"/>
                <w:szCs w:val="20"/>
                <w:lang w:eastAsia="ko-KR"/>
              </w:rPr>
              <m:t>β</m:t>
            </m:r>
          </m:e>
          <m:sub>
            <m:r>
              <w:rPr>
                <w:rFonts w:ascii="Cambria Math" w:eastAsiaTheme="minorEastAsia" w:hAnsi="Cambria Math"/>
                <w:sz w:val="20"/>
                <w:szCs w:val="20"/>
                <w:lang w:eastAsia="ko-KR"/>
              </w:rPr>
              <m:t>2</m:t>
            </m:r>
          </m:sub>
        </m:sSub>
        <m:r>
          <w:rPr>
            <w:rFonts w:ascii="Cambria Math" w:eastAsiaTheme="minorEastAsia" w:hAnsi="Cambria Math"/>
            <w:sz w:val="20"/>
            <w:szCs w:val="20"/>
            <w:lang w:eastAsia="ko-KR"/>
          </w:rPr>
          <m:t>(c)</m:t>
        </m:r>
      </m:oMath>
      <w:r w:rsidRPr="00CF2A22">
        <w:rPr>
          <w:rFonts w:eastAsiaTheme="minorEastAsia"/>
          <w:sz w:val="20"/>
          <w:szCs w:val="20"/>
          <w:lang w:eastAsia="ko-KR"/>
        </w:rPr>
        <w:t xml:space="preserve"> </w:t>
      </w:r>
      <w:r w:rsidRPr="00CF2A22">
        <w:rPr>
          <w:sz w:val="20"/>
          <w:szCs w:val="20"/>
        </w:rPr>
        <w:t xml:space="preserve"> for maximum</w:t>
      </w:r>
      <w:r w:rsidR="00A35109">
        <w:rPr>
          <w:sz w:val="20"/>
          <w:szCs w:val="20"/>
        </w:rPr>
        <w:t xml:space="preserve"> models</w:t>
      </w:r>
    </w:p>
    <w:p w14:paraId="1E583134" w14:textId="77777777" w:rsidR="00150359" w:rsidRDefault="00150359" w:rsidP="005D7B3B">
      <w:pPr>
        <w:jc w:val="center"/>
        <w:rPr>
          <w:rFonts w:eastAsiaTheme="minorEastAsia"/>
          <w:lang w:eastAsia="zh-CN"/>
        </w:rPr>
      </w:pPr>
    </w:p>
    <w:p w14:paraId="67CB9197" w14:textId="41F4835E" w:rsidR="005D7B3B" w:rsidRDefault="00A35109" w:rsidP="0047766B">
      <w:pPr>
        <w:rPr>
          <w:rFonts w:eastAsiaTheme="minorEastAsia"/>
          <w:lang w:eastAsia="zh-CN"/>
        </w:rPr>
      </w:pPr>
      <w:r>
        <w:rPr>
          <w:rFonts w:eastAsiaTheme="minorEastAsia"/>
          <w:noProof/>
          <w:lang w:eastAsia="zh-CN"/>
          <w14:ligatures w14:val="standardContextual"/>
        </w:rPr>
        <w:drawing>
          <wp:inline distT="0" distB="0" distL="0" distR="0" wp14:anchorId="12038698" wp14:editId="4F207A01">
            <wp:extent cx="2011680" cy="1341120"/>
            <wp:effectExtent l="0" t="0" r="0" b="5080"/>
            <wp:docPr id="7521627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162762" name="Picture 75216276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011680" cy="1341120"/>
                    </a:xfrm>
                    <a:prstGeom prst="rect">
                      <a:avLst/>
                    </a:prstGeom>
                  </pic:spPr>
                </pic:pic>
              </a:graphicData>
            </a:graphic>
          </wp:inline>
        </w:drawing>
      </w:r>
      <w:r>
        <w:rPr>
          <w:rFonts w:eastAsiaTheme="minorEastAsia"/>
          <w:noProof/>
          <w:lang w:eastAsia="zh-CN"/>
          <w14:ligatures w14:val="standardContextual"/>
        </w:rPr>
        <w:drawing>
          <wp:inline distT="0" distB="0" distL="0" distR="0" wp14:anchorId="5CA6C08F" wp14:editId="444611AA">
            <wp:extent cx="2011680" cy="1341120"/>
            <wp:effectExtent l="0" t="0" r="0" b="5080"/>
            <wp:docPr id="13001531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153129" name="Picture 130015312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011680" cy="1341120"/>
                    </a:xfrm>
                    <a:prstGeom prst="rect">
                      <a:avLst/>
                    </a:prstGeom>
                  </pic:spPr>
                </pic:pic>
              </a:graphicData>
            </a:graphic>
          </wp:inline>
        </w:drawing>
      </w:r>
      <w:r>
        <w:rPr>
          <w:rFonts w:eastAsiaTheme="minorEastAsia"/>
          <w:noProof/>
          <w:lang w:eastAsia="zh-CN"/>
          <w14:ligatures w14:val="standardContextual"/>
        </w:rPr>
        <w:drawing>
          <wp:inline distT="0" distB="0" distL="0" distR="0" wp14:anchorId="5C607B72" wp14:editId="34D7578A">
            <wp:extent cx="2011680" cy="1341120"/>
            <wp:effectExtent l="0" t="0" r="0" b="5080"/>
            <wp:docPr id="2993670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367095" name="Picture 29936709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011680" cy="1341120"/>
                    </a:xfrm>
                    <a:prstGeom prst="rect">
                      <a:avLst/>
                    </a:prstGeom>
                  </pic:spPr>
                </pic:pic>
              </a:graphicData>
            </a:graphic>
          </wp:inline>
        </w:drawing>
      </w:r>
    </w:p>
    <w:p w14:paraId="1E970B73" w14:textId="26020EFC" w:rsidR="00A35109" w:rsidRDefault="00A35109" w:rsidP="00A35109">
      <w:pPr>
        <w:jc w:val="center"/>
        <w:rPr>
          <w:rFonts w:eastAsiaTheme="minorEastAsia"/>
          <w:lang w:eastAsia="zh-CN"/>
        </w:rPr>
      </w:pPr>
      <w:r w:rsidRPr="00CF2A22">
        <w:rPr>
          <w:sz w:val="20"/>
          <w:szCs w:val="20"/>
        </w:rPr>
        <w:t xml:space="preserve">Figure </w:t>
      </w:r>
      <w:r>
        <w:rPr>
          <w:sz w:val="20"/>
          <w:szCs w:val="20"/>
        </w:rPr>
        <w:t>3</w:t>
      </w:r>
      <w:r w:rsidRPr="00CF2A22">
        <w:rPr>
          <w:sz w:val="20"/>
          <w:szCs w:val="20"/>
        </w:rPr>
        <w:t xml:space="preserve">: Fitted growth rate coefficients </w:t>
      </w:r>
      <m:oMath>
        <m:sSub>
          <m:sSubPr>
            <m:ctrlPr>
              <w:rPr>
                <w:rFonts w:ascii="Cambria Math" w:eastAsiaTheme="minorEastAsia" w:hAnsi="Cambria Math"/>
                <w:i/>
                <w:sz w:val="20"/>
                <w:szCs w:val="20"/>
                <w:lang w:eastAsia="ko-KR"/>
              </w:rPr>
            </m:ctrlPr>
          </m:sSubPr>
          <m:e>
            <m:r>
              <w:rPr>
                <w:rFonts w:ascii="Cambria Math" w:eastAsiaTheme="minorEastAsia" w:hAnsi="Cambria Math"/>
                <w:sz w:val="20"/>
                <w:szCs w:val="20"/>
                <w:lang w:eastAsia="ko-KR"/>
              </w:rPr>
              <m:t>β</m:t>
            </m:r>
          </m:e>
          <m:sub>
            <m:r>
              <w:rPr>
                <w:rFonts w:ascii="Cambria Math" w:eastAsiaTheme="minorEastAsia" w:hAnsi="Cambria Math"/>
                <w:sz w:val="20"/>
                <w:szCs w:val="20"/>
                <w:lang w:eastAsia="ko-KR"/>
              </w:rPr>
              <m:t>2</m:t>
            </m:r>
          </m:sub>
        </m:sSub>
        <m:r>
          <w:rPr>
            <w:rFonts w:ascii="Cambria Math" w:eastAsiaTheme="minorEastAsia" w:hAnsi="Cambria Math"/>
            <w:sz w:val="20"/>
            <w:szCs w:val="20"/>
            <w:lang w:eastAsia="ko-KR"/>
          </w:rPr>
          <m:t>(c)</m:t>
        </m:r>
      </m:oMath>
      <w:r w:rsidRPr="00CF2A22">
        <w:rPr>
          <w:rFonts w:eastAsiaTheme="minorEastAsia"/>
          <w:sz w:val="20"/>
          <w:szCs w:val="20"/>
          <w:lang w:eastAsia="ko-KR"/>
        </w:rPr>
        <w:t xml:space="preserve"> </w:t>
      </w:r>
      <w:r w:rsidRPr="00CF2A22">
        <w:rPr>
          <w:sz w:val="20"/>
          <w:szCs w:val="20"/>
        </w:rPr>
        <w:t xml:space="preserve"> for </w:t>
      </w:r>
      <w:r>
        <w:rPr>
          <w:sz w:val="20"/>
          <w:szCs w:val="20"/>
        </w:rPr>
        <w:t>duration models</w:t>
      </w:r>
    </w:p>
    <w:p w14:paraId="11BA9F7F" w14:textId="77777777" w:rsidR="006A11E4" w:rsidRDefault="006A11E4" w:rsidP="0047766B">
      <w:pPr>
        <w:rPr>
          <w:rFonts w:eastAsiaTheme="minorEastAsia"/>
          <w:sz w:val="20"/>
          <w:szCs w:val="20"/>
          <w:lang w:eastAsia="zh-CN"/>
        </w:rPr>
      </w:pPr>
    </w:p>
    <w:p w14:paraId="6E17CE52" w14:textId="77777777" w:rsidR="00A35109" w:rsidRDefault="00A35109" w:rsidP="0047766B">
      <w:pPr>
        <w:rPr>
          <w:rFonts w:eastAsiaTheme="minorEastAsia"/>
          <w:sz w:val="20"/>
          <w:szCs w:val="20"/>
          <w:lang w:eastAsia="zh-CN"/>
        </w:rPr>
      </w:pPr>
    </w:p>
    <w:p w14:paraId="6E2DAC28" w14:textId="77777777" w:rsidR="00A35109" w:rsidRDefault="00A35109" w:rsidP="0047766B">
      <w:pPr>
        <w:rPr>
          <w:rFonts w:eastAsiaTheme="minorEastAsia"/>
          <w:sz w:val="20"/>
          <w:szCs w:val="20"/>
          <w:lang w:eastAsia="zh-CN"/>
        </w:rPr>
      </w:pPr>
    </w:p>
    <w:p w14:paraId="377FBA29" w14:textId="77777777" w:rsidR="00A35109" w:rsidRDefault="00A35109" w:rsidP="0047766B">
      <w:pPr>
        <w:rPr>
          <w:rFonts w:eastAsiaTheme="minorEastAsia"/>
          <w:sz w:val="20"/>
          <w:szCs w:val="20"/>
          <w:lang w:eastAsia="zh-CN"/>
        </w:rPr>
      </w:pPr>
    </w:p>
    <w:p w14:paraId="4495452C" w14:textId="6202546C" w:rsidR="00615C42" w:rsidRDefault="00615C42" w:rsidP="00072F62">
      <w:pPr>
        <w:pStyle w:val="BodyText"/>
        <w:spacing w:line="276" w:lineRule="auto"/>
        <w:ind w:left="0"/>
        <w:jc w:val="both"/>
        <w:rPr>
          <w:b/>
          <w:bCs/>
          <w:sz w:val="22"/>
          <w:szCs w:val="22"/>
        </w:rPr>
      </w:pPr>
      <w:r>
        <w:rPr>
          <w:b/>
          <w:bCs/>
          <w:sz w:val="22"/>
          <w:szCs w:val="22"/>
        </w:rPr>
        <w:t>Appendix</w:t>
      </w:r>
    </w:p>
    <w:p w14:paraId="5FDCA5B1" w14:textId="0A23E67E" w:rsidR="00615C42" w:rsidRPr="00072F62" w:rsidRDefault="00385151" w:rsidP="00072F62">
      <w:pPr>
        <w:pStyle w:val="BodyText"/>
        <w:spacing w:line="276" w:lineRule="auto"/>
        <w:ind w:left="0"/>
        <w:jc w:val="both"/>
        <w:rPr>
          <w:b/>
          <w:bCs/>
          <w:sz w:val="22"/>
          <w:szCs w:val="22"/>
          <w:lang w:eastAsia="zh-CN"/>
        </w:rPr>
      </w:pPr>
      <w:r>
        <w:rPr>
          <w:b/>
          <w:bCs/>
          <w:noProof/>
          <w:sz w:val="22"/>
          <w:szCs w:val="22"/>
          <w:lang w:eastAsia="zh-CN"/>
          <w14:ligatures w14:val="standardContextual"/>
        </w:rPr>
        <w:drawing>
          <wp:inline distT="0" distB="0" distL="0" distR="0" wp14:anchorId="1E4E1C95" wp14:editId="3AC6B380">
            <wp:extent cx="6191250" cy="4422140"/>
            <wp:effectExtent l="0" t="0" r="6350" b="0"/>
            <wp:docPr id="174864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648507" name="Picture 174864850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191250" cy="4422140"/>
                    </a:xfrm>
                    <a:prstGeom prst="rect">
                      <a:avLst/>
                    </a:prstGeom>
                  </pic:spPr>
                </pic:pic>
              </a:graphicData>
            </a:graphic>
          </wp:inline>
        </w:drawing>
      </w:r>
    </w:p>
    <w:sectPr w:rsidR="00615C42" w:rsidRPr="00072F62" w:rsidSect="00385C63">
      <w:pgSz w:w="11910" w:h="16840"/>
      <w:pgMar w:top="1440" w:right="1080" w:bottom="1440" w:left="1080" w:header="0" w:footer="840" w:gutter="0"/>
      <w:lnNumType w:countBy="1" w:restart="continuou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252024" w14:textId="77777777" w:rsidR="00485923" w:rsidRDefault="00485923" w:rsidP="00D3651D">
      <w:r>
        <w:separator/>
      </w:r>
    </w:p>
  </w:endnote>
  <w:endnote w:type="continuationSeparator" w:id="0">
    <w:p w14:paraId="7DECAAF5" w14:textId="77777777" w:rsidR="00485923" w:rsidRDefault="00485923" w:rsidP="00D3651D">
      <w:r>
        <w:continuationSeparator/>
      </w:r>
    </w:p>
  </w:endnote>
  <w:endnote w:type="continuationNotice" w:id="1">
    <w:p w14:paraId="4BBB96C3" w14:textId="77777777" w:rsidR="00485923" w:rsidRDefault="0048592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ACF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60CB7D" w14:textId="77777777" w:rsidR="00485923" w:rsidRDefault="00485923" w:rsidP="00D3651D">
      <w:r>
        <w:separator/>
      </w:r>
    </w:p>
  </w:footnote>
  <w:footnote w:type="continuationSeparator" w:id="0">
    <w:p w14:paraId="3E7AD935" w14:textId="77777777" w:rsidR="00485923" w:rsidRDefault="00485923" w:rsidP="00D3651D">
      <w:r>
        <w:continuationSeparator/>
      </w:r>
    </w:p>
  </w:footnote>
  <w:footnote w:type="continuationNotice" w:id="1">
    <w:p w14:paraId="30861D97" w14:textId="77777777" w:rsidR="00485923" w:rsidRDefault="0048592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6339F"/>
    <w:multiLevelType w:val="hybridMultilevel"/>
    <w:tmpl w:val="0F00C51A"/>
    <w:lvl w:ilvl="0" w:tplc="04090017">
      <w:start w:val="1"/>
      <w:numFmt w:val="lowerLetter"/>
      <w:lvlText w:val="%1)"/>
      <w:lvlJc w:val="left"/>
      <w:pPr>
        <w:ind w:left="837" w:hanging="360"/>
      </w:pPr>
    </w:lvl>
    <w:lvl w:ilvl="1" w:tplc="04090019" w:tentative="1">
      <w:start w:val="1"/>
      <w:numFmt w:val="lowerLetter"/>
      <w:lvlText w:val="%2."/>
      <w:lvlJc w:val="left"/>
      <w:pPr>
        <w:ind w:left="1557" w:hanging="360"/>
      </w:pPr>
    </w:lvl>
    <w:lvl w:ilvl="2" w:tplc="0409001B" w:tentative="1">
      <w:start w:val="1"/>
      <w:numFmt w:val="lowerRoman"/>
      <w:lvlText w:val="%3."/>
      <w:lvlJc w:val="right"/>
      <w:pPr>
        <w:ind w:left="2277" w:hanging="180"/>
      </w:pPr>
    </w:lvl>
    <w:lvl w:ilvl="3" w:tplc="0409000F" w:tentative="1">
      <w:start w:val="1"/>
      <w:numFmt w:val="decimal"/>
      <w:lvlText w:val="%4."/>
      <w:lvlJc w:val="left"/>
      <w:pPr>
        <w:ind w:left="2997" w:hanging="360"/>
      </w:pPr>
    </w:lvl>
    <w:lvl w:ilvl="4" w:tplc="04090019" w:tentative="1">
      <w:start w:val="1"/>
      <w:numFmt w:val="lowerLetter"/>
      <w:lvlText w:val="%5."/>
      <w:lvlJc w:val="left"/>
      <w:pPr>
        <w:ind w:left="3717" w:hanging="360"/>
      </w:pPr>
    </w:lvl>
    <w:lvl w:ilvl="5" w:tplc="0409001B" w:tentative="1">
      <w:start w:val="1"/>
      <w:numFmt w:val="lowerRoman"/>
      <w:lvlText w:val="%6."/>
      <w:lvlJc w:val="right"/>
      <w:pPr>
        <w:ind w:left="4437" w:hanging="180"/>
      </w:pPr>
    </w:lvl>
    <w:lvl w:ilvl="6" w:tplc="0409000F" w:tentative="1">
      <w:start w:val="1"/>
      <w:numFmt w:val="decimal"/>
      <w:lvlText w:val="%7."/>
      <w:lvlJc w:val="left"/>
      <w:pPr>
        <w:ind w:left="5157" w:hanging="360"/>
      </w:pPr>
    </w:lvl>
    <w:lvl w:ilvl="7" w:tplc="04090019" w:tentative="1">
      <w:start w:val="1"/>
      <w:numFmt w:val="lowerLetter"/>
      <w:lvlText w:val="%8."/>
      <w:lvlJc w:val="left"/>
      <w:pPr>
        <w:ind w:left="5877" w:hanging="360"/>
      </w:pPr>
    </w:lvl>
    <w:lvl w:ilvl="8" w:tplc="0409001B" w:tentative="1">
      <w:start w:val="1"/>
      <w:numFmt w:val="lowerRoman"/>
      <w:lvlText w:val="%9."/>
      <w:lvlJc w:val="right"/>
      <w:pPr>
        <w:ind w:left="6597" w:hanging="180"/>
      </w:pPr>
    </w:lvl>
  </w:abstractNum>
  <w:abstractNum w:abstractNumId="1" w15:restartNumberingAfterBreak="0">
    <w:nsid w:val="27483A6D"/>
    <w:multiLevelType w:val="hybridMultilevel"/>
    <w:tmpl w:val="2EA86F70"/>
    <w:lvl w:ilvl="0" w:tplc="9514921E">
      <w:start w:val="1"/>
      <w:numFmt w:val="bullet"/>
      <w:lvlText w:val="•"/>
      <w:lvlJc w:val="left"/>
      <w:pPr>
        <w:tabs>
          <w:tab w:val="num" w:pos="720"/>
        </w:tabs>
        <w:ind w:left="720" w:hanging="360"/>
      </w:pPr>
      <w:rPr>
        <w:rFonts w:ascii="Arial" w:hAnsi="Arial" w:hint="default"/>
      </w:rPr>
    </w:lvl>
    <w:lvl w:ilvl="1" w:tplc="F08E2758">
      <w:numFmt w:val="bullet"/>
      <w:lvlText w:val="•"/>
      <w:lvlJc w:val="left"/>
      <w:pPr>
        <w:tabs>
          <w:tab w:val="num" w:pos="1440"/>
        </w:tabs>
        <w:ind w:left="1440" w:hanging="360"/>
      </w:pPr>
      <w:rPr>
        <w:rFonts w:ascii="Arial" w:hAnsi="Arial" w:hint="default"/>
      </w:rPr>
    </w:lvl>
    <w:lvl w:ilvl="2" w:tplc="DEC48198">
      <w:numFmt w:val="bullet"/>
      <w:lvlText w:val="•"/>
      <w:lvlJc w:val="left"/>
      <w:pPr>
        <w:tabs>
          <w:tab w:val="num" w:pos="2160"/>
        </w:tabs>
        <w:ind w:left="2160" w:hanging="360"/>
      </w:pPr>
      <w:rPr>
        <w:rFonts w:ascii="Arial" w:hAnsi="Arial" w:hint="default"/>
      </w:rPr>
    </w:lvl>
    <w:lvl w:ilvl="3" w:tplc="147C5428" w:tentative="1">
      <w:start w:val="1"/>
      <w:numFmt w:val="bullet"/>
      <w:lvlText w:val="•"/>
      <w:lvlJc w:val="left"/>
      <w:pPr>
        <w:tabs>
          <w:tab w:val="num" w:pos="2880"/>
        </w:tabs>
        <w:ind w:left="2880" w:hanging="360"/>
      </w:pPr>
      <w:rPr>
        <w:rFonts w:ascii="Arial" w:hAnsi="Arial" w:hint="default"/>
      </w:rPr>
    </w:lvl>
    <w:lvl w:ilvl="4" w:tplc="E0EE9612" w:tentative="1">
      <w:start w:val="1"/>
      <w:numFmt w:val="bullet"/>
      <w:lvlText w:val="•"/>
      <w:lvlJc w:val="left"/>
      <w:pPr>
        <w:tabs>
          <w:tab w:val="num" w:pos="3600"/>
        </w:tabs>
        <w:ind w:left="3600" w:hanging="360"/>
      </w:pPr>
      <w:rPr>
        <w:rFonts w:ascii="Arial" w:hAnsi="Arial" w:hint="default"/>
      </w:rPr>
    </w:lvl>
    <w:lvl w:ilvl="5" w:tplc="C6F2CBF2" w:tentative="1">
      <w:start w:val="1"/>
      <w:numFmt w:val="bullet"/>
      <w:lvlText w:val="•"/>
      <w:lvlJc w:val="left"/>
      <w:pPr>
        <w:tabs>
          <w:tab w:val="num" w:pos="4320"/>
        </w:tabs>
        <w:ind w:left="4320" w:hanging="360"/>
      </w:pPr>
      <w:rPr>
        <w:rFonts w:ascii="Arial" w:hAnsi="Arial" w:hint="default"/>
      </w:rPr>
    </w:lvl>
    <w:lvl w:ilvl="6" w:tplc="874E52E8" w:tentative="1">
      <w:start w:val="1"/>
      <w:numFmt w:val="bullet"/>
      <w:lvlText w:val="•"/>
      <w:lvlJc w:val="left"/>
      <w:pPr>
        <w:tabs>
          <w:tab w:val="num" w:pos="5040"/>
        </w:tabs>
        <w:ind w:left="5040" w:hanging="360"/>
      </w:pPr>
      <w:rPr>
        <w:rFonts w:ascii="Arial" w:hAnsi="Arial" w:hint="default"/>
      </w:rPr>
    </w:lvl>
    <w:lvl w:ilvl="7" w:tplc="0EE26724" w:tentative="1">
      <w:start w:val="1"/>
      <w:numFmt w:val="bullet"/>
      <w:lvlText w:val="•"/>
      <w:lvlJc w:val="left"/>
      <w:pPr>
        <w:tabs>
          <w:tab w:val="num" w:pos="5760"/>
        </w:tabs>
        <w:ind w:left="5760" w:hanging="360"/>
      </w:pPr>
      <w:rPr>
        <w:rFonts w:ascii="Arial" w:hAnsi="Arial" w:hint="default"/>
      </w:rPr>
    </w:lvl>
    <w:lvl w:ilvl="8" w:tplc="3818682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374D39B8"/>
    <w:multiLevelType w:val="hybridMultilevel"/>
    <w:tmpl w:val="0566603E"/>
    <w:lvl w:ilvl="0" w:tplc="A9468DD6">
      <w:start w:val="19"/>
      <w:numFmt w:val="upperLetter"/>
      <w:lvlText w:val="(%1)"/>
      <w:lvlJc w:val="left"/>
      <w:pPr>
        <w:ind w:left="117" w:hanging="362"/>
      </w:pPr>
      <w:rPr>
        <w:rFonts w:ascii="Times New Roman" w:eastAsia="Times New Roman" w:hAnsi="Times New Roman" w:cs="Times New Roman" w:hint="default"/>
        <w:w w:val="99"/>
        <w:sz w:val="24"/>
        <w:szCs w:val="24"/>
      </w:rPr>
    </w:lvl>
    <w:lvl w:ilvl="1" w:tplc="F678213A">
      <w:start w:val="1"/>
      <w:numFmt w:val="decimal"/>
      <w:lvlText w:val="[%2]"/>
      <w:lvlJc w:val="left"/>
      <w:pPr>
        <w:ind w:left="632" w:hanging="396"/>
        <w:jc w:val="right"/>
      </w:pPr>
      <w:rPr>
        <w:rFonts w:ascii="Times New Roman" w:eastAsia="Times New Roman" w:hAnsi="Times New Roman" w:cs="Times New Roman" w:hint="default"/>
        <w:w w:val="99"/>
        <w:sz w:val="24"/>
        <w:szCs w:val="24"/>
      </w:rPr>
    </w:lvl>
    <w:lvl w:ilvl="2" w:tplc="3AC026C4">
      <w:numFmt w:val="bullet"/>
      <w:lvlText w:val="•"/>
      <w:lvlJc w:val="left"/>
      <w:pPr>
        <w:ind w:left="1678" w:hanging="396"/>
      </w:pPr>
      <w:rPr>
        <w:rFonts w:hint="default"/>
      </w:rPr>
    </w:lvl>
    <w:lvl w:ilvl="3" w:tplc="8F3444A2">
      <w:numFmt w:val="bullet"/>
      <w:lvlText w:val="•"/>
      <w:lvlJc w:val="left"/>
      <w:pPr>
        <w:ind w:left="2716" w:hanging="396"/>
      </w:pPr>
      <w:rPr>
        <w:rFonts w:hint="default"/>
      </w:rPr>
    </w:lvl>
    <w:lvl w:ilvl="4" w:tplc="8B8E5ABE">
      <w:numFmt w:val="bullet"/>
      <w:lvlText w:val="•"/>
      <w:lvlJc w:val="left"/>
      <w:pPr>
        <w:ind w:left="3755" w:hanging="396"/>
      </w:pPr>
      <w:rPr>
        <w:rFonts w:hint="default"/>
      </w:rPr>
    </w:lvl>
    <w:lvl w:ilvl="5" w:tplc="9166971C">
      <w:numFmt w:val="bullet"/>
      <w:lvlText w:val="•"/>
      <w:lvlJc w:val="left"/>
      <w:pPr>
        <w:ind w:left="4793" w:hanging="396"/>
      </w:pPr>
      <w:rPr>
        <w:rFonts w:hint="default"/>
      </w:rPr>
    </w:lvl>
    <w:lvl w:ilvl="6" w:tplc="B8C8510E">
      <w:numFmt w:val="bullet"/>
      <w:lvlText w:val="•"/>
      <w:lvlJc w:val="left"/>
      <w:pPr>
        <w:ind w:left="5831" w:hanging="396"/>
      </w:pPr>
      <w:rPr>
        <w:rFonts w:hint="default"/>
      </w:rPr>
    </w:lvl>
    <w:lvl w:ilvl="7" w:tplc="1BC4A738">
      <w:numFmt w:val="bullet"/>
      <w:lvlText w:val="•"/>
      <w:lvlJc w:val="left"/>
      <w:pPr>
        <w:ind w:left="6870" w:hanging="396"/>
      </w:pPr>
      <w:rPr>
        <w:rFonts w:hint="default"/>
      </w:rPr>
    </w:lvl>
    <w:lvl w:ilvl="8" w:tplc="94866006">
      <w:numFmt w:val="bullet"/>
      <w:lvlText w:val="•"/>
      <w:lvlJc w:val="left"/>
      <w:pPr>
        <w:ind w:left="7908" w:hanging="396"/>
      </w:pPr>
      <w:rPr>
        <w:rFonts w:hint="default"/>
      </w:rPr>
    </w:lvl>
  </w:abstractNum>
  <w:abstractNum w:abstractNumId="3" w15:restartNumberingAfterBreak="0">
    <w:nsid w:val="3A674931"/>
    <w:multiLevelType w:val="hybridMultilevel"/>
    <w:tmpl w:val="5B261FE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CD73C17"/>
    <w:multiLevelType w:val="multilevel"/>
    <w:tmpl w:val="7ED2C490"/>
    <w:lvl w:ilvl="0">
      <w:start w:val="1"/>
      <w:numFmt w:val="decimal"/>
      <w:lvlText w:val="%1"/>
      <w:lvlJc w:val="left"/>
      <w:pPr>
        <w:ind w:left="633" w:hanging="517"/>
      </w:pPr>
      <w:rPr>
        <w:rFonts w:ascii="Times New Roman" w:eastAsia="Times New Roman" w:hAnsi="Times New Roman" w:cs="Times New Roman" w:hint="default"/>
        <w:b/>
        <w:bCs/>
        <w:w w:val="101"/>
        <w:sz w:val="34"/>
        <w:szCs w:val="34"/>
      </w:rPr>
    </w:lvl>
    <w:lvl w:ilvl="1">
      <w:start w:val="1"/>
      <w:numFmt w:val="decimal"/>
      <w:lvlText w:val="%1.%2"/>
      <w:lvlJc w:val="left"/>
      <w:pPr>
        <w:ind w:left="762" w:hanging="646"/>
      </w:pPr>
      <w:rPr>
        <w:rFonts w:ascii="Times New Roman" w:eastAsia="Times New Roman" w:hAnsi="Times New Roman" w:cs="Times New Roman" w:hint="default"/>
        <w:b/>
        <w:bCs/>
        <w:w w:val="102"/>
        <w:sz w:val="28"/>
        <w:szCs w:val="28"/>
      </w:rPr>
    </w:lvl>
    <w:lvl w:ilvl="2">
      <w:start w:val="1"/>
      <w:numFmt w:val="lowerLetter"/>
      <w:lvlText w:val="(%3)"/>
      <w:lvlJc w:val="left"/>
      <w:pPr>
        <w:ind w:left="3792" w:hanging="297"/>
      </w:pPr>
      <w:rPr>
        <w:rFonts w:ascii="Times New Roman" w:eastAsia="Times New Roman" w:hAnsi="Times New Roman" w:cs="Times New Roman" w:hint="default"/>
        <w:w w:val="99"/>
        <w:sz w:val="22"/>
        <w:szCs w:val="22"/>
      </w:rPr>
    </w:lvl>
    <w:lvl w:ilvl="3">
      <w:numFmt w:val="bullet"/>
      <w:lvlText w:val="•"/>
      <w:lvlJc w:val="left"/>
      <w:pPr>
        <w:ind w:left="4573" w:hanging="297"/>
      </w:pPr>
      <w:rPr>
        <w:rFonts w:hint="default"/>
      </w:rPr>
    </w:lvl>
    <w:lvl w:ilvl="4">
      <w:numFmt w:val="bullet"/>
      <w:lvlText w:val="•"/>
      <w:lvlJc w:val="left"/>
      <w:pPr>
        <w:ind w:left="5346" w:hanging="297"/>
      </w:pPr>
      <w:rPr>
        <w:rFonts w:hint="default"/>
      </w:rPr>
    </w:lvl>
    <w:lvl w:ilvl="5">
      <w:numFmt w:val="bullet"/>
      <w:lvlText w:val="•"/>
      <w:lvlJc w:val="left"/>
      <w:pPr>
        <w:ind w:left="6119" w:hanging="297"/>
      </w:pPr>
      <w:rPr>
        <w:rFonts w:hint="default"/>
      </w:rPr>
    </w:lvl>
    <w:lvl w:ilvl="6">
      <w:numFmt w:val="bullet"/>
      <w:lvlText w:val="•"/>
      <w:lvlJc w:val="left"/>
      <w:pPr>
        <w:ind w:left="6892" w:hanging="297"/>
      </w:pPr>
      <w:rPr>
        <w:rFonts w:hint="default"/>
      </w:rPr>
    </w:lvl>
    <w:lvl w:ilvl="7">
      <w:numFmt w:val="bullet"/>
      <w:lvlText w:val="•"/>
      <w:lvlJc w:val="left"/>
      <w:pPr>
        <w:ind w:left="7665" w:hanging="297"/>
      </w:pPr>
      <w:rPr>
        <w:rFonts w:hint="default"/>
      </w:rPr>
    </w:lvl>
    <w:lvl w:ilvl="8">
      <w:numFmt w:val="bullet"/>
      <w:lvlText w:val="•"/>
      <w:lvlJc w:val="left"/>
      <w:pPr>
        <w:ind w:left="8439" w:hanging="297"/>
      </w:pPr>
      <w:rPr>
        <w:rFonts w:hint="default"/>
      </w:rPr>
    </w:lvl>
  </w:abstractNum>
  <w:abstractNum w:abstractNumId="5" w15:restartNumberingAfterBreak="0">
    <w:nsid w:val="451D2559"/>
    <w:multiLevelType w:val="hybridMultilevel"/>
    <w:tmpl w:val="9F0C09FA"/>
    <w:lvl w:ilvl="0" w:tplc="FFFFFFFF">
      <w:start w:val="1"/>
      <w:numFmt w:val="decimal"/>
      <w:lvlText w:val="%1."/>
      <w:lvlJc w:val="left"/>
      <w:pPr>
        <w:ind w:left="360" w:hanging="360"/>
      </w:pPr>
      <w:rPr>
        <w:rFonts w:hint="default"/>
      </w:rPr>
    </w:lvl>
    <w:lvl w:ilvl="1" w:tplc="0409000F">
      <w:start w:val="1"/>
      <w:numFmt w:val="decimal"/>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53D30F0A"/>
    <w:multiLevelType w:val="hybridMultilevel"/>
    <w:tmpl w:val="379A5604"/>
    <w:lvl w:ilvl="0" w:tplc="62A243FE">
      <w:start w:val="1"/>
      <w:numFmt w:val="bullet"/>
      <w:lvlText w:val="•"/>
      <w:lvlJc w:val="left"/>
      <w:pPr>
        <w:tabs>
          <w:tab w:val="num" w:pos="720"/>
        </w:tabs>
        <w:ind w:left="720" w:hanging="360"/>
      </w:pPr>
      <w:rPr>
        <w:rFonts w:ascii="Arial" w:hAnsi="Arial" w:hint="default"/>
      </w:rPr>
    </w:lvl>
    <w:lvl w:ilvl="1" w:tplc="E1504DE0" w:tentative="1">
      <w:start w:val="1"/>
      <w:numFmt w:val="bullet"/>
      <w:lvlText w:val="•"/>
      <w:lvlJc w:val="left"/>
      <w:pPr>
        <w:tabs>
          <w:tab w:val="num" w:pos="1440"/>
        </w:tabs>
        <w:ind w:left="1440" w:hanging="360"/>
      </w:pPr>
      <w:rPr>
        <w:rFonts w:ascii="Arial" w:hAnsi="Arial" w:hint="default"/>
      </w:rPr>
    </w:lvl>
    <w:lvl w:ilvl="2" w:tplc="DD348F44" w:tentative="1">
      <w:start w:val="1"/>
      <w:numFmt w:val="bullet"/>
      <w:lvlText w:val="•"/>
      <w:lvlJc w:val="left"/>
      <w:pPr>
        <w:tabs>
          <w:tab w:val="num" w:pos="2160"/>
        </w:tabs>
        <w:ind w:left="2160" w:hanging="360"/>
      </w:pPr>
      <w:rPr>
        <w:rFonts w:ascii="Arial" w:hAnsi="Arial" w:hint="default"/>
      </w:rPr>
    </w:lvl>
    <w:lvl w:ilvl="3" w:tplc="BF0A7D3A" w:tentative="1">
      <w:start w:val="1"/>
      <w:numFmt w:val="bullet"/>
      <w:lvlText w:val="•"/>
      <w:lvlJc w:val="left"/>
      <w:pPr>
        <w:tabs>
          <w:tab w:val="num" w:pos="2880"/>
        </w:tabs>
        <w:ind w:left="2880" w:hanging="360"/>
      </w:pPr>
      <w:rPr>
        <w:rFonts w:ascii="Arial" w:hAnsi="Arial" w:hint="default"/>
      </w:rPr>
    </w:lvl>
    <w:lvl w:ilvl="4" w:tplc="BBF2A91E" w:tentative="1">
      <w:start w:val="1"/>
      <w:numFmt w:val="bullet"/>
      <w:lvlText w:val="•"/>
      <w:lvlJc w:val="left"/>
      <w:pPr>
        <w:tabs>
          <w:tab w:val="num" w:pos="3600"/>
        </w:tabs>
        <w:ind w:left="3600" w:hanging="360"/>
      </w:pPr>
      <w:rPr>
        <w:rFonts w:ascii="Arial" w:hAnsi="Arial" w:hint="default"/>
      </w:rPr>
    </w:lvl>
    <w:lvl w:ilvl="5" w:tplc="7EE82DCE" w:tentative="1">
      <w:start w:val="1"/>
      <w:numFmt w:val="bullet"/>
      <w:lvlText w:val="•"/>
      <w:lvlJc w:val="left"/>
      <w:pPr>
        <w:tabs>
          <w:tab w:val="num" w:pos="4320"/>
        </w:tabs>
        <w:ind w:left="4320" w:hanging="360"/>
      </w:pPr>
      <w:rPr>
        <w:rFonts w:ascii="Arial" w:hAnsi="Arial" w:hint="default"/>
      </w:rPr>
    </w:lvl>
    <w:lvl w:ilvl="6" w:tplc="7CF64E38" w:tentative="1">
      <w:start w:val="1"/>
      <w:numFmt w:val="bullet"/>
      <w:lvlText w:val="•"/>
      <w:lvlJc w:val="left"/>
      <w:pPr>
        <w:tabs>
          <w:tab w:val="num" w:pos="5040"/>
        </w:tabs>
        <w:ind w:left="5040" w:hanging="360"/>
      </w:pPr>
      <w:rPr>
        <w:rFonts w:ascii="Arial" w:hAnsi="Arial" w:hint="default"/>
      </w:rPr>
    </w:lvl>
    <w:lvl w:ilvl="7" w:tplc="4E347F18" w:tentative="1">
      <w:start w:val="1"/>
      <w:numFmt w:val="bullet"/>
      <w:lvlText w:val="•"/>
      <w:lvlJc w:val="left"/>
      <w:pPr>
        <w:tabs>
          <w:tab w:val="num" w:pos="5760"/>
        </w:tabs>
        <w:ind w:left="5760" w:hanging="360"/>
      </w:pPr>
      <w:rPr>
        <w:rFonts w:ascii="Arial" w:hAnsi="Arial" w:hint="default"/>
      </w:rPr>
    </w:lvl>
    <w:lvl w:ilvl="8" w:tplc="1B5263A0"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59D1637B"/>
    <w:multiLevelType w:val="hybridMultilevel"/>
    <w:tmpl w:val="B1B4E7DC"/>
    <w:lvl w:ilvl="0" w:tplc="18D0298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CD937F2"/>
    <w:multiLevelType w:val="hybridMultilevel"/>
    <w:tmpl w:val="E37A63F8"/>
    <w:lvl w:ilvl="0" w:tplc="A17EE042">
      <w:start w:val="1"/>
      <w:numFmt w:val="bullet"/>
      <w:lvlText w:val="•"/>
      <w:lvlJc w:val="left"/>
      <w:pPr>
        <w:tabs>
          <w:tab w:val="num" w:pos="720"/>
        </w:tabs>
        <w:ind w:left="720" w:hanging="360"/>
      </w:pPr>
      <w:rPr>
        <w:rFonts w:ascii="Arial" w:hAnsi="Arial" w:hint="default"/>
      </w:rPr>
    </w:lvl>
    <w:lvl w:ilvl="1" w:tplc="FC9C7CBA" w:tentative="1">
      <w:start w:val="1"/>
      <w:numFmt w:val="bullet"/>
      <w:lvlText w:val="•"/>
      <w:lvlJc w:val="left"/>
      <w:pPr>
        <w:tabs>
          <w:tab w:val="num" w:pos="1440"/>
        </w:tabs>
        <w:ind w:left="1440" w:hanging="360"/>
      </w:pPr>
      <w:rPr>
        <w:rFonts w:ascii="Arial" w:hAnsi="Arial" w:hint="default"/>
      </w:rPr>
    </w:lvl>
    <w:lvl w:ilvl="2" w:tplc="8DD24CAA" w:tentative="1">
      <w:start w:val="1"/>
      <w:numFmt w:val="bullet"/>
      <w:lvlText w:val="•"/>
      <w:lvlJc w:val="left"/>
      <w:pPr>
        <w:tabs>
          <w:tab w:val="num" w:pos="2160"/>
        </w:tabs>
        <w:ind w:left="2160" w:hanging="360"/>
      </w:pPr>
      <w:rPr>
        <w:rFonts w:ascii="Arial" w:hAnsi="Arial" w:hint="default"/>
      </w:rPr>
    </w:lvl>
    <w:lvl w:ilvl="3" w:tplc="A2A886A0" w:tentative="1">
      <w:start w:val="1"/>
      <w:numFmt w:val="bullet"/>
      <w:lvlText w:val="•"/>
      <w:lvlJc w:val="left"/>
      <w:pPr>
        <w:tabs>
          <w:tab w:val="num" w:pos="2880"/>
        </w:tabs>
        <w:ind w:left="2880" w:hanging="360"/>
      </w:pPr>
      <w:rPr>
        <w:rFonts w:ascii="Arial" w:hAnsi="Arial" w:hint="default"/>
      </w:rPr>
    </w:lvl>
    <w:lvl w:ilvl="4" w:tplc="103877E4" w:tentative="1">
      <w:start w:val="1"/>
      <w:numFmt w:val="bullet"/>
      <w:lvlText w:val="•"/>
      <w:lvlJc w:val="left"/>
      <w:pPr>
        <w:tabs>
          <w:tab w:val="num" w:pos="3600"/>
        </w:tabs>
        <w:ind w:left="3600" w:hanging="360"/>
      </w:pPr>
      <w:rPr>
        <w:rFonts w:ascii="Arial" w:hAnsi="Arial" w:hint="default"/>
      </w:rPr>
    </w:lvl>
    <w:lvl w:ilvl="5" w:tplc="E238251E" w:tentative="1">
      <w:start w:val="1"/>
      <w:numFmt w:val="bullet"/>
      <w:lvlText w:val="•"/>
      <w:lvlJc w:val="left"/>
      <w:pPr>
        <w:tabs>
          <w:tab w:val="num" w:pos="4320"/>
        </w:tabs>
        <w:ind w:left="4320" w:hanging="360"/>
      </w:pPr>
      <w:rPr>
        <w:rFonts w:ascii="Arial" w:hAnsi="Arial" w:hint="default"/>
      </w:rPr>
    </w:lvl>
    <w:lvl w:ilvl="6" w:tplc="3CE44D12" w:tentative="1">
      <w:start w:val="1"/>
      <w:numFmt w:val="bullet"/>
      <w:lvlText w:val="•"/>
      <w:lvlJc w:val="left"/>
      <w:pPr>
        <w:tabs>
          <w:tab w:val="num" w:pos="5040"/>
        </w:tabs>
        <w:ind w:left="5040" w:hanging="360"/>
      </w:pPr>
      <w:rPr>
        <w:rFonts w:ascii="Arial" w:hAnsi="Arial" w:hint="default"/>
      </w:rPr>
    </w:lvl>
    <w:lvl w:ilvl="7" w:tplc="3F808B3C" w:tentative="1">
      <w:start w:val="1"/>
      <w:numFmt w:val="bullet"/>
      <w:lvlText w:val="•"/>
      <w:lvlJc w:val="left"/>
      <w:pPr>
        <w:tabs>
          <w:tab w:val="num" w:pos="5760"/>
        </w:tabs>
        <w:ind w:left="5760" w:hanging="360"/>
      </w:pPr>
      <w:rPr>
        <w:rFonts w:ascii="Arial" w:hAnsi="Arial" w:hint="default"/>
      </w:rPr>
    </w:lvl>
    <w:lvl w:ilvl="8" w:tplc="118A3140"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649C04E5"/>
    <w:multiLevelType w:val="hybridMultilevel"/>
    <w:tmpl w:val="C6D8FD0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681B160E"/>
    <w:multiLevelType w:val="hybridMultilevel"/>
    <w:tmpl w:val="9E28D7E6"/>
    <w:lvl w:ilvl="0" w:tplc="4246D3A2">
      <w:start w:val="1"/>
      <w:numFmt w:val="bullet"/>
      <w:lvlText w:val="•"/>
      <w:lvlJc w:val="left"/>
      <w:pPr>
        <w:tabs>
          <w:tab w:val="num" w:pos="720"/>
        </w:tabs>
        <w:ind w:left="720" w:hanging="360"/>
      </w:pPr>
      <w:rPr>
        <w:rFonts w:ascii="Arial" w:hAnsi="Arial" w:hint="default"/>
      </w:rPr>
    </w:lvl>
    <w:lvl w:ilvl="1" w:tplc="7F00C362">
      <w:numFmt w:val="bullet"/>
      <w:lvlText w:val="•"/>
      <w:lvlJc w:val="left"/>
      <w:pPr>
        <w:tabs>
          <w:tab w:val="num" w:pos="1440"/>
        </w:tabs>
        <w:ind w:left="1440" w:hanging="360"/>
      </w:pPr>
      <w:rPr>
        <w:rFonts w:ascii="Arial" w:hAnsi="Arial" w:hint="default"/>
      </w:rPr>
    </w:lvl>
    <w:lvl w:ilvl="2" w:tplc="37424824" w:tentative="1">
      <w:start w:val="1"/>
      <w:numFmt w:val="bullet"/>
      <w:lvlText w:val="•"/>
      <w:lvlJc w:val="left"/>
      <w:pPr>
        <w:tabs>
          <w:tab w:val="num" w:pos="2160"/>
        </w:tabs>
        <w:ind w:left="2160" w:hanging="360"/>
      </w:pPr>
      <w:rPr>
        <w:rFonts w:ascii="Arial" w:hAnsi="Arial" w:hint="default"/>
      </w:rPr>
    </w:lvl>
    <w:lvl w:ilvl="3" w:tplc="F516ED52" w:tentative="1">
      <w:start w:val="1"/>
      <w:numFmt w:val="bullet"/>
      <w:lvlText w:val="•"/>
      <w:lvlJc w:val="left"/>
      <w:pPr>
        <w:tabs>
          <w:tab w:val="num" w:pos="2880"/>
        </w:tabs>
        <w:ind w:left="2880" w:hanging="360"/>
      </w:pPr>
      <w:rPr>
        <w:rFonts w:ascii="Arial" w:hAnsi="Arial" w:hint="default"/>
      </w:rPr>
    </w:lvl>
    <w:lvl w:ilvl="4" w:tplc="F42E547E" w:tentative="1">
      <w:start w:val="1"/>
      <w:numFmt w:val="bullet"/>
      <w:lvlText w:val="•"/>
      <w:lvlJc w:val="left"/>
      <w:pPr>
        <w:tabs>
          <w:tab w:val="num" w:pos="3600"/>
        </w:tabs>
        <w:ind w:left="3600" w:hanging="360"/>
      </w:pPr>
      <w:rPr>
        <w:rFonts w:ascii="Arial" w:hAnsi="Arial" w:hint="default"/>
      </w:rPr>
    </w:lvl>
    <w:lvl w:ilvl="5" w:tplc="FB0CC184" w:tentative="1">
      <w:start w:val="1"/>
      <w:numFmt w:val="bullet"/>
      <w:lvlText w:val="•"/>
      <w:lvlJc w:val="left"/>
      <w:pPr>
        <w:tabs>
          <w:tab w:val="num" w:pos="4320"/>
        </w:tabs>
        <w:ind w:left="4320" w:hanging="360"/>
      </w:pPr>
      <w:rPr>
        <w:rFonts w:ascii="Arial" w:hAnsi="Arial" w:hint="default"/>
      </w:rPr>
    </w:lvl>
    <w:lvl w:ilvl="6" w:tplc="91C00426" w:tentative="1">
      <w:start w:val="1"/>
      <w:numFmt w:val="bullet"/>
      <w:lvlText w:val="•"/>
      <w:lvlJc w:val="left"/>
      <w:pPr>
        <w:tabs>
          <w:tab w:val="num" w:pos="5040"/>
        </w:tabs>
        <w:ind w:left="5040" w:hanging="360"/>
      </w:pPr>
      <w:rPr>
        <w:rFonts w:ascii="Arial" w:hAnsi="Arial" w:hint="default"/>
      </w:rPr>
    </w:lvl>
    <w:lvl w:ilvl="7" w:tplc="8332B492" w:tentative="1">
      <w:start w:val="1"/>
      <w:numFmt w:val="bullet"/>
      <w:lvlText w:val="•"/>
      <w:lvlJc w:val="left"/>
      <w:pPr>
        <w:tabs>
          <w:tab w:val="num" w:pos="5760"/>
        </w:tabs>
        <w:ind w:left="5760" w:hanging="360"/>
      </w:pPr>
      <w:rPr>
        <w:rFonts w:ascii="Arial" w:hAnsi="Arial" w:hint="default"/>
      </w:rPr>
    </w:lvl>
    <w:lvl w:ilvl="8" w:tplc="C50C17BC"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6B15554F"/>
    <w:multiLevelType w:val="hybridMultilevel"/>
    <w:tmpl w:val="FF889C26"/>
    <w:lvl w:ilvl="0" w:tplc="04090017">
      <w:start w:val="1"/>
      <w:numFmt w:val="lowerLetter"/>
      <w:lvlText w:val="%1)"/>
      <w:lvlJc w:val="left"/>
      <w:pPr>
        <w:ind w:left="837" w:hanging="360"/>
      </w:pPr>
    </w:lvl>
    <w:lvl w:ilvl="1" w:tplc="04090019" w:tentative="1">
      <w:start w:val="1"/>
      <w:numFmt w:val="lowerLetter"/>
      <w:lvlText w:val="%2."/>
      <w:lvlJc w:val="left"/>
      <w:pPr>
        <w:ind w:left="1557" w:hanging="360"/>
      </w:pPr>
    </w:lvl>
    <w:lvl w:ilvl="2" w:tplc="0409001B" w:tentative="1">
      <w:start w:val="1"/>
      <w:numFmt w:val="lowerRoman"/>
      <w:lvlText w:val="%3."/>
      <w:lvlJc w:val="right"/>
      <w:pPr>
        <w:ind w:left="2277" w:hanging="180"/>
      </w:pPr>
    </w:lvl>
    <w:lvl w:ilvl="3" w:tplc="0409000F" w:tentative="1">
      <w:start w:val="1"/>
      <w:numFmt w:val="decimal"/>
      <w:lvlText w:val="%4."/>
      <w:lvlJc w:val="left"/>
      <w:pPr>
        <w:ind w:left="2997" w:hanging="360"/>
      </w:pPr>
    </w:lvl>
    <w:lvl w:ilvl="4" w:tplc="04090019" w:tentative="1">
      <w:start w:val="1"/>
      <w:numFmt w:val="lowerLetter"/>
      <w:lvlText w:val="%5."/>
      <w:lvlJc w:val="left"/>
      <w:pPr>
        <w:ind w:left="3717" w:hanging="360"/>
      </w:pPr>
    </w:lvl>
    <w:lvl w:ilvl="5" w:tplc="0409001B" w:tentative="1">
      <w:start w:val="1"/>
      <w:numFmt w:val="lowerRoman"/>
      <w:lvlText w:val="%6."/>
      <w:lvlJc w:val="right"/>
      <w:pPr>
        <w:ind w:left="4437" w:hanging="180"/>
      </w:pPr>
    </w:lvl>
    <w:lvl w:ilvl="6" w:tplc="0409000F" w:tentative="1">
      <w:start w:val="1"/>
      <w:numFmt w:val="decimal"/>
      <w:lvlText w:val="%7."/>
      <w:lvlJc w:val="left"/>
      <w:pPr>
        <w:ind w:left="5157" w:hanging="360"/>
      </w:pPr>
    </w:lvl>
    <w:lvl w:ilvl="7" w:tplc="04090019" w:tentative="1">
      <w:start w:val="1"/>
      <w:numFmt w:val="lowerLetter"/>
      <w:lvlText w:val="%8."/>
      <w:lvlJc w:val="left"/>
      <w:pPr>
        <w:ind w:left="5877" w:hanging="360"/>
      </w:pPr>
    </w:lvl>
    <w:lvl w:ilvl="8" w:tplc="0409001B" w:tentative="1">
      <w:start w:val="1"/>
      <w:numFmt w:val="lowerRoman"/>
      <w:lvlText w:val="%9."/>
      <w:lvlJc w:val="right"/>
      <w:pPr>
        <w:ind w:left="6597" w:hanging="180"/>
      </w:pPr>
    </w:lvl>
  </w:abstractNum>
  <w:abstractNum w:abstractNumId="12" w15:restartNumberingAfterBreak="0">
    <w:nsid w:val="7F954636"/>
    <w:multiLevelType w:val="hybridMultilevel"/>
    <w:tmpl w:val="2A6241B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713045352">
    <w:abstractNumId w:val="2"/>
  </w:num>
  <w:num w:numId="2" w16cid:durableId="387842681">
    <w:abstractNumId w:val="4"/>
  </w:num>
  <w:num w:numId="3" w16cid:durableId="2057578860">
    <w:abstractNumId w:val="8"/>
  </w:num>
  <w:num w:numId="4" w16cid:durableId="914169778">
    <w:abstractNumId w:val="6"/>
  </w:num>
  <w:num w:numId="5" w16cid:durableId="1840387213">
    <w:abstractNumId w:val="12"/>
  </w:num>
  <w:num w:numId="6" w16cid:durableId="842284517">
    <w:abstractNumId w:val="3"/>
  </w:num>
  <w:num w:numId="7" w16cid:durableId="2114398685">
    <w:abstractNumId w:val="5"/>
  </w:num>
  <w:num w:numId="8" w16cid:durableId="209802491">
    <w:abstractNumId w:val="9"/>
  </w:num>
  <w:num w:numId="9" w16cid:durableId="2133552152">
    <w:abstractNumId w:val="10"/>
  </w:num>
  <w:num w:numId="10" w16cid:durableId="1481530932">
    <w:abstractNumId w:val="1"/>
  </w:num>
  <w:num w:numId="11" w16cid:durableId="29302338">
    <w:abstractNumId w:val="0"/>
  </w:num>
  <w:num w:numId="12" w16cid:durableId="2146391294">
    <w:abstractNumId w:val="11"/>
  </w:num>
  <w:num w:numId="13" w16cid:durableId="15093222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OxNDYyNjCzMDEwMzBR0lEKTi0uzszPAykwsqwFACK4GfYtAAAA"/>
    <w:docVar w:name="EN.InstantFormat" w:val="&lt;ENInstantFormat&gt;&lt;Enabled&gt;1&lt;/Enabled&gt;&lt;ScanUnformatted&gt;1&lt;/ScanUnformatted&gt;&lt;ScanChanges&gt;1&lt;/ScanChanges&gt;&lt;Suspended&gt;1&lt;/Suspended&gt;&lt;/ENInstantFormat&gt;"/>
    <w:docVar w:name="EN.Layout" w:val="&lt;ENLayout&gt;&lt;Style&gt;PLoS&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zztrzavlesfwse50sfp0vatx9swzext5swv&quot;&gt;My EndNote Library&lt;record-ids&gt;&lt;item&gt;208&lt;/item&gt;&lt;/record-ids&gt;&lt;/item&gt;&lt;/Libraries&gt;"/>
  </w:docVars>
  <w:rsids>
    <w:rsidRoot w:val="00D3651D"/>
    <w:rsid w:val="00000905"/>
    <w:rsid w:val="0000182A"/>
    <w:rsid w:val="00001D95"/>
    <w:rsid w:val="000055E9"/>
    <w:rsid w:val="00005F9C"/>
    <w:rsid w:val="00007C9A"/>
    <w:rsid w:val="00011F6A"/>
    <w:rsid w:val="000153B5"/>
    <w:rsid w:val="00015853"/>
    <w:rsid w:val="00016151"/>
    <w:rsid w:val="0002700B"/>
    <w:rsid w:val="00031BE9"/>
    <w:rsid w:val="00035343"/>
    <w:rsid w:val="0003732D"/>
    <w:rsid w:val="000403BE"/>
    <w:rsid w:val="00044391"/>
    <w:rsid w:val="000504BA"/>
    <w:rsid w:val="00052C70"/>
    <w:rsid w:val="00055229"/>
    <w:rsid w:val="00056424"/>
    <w:rsid w:val="00056EB5"/>
    <w:rsid w:val="00061552"/>
    <w:rsid w:val="00063192"/>
    <w:rsid w:val="00064590"/>
    <w:rsid w:val="00064B0A"/>
    <w:rsid w:val="00064CEB"/>
    <w:rsid w:val="00065C4D"/>
    <w:rsid w:val="0006614D"/>
    <w:rsid w:val="000677AD"/>
    <w:rsid w:val="0007052F"/>
    <w:rsid w:val="000709C8"/>
    <w:rsid w:val="00070E0A"/>
    <w:rsid w:val="00072F62"/>
    <w:rsid w:val="000760A2"/>
    <w:rsid w:val="000777C9"/>
    <w:rsid w:val="00080B5E"/>
    <w:rsid w:val="00081D90"/>
    <w:rsid w:val="00082357"/>
    <w:rsid w:val="00083925"/>
    <w:rsid w:val="00085D02"/>
    <w:rsid w:val="000869CA"/>
    <w:rsid w:val="00086BEB"/>
    <w:rsid w:val="000904F4"/>
    <w:rsid w:val="000920E0"/>
    <w:rsid w:val="00093074"/>
    <w:rsid w:val="0009354D"/>
    <w:rsid w:val="00093D97"/>
    <w:rsid w:val="0009508F"/>
    <w:rsid w:val="0009595F"/>
    <w:rsid w:val="0009600A"/>
    <w:rsid w:val="000A1BDB"/>
    <w:rsid w:val="000A2145"/>
    <w:rsid w:val="000A2F62"/>
    <w:rsid w:val="000A32B2"/>
    <w:rsid w:val="000A4626"/>
    <w:rsid w:val="000A5A36"/>
    <w:rsid w:val="000A5FCB"/>
    <w:rsid w:val="000A63AA"/>
    <w:rsid w:val="000A7226"/>
    <w:rsid w:val="000B4CFA"/>
    <w:rsid w:val="000B4F55"/>
    <w:rsid w:val="000B53FD"/>
    <w:rsid w:val="000C0869"/>
    <w:rsid w:val="000C1F96"/>
    <w:rsid w:val="000C3BDC"/>
    <w:rsid w:val="000C3D37"/>
    <w:rsid w:val="000C45FC"/>
    <w:rsid w:val="000C5051"/>
    <w:rsid w:val="000D0737"/>
    <w:rsid w:val="000D2ABD"/>
    <w:rsid w:val="000D3241"/>
    <w:rsid w:val="000D38F8"/>
    <w:rsid w:val="000D3D6B"/>
    <w:rsid w:val="000D623E"/>
    <w:rsid w:val="000D7ADB"/>
    <w:rsid w:val="000E03FA"/>
    <w:rsid w:val="000E0ED8"/>
    <w:rsid w:val="000E179A"/>
    <w:rsid w:val="000E1AF9"/>
    <w:rsid w:val="000E223E"/>
    <w:rsid w:val="000E22B1"/>
    <w:rsid w:val="000E35E5"/>
    <w:rsid w:val="000E4169"/>
    <w:rsid w:val="000F101F"/>
    <w:rsid w:val="000F2973"/>
    <w:rsid w:val="000F39A6"/>
    <w:rsid w:val="000F4222"/>
    <w:rsid w:val="000F49A7"/>
    <w:rsid w:val="000F7068"/>
    <w:rsid w:val="000F7E0B"/>
    <w:rsid w:val="00101F2E"/>
    <w:rsid w:val="00102AB0"/>
    <w:rsid w:val="00103A85"/>
    <w:rsid w:val="00106AA9"/>
    <w:rsid w:val="00107495"/>
    <w:rsid w:val="0010784D"/>
    <w:rsid w:val="00107AC1"/>
    <w:rsid w:val="00107EC3"/>
    <w:rsid w:val="00110837"/>
    <w:rsid w:val="001118CC"/>
    <w:rsid w:val="00111D49"/>
    <w:rsid w:val="00114477"/>
    <w:rsid w:val="00114BF9"/>
    <w:rsid w:val="00115A2D"/>
    <w:rsid w:val="00120FA2"/>
    <w:rsid w:val="0012182B"/>
    <w:rsid w:val="00121F51"/>
    <w:rsid w:val="00123090"/>
    <w:rsid w:val="00123098"/>
    <w:rsid w:val="00124879"/>
    <w:rsid w:val="001261A7"/>
    <w:rsid w:val="00126760"/>
    <w:rsid w:val="001279A1"/>
    <w:rsid w:val="001303D3"/>
    <w:rsid w:val="001305B3"/>
    <w:rsid w:val="00132071"/>
    <w:rsid w:val="001329AD"/>
    <w:rsid w:val="00132FFC"/>
    <w:rsid w:val="00133223"/>
    <w:rsid w:val="001335A5"/>
    <w:rsid w:val="001363CD"/>
    <w:rsid w:val="0014174E"/>
    <w:rsid w:val="00143368"/>
    <w:rsid w:val="00143948"/>
    <w:rsid w:val="00145879"/>
    <w:rsid w:val="00147C6C"/>
    <w:rsid w:val="0015016F"/>
    <w:rsid w:val="00150359"/>
    <w:rsid w:val="00150B56"/>
    <w:rsid w:val="001545F2"/>
    <w:rsid w:val="0015512C"/>
    <w:rsid w:val="0015573B"/>
    <w:rsid w:val="00155A81"/>
    <w:rsid w:val="00156057"/>
    <w:rsid w:val="00157DA8"/>
    <w:rsid w:val="001603D3"/>
    <w:rsid w:val="00163036"/>
    <w:rsid w:val="00164B33"/>
    <w:rsid w:val="00166C1B"/>
    <w:rsid w:val="00167E91"/>
    <w:rsid w:val="001708E2"/>
    <w:rsid w:val="00171EB7"/>
    <w:rsid w:val="001724BD"/>
    <w:rsid w:val="001724C1"/>
    <w:rsid w:val="001732D0"/>
    <w:rsid w:val="001761EF"/>
    <w:rsid w:val="001779FF"/>
    <w:rsid w:val="00177DF7"/>
    <w:rsid w:val="0018035E"/>
    <w:rsid w:val="001823BB"/>
    <w:rsid w:val="00182C4F"/>
    <w:rsid w:val="00183555"/>
    <w:rsid w:val="001847E3"/>
    <w:rsid w:val="00184C78"/>
    <w:rsid w:val="001867B5"/>
    <w:rsid w:val="00186965"/>
    <w:rsid w:val="00186FB1"/>
    <w:rsid w:val="00187104"/>
    <w:rsid w:val="0019248F"/>
    <w:rsid w:val="00192897"/>
    <w:rsid w:val="0019295C"/>
    <w:rsid w:val="00193073"/>
    <w:rsid w:val="00195BAA"/>
    <w:rsid w:val="001A0746"/>
    <w:rsid w:val="001A1CFF"/>
    <w:rsid w:val="001A2CC0"/>
    <w:rsid w:val="001A2F8A"/>
    <w:rsid w:val="001A36B9"/>
    <w:rsid w:val="001A4394"/>
    <w:rsid w:val="001A5193"/>
    <w:rsid w:val="001A568B"/>
    <w:rsid w:val="001A5699"/>
    <w:rsid w:val="001B0213"/>
    <w:rsid w:val="001B150C"/>
    <w:rsid w:val="001B1814"/>
    <w:rsid w:val="001B2667"/>
    <w:rsid w:val="001B6E66"/>
    <w:rsid w:val="001C2032"/>
    <w:rsid w:val="001C25BD"/>
    <w:rsid w:val="001C719D"/>
    <w:rsid w:val="001D07B1"/>
    <w:rsid w:val="001D0A47"/>
    <w:rsid w:val="001D0EDB"/>
    <w:rsid w:val="001D12D9"/>
    <w:rsid w:val="001D235D"/>
    <w:rsid w:val="001D5103"/>
    <w:rsid w:val="001D7471"/>
    <w:rsid w:val="001F14B9"/>
    <w:rsid w:val="001F1A57"/>
    <w:rsid w:val="001F2D1B"/>
    <w:rsid w:val="001F5972"/>
    <w:rsid w:val="001F5CCC"/>
    <w:rsid w:val="001F5E3E"/>
    <w:rsid w:val="001F7722"/>
    <w:rsid w:val="0020548E"/>
    <w:rsid w:val="0020770B"/>
    <w:rsid w:val="0021060E"/>
    <w:rsid w:val="0021246D"/>
    <w:rsid w:val="002130E0"/>
    <w:rsid w:val="00213C1F"/>
    <w:rsid w:val="002145D9"/>
    <w:rsid w:val="00216908"/>
    <w:rsid w:val="0021721F"/>
    <w:rsid w:val="00220517"/>
    <w:rsid w:val="00221611"/>
    <w:rsid w:val="00224C5A"/>
    <w:rsid w:val="00230D4D"/>
    <w:rsid w:val="00231E9E"/>
    <w:rsid w:val="00232AA1"/>
    <w:rsid w:val="002331B2"/>
    <w:rsid w:val="00234576"/>
    <w:rsid w:val="00235AE2"/>
    <w:rsid w:val="002365BB"/>
    <w:rsid w:val="00236E45"/>
    <w:rsid w:val="0023792A"/>
    <w:rsid w:val="002405EA"/>
    <w:rsid w:val="00240B1B"/>
    <w:rsid w:val="00242024"/>
    <w:rsid w:val="0024398C"/>
    <w:rsid w:val="00243C9D"/>
    <w:rsid w:val="002454D0"/>
    <w:rsid w:val="00246996"/>
    <w:rsid w:val="00246C34"/>
    <w:rsid w:val="002470B5"/>
    <w:rsid w:val="002513B1"/>
    <w:rsid w:val="00251862"/>
    <w:rsid w:val="00252000"/>
    <w:rsid w:val="002533E9"/>
    <w:rsid w:val="00256C44"/>
    <w:rsid w:val="00261F5A"/>
    <w:rsid w:val="0026308F"/>
    <w:rsid w:val="00263691"/>
    <w:rsid w:val="002636AD"/>
    <w:rsid w:val="00263A6C"/>
    <w:rsid w:val="0026481E"/>
    <w:rsid w:val="002655EA"/>
    <w:rsid w:val="002656BC"/>
    <w:rsid w:val="00265E0F"/>
    <w:rsid w:val="00271A39"/>
    <w:rsid w:val="0027234A"/>
    <w:rsid w:val="00273B6B"/>
    <w:rsid w:val="002741CD"/>
    <w:rsid w:val="002744B4"/>
    <w:rsid w:val="00275182"/>
    <w:rsid w:val="00276577"/>
    <w:rsid w:val="00277F01"/>
    <w:rsid w:val="00280001"/>
    <w:rsid w:val="00281F65"/>
    <w:rsid w:val="00282271"/>
    <w:rsid w:val="00284055"/>
    <w:rsid w:val="00287B8F"/>
    <w:rsid w:val="0029030A"/>
    <w:rsid w:val="00290D14"/>
    <w:rsid w:val="00290E19"/>
    <w:rsid w:val="00294E1E"/>
    <w:rsid w:val="002953F6"/>
    <w:rsid w:val="002A00E6"/>
    <w:rsid w:val="002A1CBF"/>
    <w:rsid w:val="002A2763"/>
    <w:rsid w:val="002A37BB"/>
    <w:rsid w:val="002A4AC4"/>
    <w:rsid w:val="002A4FCB"/>
    <w:rsid w:val="002A5D90"/>
    <w:rsid w:val="002A784F"/>
    <w:rsid w:val="002B184B"/>
    <w:rsid w:val="002B1FEC"/>
    <w:rsid w:val="002B2723"/>
    <w:rsid w:val="002B2D8E"/>
    <w:rsid w:val="002B4772"/>
    <w:rsid w:val="002B51F2"/>
    <w:rsid w:val="002B5470"/>
    <w:rsid w:val="002B5EAA"/>
    <w:rsid w:val="002B6656"/>
    <w:rsid w:val="002C1391"/>
    <w:rsid w:val="002C29D2"/>
    <w:rsid w:val="002C334B"/>
    <w:rsid w:val="002C3542"/>
    <w:rsid w:val="002C3E27"/>
    <w:rsid w:val="002C43AA"/>
    <w:rsid w:val="002C43D3"/>
    <w:rsid w:val="002C6343"/>
    <w:rsid w:val="002C6F0C"/>
    <w:rsid w:val="002D01D4"/>
    <w:rsid w:val="002D0EBD"/>
    <w:rsid w:val="002D129A"/>
    <w:rsid w:val="002D196E"/>
    <w:rsid w:val="002D27A3"/>
    <w:rsid w:val="002D2F16"/>
    <w:rsid w:val="002D48DB"/>
    <w:rsid w:val="002D6F81"/>
    <w:rsid w:val="002D7589"/>
    <w:rsid w:val="002D77BA"/>
    <w:rsid w:val="002E2F3B"/>
    <w:rsid w:val="002E3DDD"/>
    <w:rsid w:val="002E3FA6"/>
    <w:rsid w:val="002E5134"/>
    <w:rsid w:val="002E6A0C"/>
    <w:rsid w:val="002E6A5C"/>
    <w:rsid w:val="002E6C89"/>
    <w:rsid w:val="002F0C06"/>
    <w:rsid w:val="002F0C3B"/>
    <w:rsid w:val="002F262C"/>
    <w:rsid w:val="002F4BBF"/>
    <w:rsid w:val="002F5096"/>
    <w:rsid w:val="002F577F"/>
    <w:rsid w:val="002F660F"/>
    <w:rsid w:val="002F6E6E"/>
    <w:rsid w:val="002F75D1"/>
    <w:rsid w:val="00301E84"/>
    <w:rsid w:val="00303184"/>
    <w:rsid w:val="003036B0"/>
    <w:rsid w:val="0030421C"/>
    <w:rsid w:val="00311571"/>
    <w:rsid w:val="00313EFA"/>
    <w:rsid w:val="00317016"/>
    <w:rsid w:val="00323185"/>
    <w:rsid w:val="003234E7"/>
    <w:rsid w:val="00324E83"/>
    <w:rsid w:val="00325B7D"/>
    <w:rsid w:val="00326B4D"/>
    <w:rsid w:val="00330BCF"/>
    <w:rsid w:val="00337CD2"/>
    <w:rsid w:val="00340897"/>
    <w:rsid w:val="00342CA7"/>
    <w:rsid w:val="00344153"/>
    <w:rsid w:val="0034613C"/>
    <w:rsid w:val="003465FF"/>
    <w:rsid w:val="00350814"/>
    <w:rsid w:val="00352A5A"/>
    <w:rsid w:val="00352C35"/>
    <w:rsid w:val="00353751"/>
    <w:rsid w:val="00354098"/>
    <w:rsid w:val="00354EB3"/>
    <w:rsid w:val="00355C4A"/>
    <w:rsid w:val="00355DFC"/>
    <w:rsid w:val="0035724B"/>
    <w:rsid w:val="00360815"/>
    <w:rsid w:val="00362CE7"/>
    <w:rsid w:val="00362F40"/>
    <w:rsid w:val="003632B4"/>
    <w:rsid w:val="00363DC6"/>
    <w:rsid w:val="00365F91"/>
    <w:rsid w:val="003661E7"/>
    <w:rsid w:val="0036748A"/>
    <w:rsid w:val="0037002D"/>
    <w:rsid w:val="00371C56"/>
    <w:rsid w:val="003723A5"/>
    <w:rsid w:val="00373DE4"/>
    <w:rsid w:val="003749F0"/>
    <w:rsid w:val="003762D1"/>
    <w:rsid w:val="00377FF6"/>
    <w:rsid w:val="00381385"/>
    <w:rsid w:val="00382154"/>
    <w:rsid w:val="00382677"/>
    <w:rsid w:val="00382752"/>
    <w:rsid w:val="00385151"/>
    <w:rsid w:val="00385C63"/>
    <w:rsid w:val="003860CC"/>
    <w:rsid w:val="003864F8"/>
    <w:rsid w:val="00387A87"/>
    <w:rsid w:val="00391116"/>
    <w:rsid w:val="00392E2B"/>
    <w:rsid w:val="0039391B"/>
    <w:rsid w:val="003946BD"/>
    <w:rsid w:val="00394B34"/>
    <w:rsid w:val="00396F53"/>
    <w:rsid w:val="003A164D"/>
    <w:rsid w:val="003A2DFC"/>
    <w:rsid w:val="003A2F36"/>
    <w:rsid w:val="003A31A0"/>
    <w:rsid w:val="003A50A0"/>
    <w:rsid w:val="003A5A7C"/>
    <w:rsid w:val="003A7085"/>
    <w:rsid w:val="003A70B4"/>
    <w:rsid w:val="003A7D76"/>
    <w:rsid w:val="003B359E"/>
    <w:rsid w:val="003B39AD"/>
    <w:rsid w:val="003B4747"/>
    <w:rsid w:val="003B4D5B"/>
    <w:rsid w:val="003B4DAE"/>
    <w:rsid w:val="003C6993"/>
    <w:rsid w:val="003C6F00"/>
    <w:rsid w:val="003D092F"/>
    <w:rsid w:val="003D4EFC"/>
    <w:rsid w:val="003D513E"/>
    <w:rsid w:val="003D5EE4"/>
    <w:rsid w:val="003E168E"/>
    <w:rsid w:val="003E19B5"/>
    <w:rsid w:val="003E2CF5"/>
    <w:rsid w:val="003E3B44"/>
    <w:rsid w:val="003E4D09"/>
    <w:rsid w:val="003E7D75"/>
    <w:rsid w:val="003F18C8"/>
    <w:rsid w:val="003F2FAB"/>
    <w:rsid w:val="003F4E7F"/>
    <w:rsid w:val="003F5D49"/>
    <w:rsid w:val="003F7F46"/>
    <w:rsid w:val="003F7F48"/>
    <w:rsid w:val="004026AD"/>
    <w:rsid w:val="00403BBB"/>
    <w:rsid w:val="0040465B"/>
    <w:rsid w:val="00406147"/>
    <w:rsid w:val="00410703"/>
    <w:rsid w:val="00411D22"/>
    <w:rsid w:val="004141A6"/>
    <w:rsid w:val="00414941"/>
    <w:rsid w:val="00414ADF"/>
    <w:rsid w:val="00415AE6"/>
    <w:rsid w:val="004167DB"/>
    <w:rsid w:val="00417907"/>
    <w:rsid w:val="00420EBA"/>
    <w:rsid w:val="00423939"/>
    <w:rsid w:val="00424BD0"/>
    <w:rsid w:val="00424E8B"/>
    <w:rsid w:val="00427745"/>
    <w:rsid w:val="00427BF4"/>
    <w:rsid w:val="00427DD0"/>
    <w:rsid w:val="00432DD4"/>
    <w:rsid w:val="00433641"/>
    <w:rsid w:val="00434E58"/>
    <w:rsid w:val="00434FF5"/>
    <w:rsid w:val="004366F6"/>
    <w:rsid w:val="00442CEC"/>
    <w:rsid w:val="00445798"/>
    <w:rsid w:val="004457E3"/>
    <w:rsid w:val="00446CE8"/>
    <w:rsid w:val="004500DA"/>
    <w:rsid w:val="00452596"/>
    <w:rsid w:val="00452713"/>
    <w:rsid w:val="00452D0D"/>
    <w:rsid w:val="00453DCC"/>
    <w:rsid w:val="0045595E"/>
    <w:rsid w:val="004567C4"/>
    <w:rsid w:val="0045688E"/>
    <w:rsid w:val="00460521"/>
    <w:rsid w:val="004608F6"/>
    <w:rsid w:val="00460C23"/>
    <w:rsid w:val="00461BF9"/>
    <w:rsid w:val="00462C84"/>
    <w:rsid w:val="004636E7"/>
    <w:rsid w:val="00465898"/>
    <w:rsid w:val="00466C6A"/>
    <w:rsid w:val="00466E22"/>
    <w:rsid w:val="00470B6C"/>
    <w:rsid w:val="00471695"/>
    <w:rsid w:val="00473546"/>
    <w:rsid w:val="00474DFE"/>
    <w:rsid w:val="00476E46"/>
    <w:rsid w:val="00476F8E"/>
    <w:rsid w:val="0047766B"/>
    <w:rsid w:val="00480D37"/>
    <w:rsid w:val="004812BA"/>
    <w:rsid w:val="0048232A"/>
    <w:rsid w:val="00483F2C"/>
    <w:rsid w:val="00484037"/>
    <w:rsid w:val="00485923"/>
    <w:rsid w:val="00487E20"/>
    <w:rsid w:val="0049103E"/>
    <w:rsid w:val="00491AD5"/>
    <w:rsid w:val="0049289D"/>
    <w:rsid w:val="00494B3C"/>
    <w:rsid w:val="00494F3E"/>
    <w:rsid w:val="004A03B0"/>
    <w:rsid w:val="004A0A22"/>
    <w:rsid w:val="004A0CBF"/>
    <w:rsid w:val="004A0D71"/>
    <w:rsid w:val="004A15F6"/>
    <w:rsid w:val="004A2FFA"/>
    <w:rsid w:val="004A31AA"/>
    <w:rsid w:val="004A57B0"/>
    <w:rsid w:val="004A5E27"/>
    <w:rsid w:val="004B1990"/>
    <w:rsid w:val="004B5098"/>
    <w:rsid w:val="004B5102"/>
    <w:rsid w:val="004B51AD"/>
    <w:rsid w:val="004B5C01"/>
    <w:rsid w:val="004B7FEF"/>
    <w:rsid w:val="004C0F22"/>
    <w:rsid w:val="004C16A7"/>
    <w:rsid w:val="004C28AB"/>
    <w:rsid w:val="004C39A8"/>
    <w:rsid w:val="004C51CF"/>
    <w:rsid w:val="004C5635"/>
    <w:rsid w:val="004D118C"/>
    <w:rsid w:val="004D3131"/>
    <w:rsid w:val="004D31F0"/>
    <w:rsid w:val="004D5584"/>
    <w:rsid w:val="004D592A"/>
    <w:rsid w:val="004D6B1E"/>
    <w:rsid w:val="004D72BB"/>
    <w:rsid w:val="004D75F6"/>
    <w:rsid w:val="004E087D"/>
    <w:rsid w:val="004E0885"/>
    <w:rsid w:val="004E16E2"/>
    <w:rsid w:val="004E1815"/>
    <w:rsid w:val="004E1940"/>
    <w:rsid w:val="004E1A91"/>
    <w:rsid w:val="004E3139"/>
    <w:rsid w:val="004E382B"/>
    <w:rsid w:val="004E4F4F"/>
    <w:rsid w:val="004E5C31"/>
    <w:rsid w:val="004E6258"/>
    <w:rsid w:val="004F6852"/>
    <w:rsid w:val="004F6A66"/>
    <w:rsid w:val="004F6D27"/>
    <w:rsid w:val="004F7D56"/>
    <w:rsid w:val="004F7FD4"/>
    <w:rsid w:val="0050006C"/>
    <w:rsid w:val="005018EF"/>
    <w:rsid w:val="00504D34"/>
    <w:rsid w:val="00510515"/>
    <w:rsid w:val="00510776"/>
    <w:rsid w:val="005113A3"/>
    <w:rsid w:val="00514A53"/>
    <w:rsid w:val="00516683"/>
    <w:rsid w:val="005166C0"/>
    <w:rsid w:val="00517755"/>
    <w:rsid w:val="00517BC0"/>
    <w:rsid w:val="0052192E"/>
    <w:rsid w:val="00522079"/>
    <w:rsid w:val="005223FC"/>
    <w:rsid w:val="00522A49"/>
    <w:rsid w:val="0052565C"/>
    <w:rsid w:val="00526753"/>
    <w:rsid w:val="00526F7E"/>
    <w:rsid w:val="005301A4"/>
    <w:rsid w:val="005306BE"/>
    <w:rsid w:val="00531CA6"/>
    <w:rsid w:val="00531D9A"/>
    <w:rsid w:val="0053429E"/>
    <w:rsid w:val="00534FC1"/>
    <w:rsid w:val="00536B72"/>
    <w:rsid w:val="00537A33"/>
    <w:rsid w:val="00544577"/>
    <w:rsid w:val="005447EA"/>
    <w:rsid w:val="00544BA9"/>
    <w:rsid w:val="00545322"/>
    <w:rsid w:val="005468BE"/>
    <w:rsid w:val="00546FB1"/>
    <w:rsid w:val="00550201"/>
    <w:rsid w:val="00550F85"/>
    <w:rsid w:val="005520DA"/>
    <w:rsid w:val="005553A5"/>
    <w:rsid w:val="005569BA"/>
    <w:rsid w:val="00557BD0"/>
    <w:rsid w:val="00560211"/>
    <w:rsid w:val="00560814"/>
    <w:rsid w:val="00560A59"/>
    <w:rsid w:val="00561999"/>
    <w:rsid w:val="00563EA8"/>
    <w:rsid w:val="00565335"/>
    <w:rsid w:val="0056606A"/>
    <w:rsid w:val="00566361"/>
    <w:rsid w:val="00570395"/>
    <w:rsid w:val="00573686"/>
    <w:rsid w:val="00574936"/>
    <w:rsid w:val="00575388"/>
    <w:rsid w:val="005753D1"/>
    <w:rsid w:val="00575C18"/>
    <w:rsid w:val="005842FD"/>
    <w:rsid w:val="0059058B"/>
    <w:rsid w:val="00591AC7"/>
    <w:rsid w:val="00593BA1"/>
    <w:rsid w:val="0059710B"/>
    <w:rsid w:val="005A1BBB"/>
    <w:rsid w:val="005A210E"/>
    <w:rsid w:val="005A3146"/>
    <w:rsid w:val="005A5581"/>
    <w:rsid w:val="005A7F04"/>
    <w:rsid w:val="005B36E8"/>
    <w:rsid w:val="005B3FC5"/>
    <w:rsid w:val="005B612A"/>
    <w:rsid w:val="005B7F6E"/>
    <w:rsid w:val="005C1BCD"/>
    <w:rsid w:val="005C239B"/>
    <w:rsid w:val="005C42FA"/>
    <w:rsid w:val="005C4E26"/>
    <w:rsid w:val="005C5BA9"/>
    <w:rsid w:val="005C6ED5"/>
    <w:rsid w:val="005C7EB3"/>
    <w:rsid w:val="005D132A"/>
    <w:rsid w:val="005D6B60"/>
    <w:rsid w:val="005D72CC"/>
    <w:rsid w:val="005D738A"/>
    <w:rsid w:val="005D7A3D"/>
    <w:rsid w:val="005D7B3B"/>
    <w:rsid w:val="005E0133"/>
    <w:rsid w:val="005E1BA4"/>
    <w:rsid w:val="005E1D91"/>
    <w:rsid w:val="005E3473"/>
    <w:rsid w:val="005E48FC"/>
    <w:rsid w:val="005E742C"/>
    <w:rsid w:val="005E7942"/>
    <w:rsid w:val="005F14FE"/>
    <w:rsid w:val="005F3594"/>
    <w:rsid w:val="005F3CE7"/>
    <w:rsid w:val="005F4BEA"/>
    <w:rsid w:val="005F7B31"/>
    <w:rsid w:val="0060025F"/>
    <w:rsid w:val="00601DE0"/>
    <w:rsid w:val="006023ED"/>
    <w:rsid w:val="00602848"/>
    <w:rsid w:val="00602B58"/>
    <w:rsid w:val="006064A2"/>
    <w:rsid w:val="00611341"/>
    <w:rsid w:val="00611A3B"/>
    <w:rsid w:val="0061237A"/>
    <w:rsid w:val="0061577C"/>
    <w:rsid w:val="00615C42"/>
    <w:rsid w:val="00617F1F"/>
    <w:rsid w:val="006206DD"/>
    <w:rsid w:val="006208DF"/>
    <w:rsid w:val="006228B0"/>
    <w:rsid w:val="00623C0D"/>
    <w:rsid w:val="006243A4"/>
    <w:rsid w:val="006267BF"/>
    <w:rsid w:val="006311D8"/>
    <w:rsid w:val="006317FB"/>
    <w:rsid w:val="00631D3B"/>
    <w:rsid w:val="00636098"/>
    <w:rsid w:val="0063752D"/>
    <w:rsid w:val="00640A37"/>
    <w:rsid w:val="00641B2E"/>
    <w:rsid w:val="00642DD1"/>
    <w:rsid w:val="00644254"/>
    <w:rsid w:val="00645A14"/>
    <w:rsid w:val="00647CB5"/>
    <w:rsid w:val="006500D0"/>
    <w:rsid w:val="0065058D"/>
    <w:rsid w:val="00650E1C"/>
    <w:rsid w:val="006532D7"/>
    <w:rsid w:val="0066008C"/>
    <w:rsid w:val="00660D96"/>
    <w:rsid w:val="00661694"/>
    <w:rsid w:val="006644B1"/>
    <w:rsid w:val="0066524B"/>
    <w:rsid w:val="00666EF0"/>
    <w:rsid w:val="00667F47"/>
    <w:rsid w:val="00670A09"/>
    <w:rsid w:val="00674597"/>
    <w:rsid w:val="0067481B"/>
    <w:rsid w:val="00676E4E"/>
    <w:rsid w:val="00681211"/>
    <w:rsid w:val="006819EF"/>
    <w:rsid w:val="006821C4"/>
    <w:rsid w:val="00683109"/>
    <w:rsid w:val="00683607"/>
    <w:rsid w:val="0068774B"/>
    <w:rsid w:val="00690652"/>
    <w:rsid w:val="006928B8"/>
    <w:rsid w:val="00692FDA"/>
    <w:rsid w:val="006946AE"/>
    <w:rsid w:val="00694FC1"/>
    <w:rsid w:val="00696693"/>
    <w:rsid w:val="006A08D9"/>
    <w:rsid w:val="006A11E4"/>
    <w:rsid w:val="006A124D"/>
    <w:rsid w:val="006A2552"/>
    <w:rsid w:val="006A269F"/>
    <w:rsid w:val="006A4BF1"/>
    <w:rsid w:val="006A5652"/>
    <w:rsid w:val="006A5700"/>
    <w:rsid w:val="006A628A"/>
    <w:rsid w:val="006B0D11"/>
    <w:rsid w:val="006B38F8"/>
    <w:rsid w:val="006B497A"/>
    <w:rsid w:val="006B53B2"/>
    <w:rsid w:val="006B752C"/>
    <w:rsid w:val="006C10FA"/>
    <w:rsid w:val="006C1938"/>
    <w:rsid w:val="006C20C2"/>
    <w:rsid w:val="006C2A57"/>
    <w:rsid w:val="006C4188"/>
    <w:rsid w:val="006C4459"/>
    <w:rsid w:val="006C4637"/>
    <w:rsid w:val="006C5924"/>
    <w:rsid w:val="006C5B96"/>
    <w:rsid w:val="006C699C"/>
    <w:rsid w:val="006C75D6"/>
    <w:rsid w:val="006D1062"/>
    <w:rsid w:val="006D271F"/>
    <w:rsid w:val="006D3AC9"/>
    <w:rsid w:val="006D5874"/>
    <w:rsid w:val="006D6499"/>
    <w:rsid w:val="006D7036"/>
    <w:rsid w:val="006E045C"/>
    <w:rsid w:val="006E2E1C"/>
    <w:rsid w:val="006E7F3D"/>
    <w:rsid w:val="006F1135"/>
    <w:rsid w:val="006F2837"/>
    <w:rsid w:val="006F3ADB"/>
    <w:rsid w:val="006F3B90"/>
    <w:rsid w:val="006F52EF"/>
    <w:rsid w:val="006F543F"/>
    <w:rsid w:val="006F66C7"/>
    <w:rsid w:val="006F6D85"/>
    <w:rsid w:val="00702362"/>
    <w:rsid w:val="007034C2"/>
    <w:rsid w:val="0070601E"/>
    <w:rsid w:val="00707039"/>
    <w:rsid w:val="007078A2"/>
    <w:rsid w:val="00707EE0"/>
    <w:rsid w:val="00714ECA"/>
    <w:rsid w:val="00715BCE"/>
    <w:rsid w:val="00715D8D"/>
    <w:rsid w:val="00715F7C"/>
    <w:rsid w:val="0072734B"/>
    <w:rsid w:val="0072738F"/>
    <w:rsid w:val="00731BA6"/>
    <w:rsid w:val="00731E97"/>
    <w:rsid w:val="007328DB"/>
    <w:rsid w:val="00732D32"/>
    <w:rsid w:val="00733BB8"/>
    <w:rsid w:val="007341B9"/>
    <w:rsid w:val="007347A5"/>
    <w:rsid w:val="00735B29"/>
    <w:rsid w:val="00735D8D"/>
    <w:rsid w:val="0073762E"/>
    <w:rsid w:val="00740000"/>
    <w:rsid w:val="007417C5"/>
    <w:rsid w:val="007422D7"/>
    <w:rsid w:val="00745C78"/>
    <w:rsid w:val="007500F2"/>
    <w:rsid w:val="007509F0"/>
    <w:rsid w:val="0075171F"/>
    <w:rsid w:val="007568D0"/>
    <w:rsid w:val="007572F8"/>
    <w:rsid w:val="00757D34"/>
    <w:rsid w:val="00760687"/>
    <w:rsid w:val="00761D8E"/>
    <w:rsid w:val="00762C93"/>
    <w:rsid w:val="00763A70"/>
    <w:rsid w:val="00764455"/>
    <w:rsid w:val="00765064"/>
    <w:rsid w:val="00766CAA"/>
    <w:rsid w:val="00767470"/>
    <w:rsid w:val="00767B9C"/>
    <w:rsid w:val="007722E8"/>
    <w:rsid w:val="007744FE"/>
    <w:rsid w:val="00776B42"/>
    <w:rsid w:val="007772F3"/>
    <w:rsid w:val="00777679"/>
    <w:rsid w:val="0078148E"/>
    <w:rsid w:val="00784B3A"/>
    <w:rsid w:val="00785081"/>
    <w:rsid w:val="00786B0E"/>
    <w:rsid w:val="0078705F"/>
    <w:rsid w:val="00787F58"/>
    <w:rsid w:val="0079014B"/>
    <w:rsid w:val="007925ED"/>
    <w:rsid w:val="00793A5D"/>
    <w:rsid w:val="007978EA"/>
    <w:rsid w:val="007A0797"/>
    <w:rsid w:val="007A1CD7"/>
    <w:rsid w:val="007A2D8F"/>
    <w:rsid w:val="007A3A7C"/>
    <w:rsid w:val="007A3D51"/>
    <w:rsid w:val="007A54FF"/>
    <w:rsid w:val="007A5C98"/>
    <w:rsid w:val="007B13EA"/>
    <w:rsid w:val="007B177B"/>
    <w:rsid w:val="007B1B03"/>
    <w:rsid w:val="007B324F"/>
    <w:rsid w:val="007B4FC3"/>
    <w:rsid w:val="007B70CE"/>
    <w:rsid w:val="007C1009"/>
    <w:rsid w:val="007C2070"/>
    <w:rsid w:val="007C2579"/>
    <w:rsid w:val="007C268B"/>
    <w:rsid w:val="007C2810"/>
    <w:rsid w:val="007C2988"/>
    <w:rsid w:val="007C52A5"/>
    <w:rsid w:val="007C5CAB"/>
    <w:rsid w:val="007C5F1F"/>
    <w:rsid w:val="007C6237"/>
    <w:rsid w:val="007C6646"/>
    <w:rsid w:val="007C6842"/>
    <w:rsid w:val="007C6B67"/>
    <w:rsid w:val="007D0C5A"/>
    <w:rsid w:val="007D20D9"/>
    <w:rsid w:val="007D2BD0"/>
    <w:rsid w:val="007D39CC"/>
    <w:rsid w:val="007D4587"/>
    <w:rsid w:val="007D4A34"/>
    <w:rsid w:val="007D4D74"/>
    <w:rsid w:val="007E1A03"/>
    <w:rsid w:val="007E46EA"/>
    <w:rsid w:val="007E4721"/>
    <w:rsid w:val="007E6683"/>
    <w:rsid w:val="007F03F8"/>
    <w:rsid w:val="007F064D"/>
    <w:rsid w:val="007F15B8"/>
    <w:rsid w:val="007F5360"/>
    <w:rsid w:val="007F618F"/>
    <w:rsid w:val="0080072C"/>
    <w:rsid w:val="008068D5"/>
    <w:rsid w:val="00807059"/>
    <w:rsid w:val="00810007"/>
    <w:rsid w:val="00810F47"/>
    <w:rsid w:val="008143E3"/>
    <w:rsid w:val="008171AE"/>
    <w:rsid w:val="00820EBA"/>
    <w:rsid w:val="0082111B"/>
    <w:rsid w:val="008277AA"/>
    <w:rsid w:val="00827AA8"/>
    <w:rsid w:val="00834D86"/>
    <w:rsid w:val="0083502C"/>
    <w:rsid w:val="00836DF9"/>
    <w:rsid w:val="00841FDB"/>
    <w:rsid w:val="0084519A"/>
    <w:rsid w:val="00845750"/>
    <w:rsid w:val="00852BDC"/>
    <w:rsid w:val="0085481F"/>
    <w:rsid w:val="008561C3"/>
    <w:rsid w:val="00856875"/>
    <w:rsid w:val="0086279B"/>
    <w:rsid w:val="00862EF6"/>
    <w:rsid w:val="0086306E"/>
    <w:rsid w:val="00864635"/>
    <w:rsid w:val="008651B7"/>
    <w:rsid w:val="00865A99"/>
    <w:rsid w:val="00866B71"/>
    <w:rsid w:val="00873033"/>
    <w:rsid w:val="00873557"/>
    <w:rsid w:val="008737AA"/>
    <w:rsid w:val="0087445F"/>
    <w:rsid w:val="00874608"/>
    <w:rsid w:val="00874797"/>
    <w:rsid w:val="00875597"/>
    <w:rsid w:val="00875F69"/>
    <w:rsid w:val="00876E00"/>
    <w:rsid w:val="008774E8"/>
    <w:rsid w:val="00877C8B"/>
    <w:rsid w:val="008803CA"/>
    <w:rsid w:val="00882470"/>
    <w:rsid w:val="00884482"/>
    <w:rsid w:val="00884A1A"/>
    <w:rsid w:val="00886C05"/>
    <w:rsid w:val="0088764F"/>
    <w:rsid w:val="0089048B"/>
    <w:rsid w:val="0089195C"/>
    <w:rsid w:val="00892081"/>
    <w:rsid w:val="008920CA"/>
    <w:rsid w:val="008936AB"/>
    <w:rsid w:val="008966AF"/>
    <w:rsid w:val="00896C34"/>
    <w:rsid w:val="008A2B0E"/>
    <w:rsid w:val="008A3BB1"/>
    <w:rsid w:val="008A43BA"/>
    <w:rsid w:val="008A48ED"/>
    <w:rsid w:val="008A6D2E"/>
    <w:rsid w:val="008B3373"/>
    <w:rsid w:val="008B69E7"/>
    <w:rsid w:val="008B7B1F"/>
    <w:rsid w:val="008C393D"/>
    <w:rsid w:val="008D0179"/>
    <w:rsid w:val="008D184F"/>
    <w:rsid w:val="008D1AEA"/>
    <w:rsid w:val="008D460F"/>
    <w:rsid w:val="008D4D0F"/>
    <w:rsid w:val="008D5C18"/>
    <w:rsid w:val="008D64BA"/>
    <w:rsid w:val="008E0F0E"/>
    <w:rsid w:val="008E3801"/>
    <w:rsid w:val="008E55C0"/>
    <w:rsid w:val="008F074D"/>
    <w:rsid w:val="008F1E37"/>
    <w:rsid w:val="008F3103"/>
    <w:rsid w:val="008F3F91"/>
    <w:rsid w:val="008F43F0"/>
    <w:rsid w:val="008F5DD1"/>
    <w:rsid w:val="008F7D75"/>
    <w:rsid w:val="00901120"/>
    <w:rsid w:val="00903367"/>
    <w:rsid w:val="0090700F"/>
    <w:rsid w:val="00910970"/>
    <w:rsid w:val="0091173C"/>
    <w:rsid w:val="0091234B"/>
    <w:rsid w:val="00914515"/>
    <w:rsid w:val="009149D9"/>
    <w:rsid w:val="00915F98"/>
    <w:rsid w:val="009206CF"/>
    <w:rsid w:val="009223A3"/>
    <w:rsid w:val="0092388D"/>
    <w:rsid w:val="00923F27"/>
    <w:rsid w:val="0092582B"/>
    <w:rsid w:val="0092694C"/>
    <w:rsid w:val="009356E5"/>
    <w:rsid w:val="00936CA8"/>
    <w:rsid w:val="009378FF"/>
    <w:rsid w:val="00937ED7"/>
    <w:rsid w:val="00942976"/>
    <w:rsid w:val="00943CEC"/>
    <w:rsid w:val="009445D2"/>
    <w:rsid w:val="00947609"/>
    <w:rsid w:val="009500A1"/>
    <w:rsid w:val="00950989"/>
    <w:rsid w:val="00952291"/>
    <w:rsid w:val="009527B3"/>
    <w:rsid w:val="009529AD"/>
    <w:rsid w:val="009549BE"/>
    <w:rsid w:val="00956385"/>
    <w:rsid w:val="0095676F"/>
    <w:rsid w:val="00957041"/>
    <w:rsid w:val="00957D36"/>
    <w:rsid w:val="0096021B"/>
    <w:rsid w:val="009607EA"/>
    <w:rsid w:val="00960A1D"/>
    <w:rsid w:val="00960A65"/>
    <w:rsid w:val="00960E34"/>
    <w:rsid w:val="00961687"/>
    <w:rsid w:val="00962684"/>
    <w:rsid w:val="00962FEE"/>
    <w:rsid w:val="009634B8"/>
    <w:rsid w:val="00963F77"/>
    <w:rsid w:val="00967D36"/>
    <w:rsid w:val="00967FC0"/>
    <w:rsid w:val="00970A5C"/>
    <w:rsid w:val="009732E2"/>
    <w:rsid w:val="009738BB"/>
    <w:rsid w:val="009756B3"/>
    <w:rsid w:val="009767D4"/>
    <w:rsid w:val="00976DDF"/>
    <w:rsid w:val="00977021"/>
    <w:rsid w:val="009770EC"/>
    <w:rsid w:val="00977852"/>
    <w:rsid w:val="00982BE5"/>
    <w:rsid w:val="00985400"/>
    <w:rsid w:val="00985998"/>
    <w:rsid w:val="00986B62"/>
    <w:rsid w:val="00987FDD"/>
    <w:rsid w:val="00990F37"/>
    <w:rsid w:val="00991F15"/>
    <w:rsid w:val="00994E67"/>
    <w:rsid w:val="009951A5"/>
    <w:rsid w:val="00997234"/>
    <w:rsid w:val="00997D3F"/>
    <w:rsid w:val="009A0DF7"/>
    <w:rsid w:val="009A41A3"/>
    <w:rsid w:val="009A4689"/>
    <w:rsid w:val="009A529F"/>
    <w:rsid w:val="009B0BA8"/>
    <w:rsid w:val="009B17E0"/>
    <w:rsid w:val="009B33E0"/>
    <w:rsid w:val="009B374A"/>
    <w:rsid w:val="009B3A5F"/>
    <w:rsid w:val="009B3C87"/>
    <w:rsid w:val="009B43E6"/>
    <w:rsid w:val="009B5FE5"/>
    <w:rsid w:val="009B6516"/>
    <w:rsid w:val="009C6E3B"/>
    <w:rsid w:val="009C6EF7"/>
    <w:rsid w:val="009D0503"/>
    <w:rsid w:val="009D2CEB"/>
    <w:rsid w:val="009D546C"/>
    <w:rsid w:val="009D6666"/>
    <w:rsid w:val="009D66F9"/>
    <w:rsid w:val="009E6050"/>
    <w:rsid w:val="009E7B71"/>
    <w:rsid w:val="009F2BFF"/>
    <w:rsid w:val="009F3515"/>
    <w:rsid w:val="009F5C98"/>
    <w:rsid w:val="009F78DF"/>
    <w:rsid w:val="009F7E18"/>
    <w:rsid w:val="00A00DEA"/>
    <w:rsid w:val="00A00E3F"/>
    <w:rsid w:val="00A04B29"/>
    <w:rsid w:val="00A0702B"/>
    <w:rsid w:val="00A10BFF"/>
    <w:rsid w:val="00A11B4F"/>
    <w:rsid w:val="00A12FA2"/>
    <w:rsid w:val="00A136CE"/>
    <w:rsid w:val="00A13957"/>
    <w:rsid w:val="00A150A5"/>
    <w:rsid w:val="00A16CEF"/>
    <w:rsid w:val="00A20B29"/>
    <w:rsid w:val="00A2237C"/>
    <w:rsid w:val="00A2687D"/>
    <w:rsid w:val="00A26E54"/>
    <w:rsid w:val="00A26F7E"/>
    <w:rsid w:val="00A30454"/>
    <w:rsid w:val="00A33504"/>
    <w:rsid w:val="00A33F8C"/>
    <w:rsid w:val="00A34C54"/>
    <w:rsid w:val="00A35109"/>
    <w:rsid w:val="00A418A9"/>
    <w:rsid w:val="00A4248B"/>
    <w:rsid w:val="00A42CCC"/>
    <w:rsid w:val="00A4322C"/>
    <w:rsid w:val="00A45B7B"/>
    <w:rsid w:val="00A47146"/>
    <w:rsid w:val="00A471F9"/>
    <w:rsid w:val="00A5049D"/>
    <w:rsid w:val="00A50855"/>
    <w:rsid w:val="00A51DA8"/>
    <w:rsid w:val="00A52AEE"/>
    <w:rsid w:val="00A5310F"/>
    <w:rsid w:val="00A5673C"/>
    <w:rsid w:val="00A602D3"/>
    <w:rsid w:val="00A616D8"/>
    <w:rsid w:val="00A61A5D"/>
    <w:rsid w:val="00A61F03"/>
    <w:rsid w:val="00A63C0A"/>
    <w:rsid w:val="00A643A5"/>
    <w:rsid w:val="00A64F38"/>
    <w:rsid w:val="00A65198"/>
    <w:rsid w:val="00A654FA"/>
    <w:rsid w:val="00A65DF0"/>
    <w:rsid w:val="00A67E1B"/>
    <w:rsid w:val="00A70E9B"/>
    <w:rsid w:val="00A72734"/>
    <w:rsid w:val="00A72B60"/>
    <w:rsid w:val="00A7332E"/>
    <w:rsid w:val="00A80D37"/>
    <w:rsid w:val="00A82429"/>
    <w:rsid w:val="00A829A1"/>
    <w:rsid w:val="00A8313F"/>
    <w:rsid w:val="00A83728"/>
    <w:rsid w:val="00A843F8"/>
    <w:rsid w:val="00A85477"/>
    <w:rsid w:val="00A8758A"/>
    <w:rsid w:val="00A91C6E"/>
    <w:rsid w:val="00A94966"/>
    <w:rsid w:val="00A9578E"/>
    <w:rsid w:val="00AA4492"/>
    <w:rsid w:val="00AA4851"/>
    <w:rsid w:val="00AA4AF2"/>
    <w:rsid w:val="00AA66A9"/>
    <w:rsid w:val="00AA6B93"/>
    <w:rsid w:val="00AB0159"/>
    <w:rsid w:val="00AB111B"/>
    <w:rsid w:val="00AB1483"/>
    <w:rsid w:val="00AB2295"/>
    <w:rsid w:val="00AB23B3"/>
    <w:rsid w:val="00AB3A98"/>
    <w:rsid w:val="00AB4BFA"/>
    <w:rsid w:val="00AB76A2"/>
    <w:rsid w:val="00AB7844"/>
    <w:rsid w:val="00AC19CD"/>
    <w:rsid w:val="00AC2FBD"/>
    <w:rsid w:val="00AC5793"/>
    <w:rsid w:val="00AC6A28"/>
    <w:rsid w:val="00AD0318"/>
    <w:rsid w:val="00AD0E99"/>
    <w:rsid w:val="00AD1CBC"/>
    <w:rsid w:val="00AD3921"/>
    <w:rsid w:val="00AD3D31"/>
    <w:rsid w:val="00AD67BD"/>
    <w:rsid w:val="00AD6DE1"/>
    <w:rsid w:val="00AE157C"/>
    <w:rsid w:val="00AE219D"/>
    <w:rsid w:val="00AE3047"/>
    <w:rsid w:val="00AE4E5A"/>
    <w:rsid w:val="00AE5C8F"/>
    <w:rsid w:val="00AE6A5E"/>
    <w:rsid w:val="00AF0C60"/>
    <w:rsid w:val="00AF3586"/>
    <w:rsid w:val="00AF3DC2"/>
    <w:rsid w:val="00AF4800"/>
    <w:rsid w:val="00AF4B73"/>
    <w:rsid w:val="00AF57FA"/>
    <w:rsid w:val="00B03294"/>
    <w:rsid w:val="00B038A0"/>
    <w:rsid w:val="00B04736"/>
    <w:rsid w:val="00B060EE"/>
    <w:rsid w:val="00B100B3"/>
    <w:rsid w:val="00B102AA"/>
    <w:rsid w:val="00B12E2B"/>
    <w:rsid w:val="00B13BB1"/>
    <w:rsid w:val="00B16ACE"/>
    <w:rsid w:val="00B17DFC"/>
    <w:rsid w:val="00B21274"/>
    <w:rsid w:val="00B21D9A"/>
    <w:rsid w:val="00B22FE8"/>
    <w:rsid w:val="00B2573D"/>
    <w:rsid w:val="00B30E82"/>
    <w:rsid w:val="00B3190F"/>
    <w:rsid w:val="00B31A3F"/>
    <w:rsid w:val="00B352C4"/>
    <w:rsid w:val="00B3651A"/>
    <w:rsid w:val="00B36B7C"/>
    <w:rsid w:val="00B36C55"/>
    <w:rsid w:val="00B373A8"/>
    <w:rsid w:val="00B40370"/>
    <w:rsid w:val="00B408ED"/>
    <w:rsid w:val="00B432A3"/>
    <w:rsid w:val="00B478D4"/>
    <w:rsid w:val="00B47DD5"/>
    <w:rsid w:val="00B51431"/>
    <w:rsid w:val="00B52C20"/>
    <w:rsid w:val="00B53B3B"/>
    <w:rsid w:val="00B53DB3"/>
    <w:rsid w:val="00B547D9"/>
    <w:rsid w:val="00B5541D"/>
    <w:rsid w:val="00B55812"/>
    <w:rsid w:val="00B55D03"/>
    <w:rsid w:val="00B55D68"/>
    <w:rsid w:val="00B5609A"/>
    <w:rsid w:val="00B603E8"/>
    <w:rsid w:val="00B6107B"/>
    <w:rsid w:val="00B61119"/>
    <w:rsid w:val="00B62AD3"/>
    <w:rsid w:val="00B63F4C"/>
    <w:rsid w:val="00B64830"/>
    <w:rsid w:val="00B66237"/>
    <w:rsid w:val="00B66931"/>
    <w:rsid w:val="00B671CA"/>
    <w:rsid w:val="00B7010D"/>
    <w:rsid w:val="00B7390E"/>
    <w:rsid w:val="00B73E9A"/>
    <w:rsid w:val="00B74EF8"/>
    <w:rsid w:val="00B751DF"/>
    <w:rsid w:val="00B7682C"/>
    <w:rsid w:val="00B7689E"/>
    <w:rsid w:val="00B81B0B"/>
    <w:rsid w:val="00B828F1"/>
    <w:rsid w:val="00B8340E"/>
    <w:rsid w:val="00B83C31"/>
    <w:rsid w:val="00B8445C"/>
    <w:rsid w:val="00B85898"/>
    <w:rsid w:val="00B900F8"/>
    <w:rsid w:val="00B92D5C"/>
    <w:rsid w:val="00B94146"/>
    <w:rsid w:val="00B96411"/>
    <w:rsid w:val="00BA03D6"/>
    <w:rsid w:val="00BA05ED"/>
    <w:rsid w:val="00BA0CB7"/>
    <w:rsid w:val="00BA27FE"/>
    <w:rsid w:val="00BA2D99"/>
    <w:rsid w:val="00BA3C67"/>
    <w:rsid w:val="00BA4FF4"/>
    <w:rsid w:val="00BA6661"/>
    <w:rsid w:val="00BB006F"/>
    <w:rsid w:val="00BB00DA"/>
    <w:rsid w:val="00BB03B8"/>
    <w:rsid w:val="00BB0B91"/>
    <w:rsid w:val="00BB2BB5"/>
    <w:rsid w:val="00BB49FF"/>
    <w:rsid w:val="00BB4EA0"/>
    <w:rsid w:val="00BB58C9"/>
    <w:rsid w:val="00BB5D40"/>
    <w:rsid w:val="00BB5ED4"/>
    <w:rsid w:val="00BB66B8"/>
    <w:rsid w:val="00BB7CA4"/>
    <w:rsid w:val="00BC0C64"/>
    <w:rsid w:val="00BC20D7"/>
    <w:rsid w:val="00BC3C2A"/>
    <w:rsid w:val="00BC4898"/>
    <w:rsid w:val="00BC5365"/>
    <w:rsid w:val="00BC56EF"/>
    <w:rsid w:val="00BC63FF"/>
    <w:rsid w:val="00BC79A3"/>
    <w:rsid w:val="00BD1A5C"/>
    <w:rsid w:val="00BD2561"/>
    <w:rsid w:val="00BD359C"/>
    <w:rsid w:val="00BD3A2A"/>
    <w:rsid w:val="00BD4A38"/>
    <w:rsid w:val="00BD4D37"/>
    <w:rsid w:val="00BD751D"/>
    <w:rsid w:val="00BD7835"/>
    <w:rsid w:val="00BE097F"/>
    <w:rsid w:val="00BE1984"/>
    <w:rsid w:val="00BE28D7"/>
    <w:rsid w:val="00BE2CDC"/>
    <w:rsid w:val="00BE2EF3"/>
    <w:rsid w:val="00BE3A9B"/>
    <w:rsid w:val="00BE50A3"/>
    <w:rsid w:val="00BE630E"/>
    <w:rsid w:val="00BE7979"/>
    <w:rsid w:val="00BF106B"/>
    <w:rsid w:val="00BF4C1D"/>
    <w:rsid w:val="00BF54EA"/>
    <w:rsid w:val="00C013D3"/>
    <w:rsid w:val="00C0224E"/>
    <w:rsid w:val="00C02B94"/>
    <w:rsid w:val="00C0460F"/>
    <w:rsid w:val="00C051F3"/>
    <w:rsid w:val="00C06C01"/>
    <w:rsid w:val="00C10CFB"/>
    <w:rsid w:val="00C11433"/>
    <w:rsid w:val="00C1433E"/>
    <w:rsid w:val="00C1484B"/>
    <w:rsid w:val="00C15B66"/>
    <w:rsid w:val="00C1611B"/>
    <w:rsid w:val="00C208AE"/>
    <w:rsid w:val="00C213B2"/>
    <w:rsid w:val="00C222A5"/>
    <w:rsid w:val="00C224CA"/>
    <w:rsid w:val="00C237B6"/>
    <w:rsid w:val="00C2443A"/>
    <w:rsid w:val="00C2585A"/>
    <w:rsid w:val="00C26037"/>
    <w:rsid w:val="00C266F3"/>
    <w:rsid w:val="00C31152"/>
    <w:rsid w:val="00C319AC"/>
    <w:rsid w:val="00C31FED"/>
    <w:rsid w:val="00C3372B"/>
    <w:rsid w:val="00C365C1"/>
    <w:rsid w:val="00C3789B"/>
    <w:rsid w:val="00C43328"/>
    <w:rsid w:val="00C452BF"/>
    <w:rsid w:val="00C4583D"/>
    <w:rsid w:val="00C4760A"/>
    <w:rsid w:val="00C50C09"/>
    <w:rsid w:val="00C5192E"/>
    <w:rsid w:val="00C546A6"/>
    <w:rsid w:val="00C54FBA"/>
    <w:rsid w:val="00C555E3"/>
    <w:rsid w:val="00C570FF"/>
    <w:rsid w:val="00C57E5A"/>
    <w:rsid w:val="00C61CCB"/>
    <w:rsid w:val="00C64115"/>
    <w:rsid w:val="00C64161"/>
    <w:rsid w:val="00C64F32"/>
    <w:rsid w:val="00C66E40"/>
    <w:rsid w:val="00C66F38"/>
    <w:rsid w:val="00C7170D"/>
    <w:rsid w:val="00C720D3"/>
    <w:rsid w:val="00C754F5"/>
    <w:rsid w:val="00C75AF9"/>
    <w:rsid w:val="00C76248"/>
    <w:rsid w:val="00C767FC"/>
    <w:rsid w:val="00C77D69"/>
    <w:rsid w:val="00C80689"/>
    <w:rsid w:val="00C816C0"/>
    <w:rsid w:val="00C82620"/>
    <w:rsid w:val="00C848F0"/>
    <w:rsid w:val="00C864F2"/>
    <w:rsid w:val="00C9049B"/>
    <w:rsid w:val="00C90F43"/>
    <w:rsid w:val="00C92186"/>
    <w:rsid w:val="00C92C7B"/>
    <w:rsid w:val="00C94074"/>
    <w:rsid w:val="00C94D5C"/>
    <w:rsid w:val="00C9745D"/>
    <w:rsid w:val="00CA0B44"/>
    <w:rsid w:val="00CA1386"/>
    <w:rsid w:val="00CA19F0"/>
    <w:rsid w:val="00CA23C0"/>
    <w:rsid w:val="00CA429D"/>
    <w:rsid w:val="00CA51AD"/>
    <w:rsid w:val="00CB1739"/>
    <w:rsid w:val="00CB2F15"/>
    <w:rsid w:val="00CB603B"/>
    <w:rsid w:val="00CC03CC"/>
    <w:rsid w:val="00CC18C2"/>
    <w:rsid w:val="00CC50CF"/>
    <w:rsid w:val="00CC6665"/>
    <w:rsid w:val="00CC6E1A"/>
    <w:rsid w:val="00CD0829"/>
    <w:rsid w:val="00CD0AE5"/>
    <w:rsid w:val="00CD2F24"/>
    <w:rsid w:val="00CD3A19"/>
    <w:rsid w:val="00CD5940"/>
    <w:rsid w:val="00CD62BF"/>
    <w:rsid w:val="00CD63ED"/>
    <w:rsid w:val="00CD6DCE"/>
    <w:rsid w:val="00CE2C6E"/>
    <w:rsid w:val="00CE2F18"/>
    <w:rsid w:val="00CE3F8C"/>
    <w:rsid w:val="00CE409D"/>
    <w:rsid w:val="00CE6EAB"/>
    <w:rsid w:val="00CE7366"/>
    <w:rsid w:val="00CF16AA"/>
    <w:rsid w:val="00CF180B"/>
    <w:rsid w:val="00CF2A22"/>
    <w:rsid w:val="00CF2B0B"/>
    <w:rsid w:val="00CF33D9"/>
    <w:rsid w:val="00CF47C0"/>
    <w:rsid w:val="00CF4E7F"/>
    <w:rsid w:val="00CF5B0B"/>
    <w:rsid w:val="00CF5BAC"/>
    <w:rsid w:val="00CF7D6D"/>
    <w:rsid w:val="00D0236F"/>
    <w:rsid w:val="00D03D9C"/>
    <w:rsid w:val="00D042B0"/>
    <w:rsid w:val="00D076F9"/>
    <w:rsid w:val="00D079E1"/>
    <w:rsid w:val="00D10C05"/>
    <w:rsid w:val="00D114D9"/>
    <w:rsid w:val="00D11DE4"/>
    <w:rsid w:val="00D14263"/>
    <w:rsid w:val="00D14276"/>
    <w:rsid w:val="00D14D04"/>
    <w:rsid w:val="00D151F0"/>
    <w:rsid w:val="00D15278"/>
    <w:rsid w:val="00D1694D"/>
    <w:rsid w:val="00D209B1"/>
    <w:rsid w:val="00D20A5C"/>
    <w:rsid w:val="00D239E0"/>
    <w:rsid w:val="00D264FC"/>
    <w:rsid w:val="00D2659A"/>
    <w:rsid w:val="00D2783E"/>
    <w:rsid w:val="00D32178"/>
    <w:rsid w:val="00D32313"/>
    <w:rsid w:val="00D348B0"/>
    <w:rsid w:val="00D3599B"/>
    <w:rsid w:val="00D3651D"/>
    <w:rsid w:val="00D37ED3"/>
    <w:rsid w:val="00D405E3"/>
    <w:rsid w:val="00D44EB0"/>
    <w:rsid w:val="00D44EF5"/>
    <w:rsid w:val="00D450DD"/>
    <w:rsid w:val="00D45D8D"/>
    <w:rsid w:val="00D466C6"/>
    <w:rsid w:val="00D46A30"/>
    <w:rsid w:val="00D52F71"/>
    <w:rsid w:val="00D536EF"/>
    <w:rsid w:val="00D53E6A"/>
    <w:rsid w:val="00D54634"/>
    <w:rsid w:val="00D563AC"/>
    <w:rsid w:val="00D5658E"/>
    <w:rsid w:val="00D568A2"/>
    <w:rsid w:val="00D57254"/>
    <w:rsid w:val="00D5728E"/>
    <w:rsid w:val="00D600BF"/>
    <w:rsid w:val="00D62FEB"/>
    <w:rsid w:val="00D631BA"/>
    <w:rsid w:val="00D64D42"/>
    <w:rsid w:val="00D6547A"/>
    <w:rsid w:val="00D662CD"/>
    <w:rsid w:val="00D665FA"/>
    <w:rsid w:val="00D67BFA"/>
    <w:rsid w:val="00D724A5"/>
    <w:rsid w:val="00D80917"/>
    <w:rsid w:val="00D85F29"/>
    <w:rsid w:val="00D86C03"/>
    <w:rsid w:val="00D86CB3"/>
    <w:rsid w:val="00D87ABE"/>
    <w:rsid w:val="00D9358C"/>
    <w:rsid w:val="00D94F20"/>
    <w:rsid w:val="00D97490"/>
    <w:rsid w:val="00DA0EAD"/>
    <w:rsid w:val="00DA20F2"/>
    <w:rsid w:val="00DA2186"/>
    <w:rsid w:val="00DA2280"/>
    <w:rsid w:val="00DA4D68"/>
    <w:rsid w:val="00DA6844"/>
    <w:rsid w:val="00DA78E3"/>
    <w:rsid w:val="00DB03F8"/>
    <w:rsid w:val="00DB23C0"/>
    <w:rsid w:val="00DB2DEF"/>
    <w:rsid w:val="00DB3BA6"/>
    <w:rsid w:val="00DB7C99"/>
    <w:rsid w:val="00DC2AA8"/>
    <w:rsid w:val="00DC5B0B"/>
    <w:rsid w:val="00DC66B6"/>
    <w:rsid w:val="00DC69D6"/>
    <w:rsid w:val="00DD1937"/>
    <w:rsid w:val="00DD2546"/>
    <w:rsid w:val="00DD4FA9"/>
    <w:rsid w:val="00DD57A1"/>
    <w:rsid w:val="00DD5D50"/>
    <w:rsid w:val="00DD6156"/>
    <w:rsid w:val="00DD6957"/>
    <w:rsid w:val="00DD7423"/>
    <w:rsid w:val="00DD7556"/>
    <w:rsid w:val="00DE00FC"/>
    <w:rsid w:val="00DE0B8B"/>
    <w:rsid w:val="00DE0CCB"/>
    <w:rsid w:val="00DE0D45"/>
    <w:rsid w:val="00DE1D1F"/>
    <w:rsid w:val="00DE1EC2"/>
    <w:rsid w:val="00DE29D0"/>
    <w:rsid w:val="00DE340C"/>
    <w:rsid w:val="00DE3A12"/>
    <w:rsid w:val="00DE40A8"/>
    <w:rsid w:val="00DE44D7"/>
    <w:rsid w:val="00DE5E1B"/>
    <w:rsid w:val="00DE72D1"/>
    <w:rsid w:val="00DE7BB8"/>
    <w:rsid w:val="00DF1C0D"/>
    <w:rsid w:val="00DF444E"/>
    <w:rsid w:val="00DF48DC"/>
    <w:rsid w:val="00DF4E96"/>
    <w:rsid w:val="00DF6085"/>
    <w:rsid w:val="00E003BE"/>
    <w:rsid w:val="00E00A32"/>
    <w:rsid w:val="00E0356A"/>
    <w:rsid w:val="00E04692"/>
    <w:rsid w:val="00E07017"/>
    <w:rsid w:val="00E0735F"/>
    <w:rsid w:val="00E07FDD"/>
    <w:rsid w:val="00E108BE"/>
    <w:rsid w:val="00E10C42"/>
    <w:rsid w:val="00E12320"/>
    <w:rsid w:val="00E123FA"/>
    <w:rsid w:val="00E12CA1"/>
    <w:rsid w:val="00E13F24"/>
    <w:rsid w:val="00E15377"/>
    <w:rsid w:val="00E1541D"/>
    <w:rsid w:val="00E2144F"/>
    <w:rsid w:val="00E2196F"/>
    <w:rsid w:val="00E2284B"/>
    <w:rsid w:val="00E23253"/>
    <w:rsid w:val="00E25160"/>
    <w:rsid w:val="00E278D8"/>
    <w:rsid w:val="00E27E12"/>
    <w:rsid w:val="00E30DDD"/>
    <w:rsid w:val="00E32CBF"/>
    <w:rsid w:val="00E3374B"/>
    <w:rsid w:val="00E35D16"/>
    <w:rsid w:val="00E36784"/>
    <w:rsid w:val="00E36F08"/>
    <w:rsid w:val="00E400D3"/>
    <w:rsid w:val="00E411C7"/>
    <w:rsid w:val="00E42177"/>
    <w:rsid w:val="00E42C8D"/>
    <w:rsid w:val="00E439B3"/>
    <w:rsid w:val="00E45B77"/>
    <w:rsid w:val="00E461A1"/>
    <w:rsid w:val="00E464ED"/>
    <w:rsid w:val="00E46596"/>
    <w:rsid w:val="00E46869"/>
    <w:rsid w:val="00E46923"/>
    <w:rsid w:val="00E51A63"/>
    <w:rsid w:val="00E52DE2"/>
    <w:rsid w:val="00E552D0"/>
    <w:rsid w:val="00E5589F"/>
    <w:rsid w:val="00E55E85"/>
    <w:rsid w:val="00E6010B"/>
    <w:rsid w:val="00E60E5D"/>
    <w:rsid w:val="00E61467"/>
    <w:rsid w:val="00E627F9"/>
    <w:rsid w:val="00E63F5E"/>
    <w:rsid w:val="00E71B84"/>
    <w:rsid w:val="00E74379"/>
    <w:rsid w:val="00E745D8"/>
    <w:rsid w:val="00E75AB8"/>
    <w:rsid w:val="00E7623B"/>
    <w:rsid w:val="00E777A7"/>
    <w:rsid w:val="00E77DFE"/>
    <w:rsid w:val="00E81FDC"/>
    <w:rsid w:val="00E827F6"/>
    <w:rsid w:val="00E82940"/>
    <w:rsid w:val="00E84F8E"/>
    <w:rsid w:val="00E85EE4"/>
    <w:rsid w:val="00E86D82"/>
    <w:rsid w:val="00E917EC"/>
    <w:rsid w:val="00E91825"/>
    <w:rsid w:val="00E93236"/>
    <w:rsid w:val="00E944AD"/>
    <w:rsid w:val="00E95EF0"/>
    <w:rsid w:val="00E97F7E"/>
    <w:rsid w:val="00EA4A19"/>
    <w:rsid w:val="00EA4D06"/>
    <w:rsid w:val="00EA4FDE"/>
    <w:rsid w:val="00EA5404"/>
    <w:rsid w:val="00EA59BC"/>
    <w:rsid w:val="00EA7465"/>
    <w:rsid w:val="00EB00C2"/>
    <w:rsid w:val="00EB06DF"/>
    <w:rsid w:val="00EB1092"/>
    <w:rsid w:val="00EB20DA"/>
    <w:rsid w:val="00EB68C2"/>
    <w:rsid w:val="00EB7371"/>
    <w:rsid w:val="00EC001C"/>
    <w:rsid w:val="00EC0944"/>
    <w:rsid w:val="00EC1596"/>
    <w:rsid w:val="00EC226C"/>
    <w:rsid w:val="00EC3827"/>
    <w:rsid w:val="00EC79CC"/>
    <w:rsid w:val="00ED1E37"/>
    <w:rsid w:val="00ED4E00"/>
    <w:rsid w:val="00ED7B47"/>
    <w:rsid w:val="00EE0346"/>
    <w:rsid w:val="00EE131C"/>
    <w:rsid w:val="00EE2185"/>
    <w:rsid w:val="00EE37BB"/>
    <w:rsid w:val="00EE4A11"/>
    <w:rsid w:val="00EF1DAE"/>
    <w:rsid w:val="00EF4464"/>
    <w:rsid w:val="00EF4B5B"/>
    <w:rsid w:val="00EF5112"/>
    <w:rsid w:val="00F009B6"/>
    <w:rsid w:val="00F04CCF"/>
    <w:rsid w:val="00F05266"/>
    <w:rsid w:val="00F07C59"/>
    <w:rsid w:val="00F1066D"/>
    <w:rsid w:val="00F11134"/>
    <w:rsid w:val="00F11FF1"/>
    <w:rsid w:val="00F13588"/>
    <w:rsid w:val="00F13C69"/>
    <w:rsid w:val="00F1419F"/>
    <w:rsid w:val="00F14B56"/>
    <w:rsid w:val="00F14D4C"/>
    <w:rsid w:val="00F16294"/>
    <w:rsid w:val="00F16AD9"/>
    <w:rsid w:val="00F1768B"/>
    <w:rsid w:val="00F201E2"/>
    <w:rsid w:val="00F20D9D"/>
    <w:rsid w:val="00F23441"/>
    <w:rsid w:val="00F23B52"/>
    <w:rsid w:val="00F27CAC"/>
    <w:rsid w:val="00F33B47"/>
    <w:rsid w:val="00F34BEB"/>
    <w:rsid w:val="00F44629"/>
    <w:rsid w:val="00F4797D"/>
    <w:rsid w:val="00F47A15"/>
    <w:rsid w:val="00F526BA"/>
    <w:rsid w:val="00F53C54"/>
    <w:rsid w:val="00F548DD"/>
    <w:rsid w:val="00F551FE"/>
    <w:rsid w:val="00F5697F"/>
    <w:rsid w:val="00F576F2"/>
    <w:rsid w:val="00F57AB2"/>
    <w:rsid w:val="00F605DF"/>
    <w:rsid w:val="00F606AC"/>
    <w:rsid w:val="00F60B31"/>
    <w:rsid w:val="00F64DFF"/>
    <w:rsid w:val="00F65C58"/>
    <w:rsid w:val="00F712EB"/>
    <w:rsid w:val="00F71D2D"/>
    <w:rsid w:val="00F720BE"/>
    <w:rsid w:val="00F727A1"/>
    <w:rsid w:val="00F729E7"/>
    <w:rsid w:val="00F74B3B"/>
    <w:rsid w:val="00F74ED4"/>
    <w:rsid w:val="00F753F9"/>
    <w:rsid w:val="00F75607"/>
    <w:rsid w:val="00F81047"/>
    <w:rsid w:val="00F82548"/>
    <w:rsid w:val="00F8551A"/>
    <w:rsid w:val="00F856E1"/>
    <w:rsid w:val="00F85D0D"/>
    <w:rsid w:val="00F905A7"/>
    <w:rsid w:val="00F910E3"/>
    <w:rsid w:val="00F91499"/>
    <w:rsid w:val="00F9283C"/>
    <w:rsid w:val="00F935B7"/>
    <w:rsid w:val="00FA06FD"/>
    <w:rsid w:val="00FA1177"/>
    <w:rsid w:val="00FA1289"/>
    <w:rsid w:val="00FA2089"/>
    <w:rsid w:val="00FA226A"/>
    <w:rsid w:val="00FA3CE2"/>
    <w:rsid w:val="00FA7F1A"/>
    <w:rsid w:val="00FB0605"/>
    <w:rsid w:val="00FB3510"/>
    <w:rsid w:val="00FB45BE"/>
    <w:rsid w:val="00FB57F3"/>
    <w:rsid w:val="00FB5807"/>
    <w:rsid w:val="00FB5F3B"/>
    <w:rsid w:val="00FC11FC"/>
    <w:rsid w:val="00FC4B93"/>
    <w:rsid w:val="00FC4EF2"/>
    <w:rsid w:val="00FC550D"/>
    <w:rsid w:val="00FD1E07"/>
    <w:rsid w:val="00FD26AB"/>
    <w:rsid w:val="00FD28EA"/>
    <w:rsid w:val="00FD6096"/>
    <w:rsid w:val="00FE04BA"/>
    <w:rsid w:val="00FE0BEB"/>
    <w:rsid w:val="00FE461B"/>
    <w:rsid w:val="00FE6BA9"/>
    <w:rsid w:val="00FF2490"/>
    <w:rsid w:val="00FF3AD8"/>
    <w:rsid w:val="00FF3F5D"/>
    <w:rsid w:val="00FF5F0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1CB6C1"/>
  <w15:chartTrackingRefBased/>
  <w15:docId w15:val="{44EFBB5A-856E-48AA-BD76-7ED9453FC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F4C"/>
    <w:pPr>
      <w:widowControl w:val="0"/>
      <w:autoSpaceDE w:val="0"/>
      <w:autoSpaceDN w:val="0"/>
      <w:spacing w:after="0" w:line="240" w:lineRule="auto"/>
    </w:pPr>
    <w:rPr>
      <w:rFonts w:ascii="Times New Roman" w:eastAsia="Times New Roman" w:hAnsi="Times New Roman" w:cs="Times New Roman"/>
      <w:kern w:val="0"/>
      <w:sz w:val="22"/>
      <w:szCs w:val="22"/>
      <w:lang w:eastAsia="en-US"/>
      <w14:ligatures w14:val="none"/>
    </w:rPr>
  </w:style>
  <w:style w:type="paragraph" w:styleId="Heading1">
    <w:name w:val="heading 1"/>
    <w:basedOn w:val="Normal"/>
    <w:next w:val="Normal"/>
    <w:link w:val="Heading1Char"/>
    <w:uiPriority w:val="9"/>
    <w:qFormat/>
    <w:rsid w:val="00D365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365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65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65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65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651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651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651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651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5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365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65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65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65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65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65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65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651D"/>
    <w:rPr>
      <w:rFonts w:eastAsiaTheme="majorEastAsia" w:cstheme="majorBidi"/>
      <w:color w:val="272727" w:themeColor="text1" w:themeTint="D8"/>
    </w:rPr>
  </w:style>
  <w:style w:type="paragraph" w:styleId="Title">
    <w:name w:val="Title"/>
    <w:basedOn w:val="Normal"/>
    <w:next w:val="Normal"/>
    <w:link w:val="TitleChar"/>
    <w:uiPriority w:val="10"/>
    <w:qFormat/>
    <w:rsid w:val="00D3651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65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65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65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651D"/>
    <w:pPr>
      <w:spacing w:before="160"/>
      <w:jc w:val="center"/>
    </w:pPr>
    <w:rPr>
      <w:i/>
      <w:iCs/>
      <w:color w:val="404040" w:themeColor="text1" w:themeTint="BF"/>
    </w:rPr>
  </w:style>
  <w:style w:type="character" w:customStyle="1" w:styleId="QuoteChar">
    <w:name w:val="Quote Char"/>
    <w:basedOn w:val="DefaultParagraphFont"/>
    <w:link w:val="Quote"/>
    <w:uiPriority w:val="29"/>
    <w:rsid w:val="00D3651D"/>
    <w:rPr>
      <w:i/>
      <w:iCs/>
      <w:color w:val="404040" w:themeColor="text1" w:themeTint="BF"/>
    </w:rPr>
  </w:style>
  <w:style w:type="paragraph" w:styleId="ListParagraph">
    <w:name w:val="List Paragraph"/>
    <w:basedOn w:val="Normal"/>
    <w:uiPriority w:val="1"/>
    <w:qFormat/>
    <w:rsid w:val="00D3651D"/>
    <w:pPr>
      <w:ind w:left="720"/>
      <w:contextualSpacing/>
    </w:pPr>
  </w:style>
  <w:style w:type="character" w:styleId="IntenseEmphasis">
    <w:name w:val="Intense Emphasis"/>
    <w:basedOn w:val="DefaultParagraphFont"/>
    <w:uiPriority w:val="21"/>
    <w:qFormat/>
    <w:rsid w:val="00D3651D"/>
    <w:rPr>
      <w:i/>
      <w:iCs/>
      <w:color w:val="0F4761" w:themeColor="accent1" w:themeShade="BF"/>
    </w:rPr>
  </w:style>
  <w:style w:type="paragraph" w:styleId="IntenseQuote">
    <w:name w:val="Intense Quote"/>
    <w:basedOn w:val="Normal"/>
    <w:next w:val="Normal"/>
    <w:link w:val="IntenseQuoteChar"/>
    <w:uiPriority w:val="30"/>
    <w:qFormat/>
    <w:rsid w:val="00D365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651D"/>
    <w:rPr>
      <w:i/>
      <w:iCs/>
      <w:color w:val="0F4761" w:themeColor="accent1" w:themeShade="BF"/>
    </w:rPr>
  </w:style>
  <w:style w:type="character" w:styleId="IntenseReference">
    <w:name w:val="Intense Reference"/>
    <w:basedOn w:val="DefaultParagraphFont"/>
    <w:uiPriority w:val="32"/>
    <w:qFormat/>
    <w:rsid w:val="00D3651D"/>
    <w:rPr>
      <w:b/>
      <w:bCs/>
      <w:smallCaps/>
      <w:color w:val="0F4761" w:themeColor="accent1" w:themeShade="BF"/>
      <w:spacing w:val="5"/>
    </w:rPr>
  </w:style>
  <w:style w:type="paragraph" w:styleId="BodyText">
    <w:name w:val="Body Text"/>
    <w:basedOn w:val="Normal"/>
    <w:link w:val="BodyTextChar"/>
    <w:uiPriority w:val="1"/>
    <w:qFormat/>
    <w:rsid w:val="00D3651D"/>
    <w:pPr>
      <w:ind w:left="117"/>
    </w:pPr>
    <w:rPr>
      <w:sz w:val="24"/>
      <w:szCs w:val="24"/>
    </w:rPr>
  </w:style>
  <w:style w:type="character" w:customStyle="1" w:styleId="BodyTextChar">
    <w:name w:val="Body Text Char"/>
    <w:basedOn w:val="DefaultParagraphFont"/>
    <w:link w:val="BodyText"/>
    <w:uiPriority w:val="1"/>
    <w:rsid w:val="00D3651D"/>
    <w:rPr>
      <w:rFonts w:ascii="Times New Roman" w:eastAsia="Times New Roman" w:hAnsi="Times New Roman" w:cs="Times New Roman"/>
      <w:kern w:val="0"/>
      <w:lang w:eastAsia="en-US"/>
      <w14:ligatures w14:val="none"/>
    </w:rPr>
  </w:style>
  <w:style w:type="paragraph" w:styleId="FootnoteText">
    <w:name w:val="footnote text"/>
    <w:basedOn w:val="Normal"/>
    <w:link w:val="FootnoteTextChar"/>
    <w:uiPriority w:val="99"/>
    <w:semiHidden/>
    <w:unhideWhenUsed/>
    <w:rsid w:val="00D3651D"/>
    <w:rPr>
      <w:sz w:val="20"/>
      <w:szCs w:val="20"/>
    </w:rPr>
  </w:style>
  <w:style w:type="character" w:customStyle="1" w:styleId="FootnoteTextChar">
    <w:name w:val="Footnote Text Char"/>
    <w:basedOn w:val="DefaultParagraphFont"/>
    <w:link w:val="FootnoteText"/>
    <w:uiPriority w:val="99"/>
    <w:semiHidden/>
    <w:rsid w:val="00D3651D"/>
    <w:rPr>
      <w:rFonts w:ascii="Times New Roman" w:eastAsia="Times New Roman" w:hAnsi="Times New Roman" w:cs="Times New Roman"/>
      <w:kern w:val="0"/>
      <w:sz w:val="20"/>
      <w:szCs w:val="20"/>
      <w:lang w:eastAsia="en-US"/>
      <w14:ligatures w14:val="none"/>
    </w:rPr>
  </w:style>
  <w:style w:type="character" w:styleId="FootnoteReference">
    <w:name w:val="footnote reference"/>
    <w:basedOn w:val="DefaultParagraphFont"/>
    <w:uiPriority w:val="99"/>
    <w:semiHidden/>
    <w:unhideWhenUsed/>
    <w:rsid w:val="00D3651D"/>
    <w:rPr>
      <w:vertAlign w:val="superscript"/>
    </w:rPr>
  </w:style>
  <w:style w:type="character" w:styleId="CommentReference">
    <w:name w:val="annotation reference"/>
    <w:basedOn w:val="DefaultParagraphFont"/>
    <w:uiPriority w:val="99"/>
    <w:semiHidden/>
    <w:unhideWhenUsed/>
    <w:rsid w:val="00D3651D"/>
    <w:rPr>
      <w:sz w:val="16"/>
      <w:szCs w:val="16"/>
    </w:rPr>
  </w:style>
  <w:style w:type="paragraph" w:styleId="CommentText">
    <w:name w:val="annotation text"/>
    <w:basedOn w:val="Normal"/>
    <w:link w:val="CommentTextChar"/>
    <w:uiPriority w:val="99"/>
    <w:unhideWhenUsed/>
    <w:rsid w:val="00D3651D"/>
    <w:rPr>
      <w:sz w:val="20"/>
      <w:szCs w:val="20"/>
    </w:rPr>
  </w:style>
  <w:style w:type="character" w:customStyle="1" w:styleId="CommentTextChar">
    <w:name w:val="Comment Text Char"/>
    <w:basedOn w:val="DefaultParagraphFont"/>
    <w:link w:val="CommentText"/>
    <w:uiPriority w:val="99"/>
    <w:rsid w:val="00D3651D"/>
    <w:rPr>
      <w:rFonts w:ascii="Times New Roman" w:eastAsia="Times New Roman" w:hAnsi="Times New Roman" w:cs="Times New Roman"/>
      <w:kern w:val="0"/>
      <w:sz w:val="20"/>
      <w:szCs w:val="20"/>
      <w:lang w:eastAsia="en-US"/>
      <w14:ligatures w14:val="none"/>
    </w:rPr>
  </w:style>
  <w:style w:type="character" w:styleId="Hyperlink">
    <w:name w:val="Hyperlink"/>
    <w:basedOn w:val="DefaultParagraphFont"/>
    <w:uiPriority w:val="99"/>
    <w:unhideWhenUsed/>
    <w:rsid w:val="0072734B"/>
    <w:rPr>
      <w:color w:val="467886" w:themeColor="hyperlink"/>
      <w:u w:val="single"/>
    </w:rPr>
  </w:style>
  <w:style w:type="character" w:styleId="UnresolvedMention">
    <w:name w:val="Unresolved Mention"/>
    <w:basedOn w:val="DefaultParagraphFont"/>
    <w:uiPriority w:val="99"/>
    <w:semiHidden/>
    <w:unhideWhenUsed/>
    <w:rsid w:val="0072734B"/>
    <w:rPr>
      <w:color w:val="605E5C"/>
      <w:shd w:val="clear" w:color="auto" w:fill="E1DFDD"/>
    </w:rPr>
  </w:style>
  <w:style w:type="paragraph" w:styleId="NormalWeb">
    <w:name w:val="Normal (Web)"/>
    <w:basedOn w:val="Normal"/>
    <w:uiPriority w:val="99"/>
    <w:unhideWhenUsed/>
    <w:rsid w:val="00F57AB2"/>
    <w:pPr>
      <w:widowControl/>
      <w:autoSpaceDE/>
      <w:autoSpaceDN/>
      <w:spacing w:before="100" w:beforeAutospacing="1" w:after="100" w:afterAutospacing="1"/>
    </w:pPr>
    <w:rPr>
      <w:sz w:val="24"/>
      <w:szCs w:val="24"/>
      <w:lang w:eastAsia="zh-CN"/>
    </w:rPr>
  </w:style>
  <w:style w:type="table" w:styleId="TableGrid">
    <w:name w:val="Table Grid"/>
    <w:basedOn w:val="TableNormal"/>
    <w:uiPriority w:val="39"/>
    <w:rsid w:val="003B35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D184F"/>
    <w:rPr>
      <w:color w:val="666666"/>
    </w:rPr>
  </w:style>
  <w:style w:type="character" w:styleId="FollowedHyperlink">
    <w:name w:val="FollowedHyperlink"/>
    <w:basedOn w:val="DefaultParagraphFont"/>
    <w:uiPriority w:val="99"/>
    <w:semiHidden/>
    <w:unhideWhenUsed/>
    <w:rsid w:val="008737AA"/>
    <w:rPr>
      <w:color w:val="96607D" w:themeColor="followedHyperlink"/>
      <w:u w:val="single"/>
    </w:rPr>
  </w:style>
  <w:style w:type="paragraph" w:styleId="Bibliography">
    <w:name w:val="Bibliography"/>
    <w:basedOn w:val="Normal"/>
    <w:next w:val="Normal"/>
    <w:uiPriority w:val="37"/>
    <w:unhideWhenUsed/>
    <w:rsid w:val="00D536EF"/>
    <w:pPr>
      <w:tabs>
        <w:tab w:val="left" w:pos="260"/>
        <w:tab w:val="left" w:pos="380"/>
      </w:tabs>
      <w:ind w:left="384" w:hanging="384"/>
    </w:pPr>
  </w:style>
  <w:style w:type="character" w:styleId="LineNumber">
    <w:name w:val="line number"/>
    <w:basedOn w:val="DefaultParagraphFont"/>
    <w:uiPriority w:val="99"/>
    <w:semiHidden/>
    <w:unhideWhenUsed/>
    <w:rsid w:val="00433641"/>
  </w:style>
  <w:style w:type="paragraph" w:styleId="CommentSubject">
    <w:name w:val="annotation subject"/>
    <w:basedOn w:val="CommentText"/>
    <w:next w:val="CommentText"/>
    <w:link w:val="CommentSubjectChar"/>
    <w:uiPriority w:val="99"/>
    <w:semiHidden/>
    <w:unhideWhenUsed/>
    <w:rsid w:val="00A26F7E"/>
    <w:rPr>
      <w:b/>
      <w:bCs/>
    </w:rPr>
  </w:style>
  <w:style w:type="character" w:customStyle="1" w:styleId="CommentSubjectChar">
    <w:name w:val="Comment Subject Char"/>
    <w:basedOn w:val="CommentTextChar"/>
    <w:link w:val="CommentSubject"/>
    <w:uiPriority w:val="99"/>
    <w:semiHidden/>
    <w:rsid w:val="00A26F7E"/>
    <w:rPr>
      <w:rFonts w:ascii="Times New Roman" w:eastAsia="Times New Roman" w:hAnsi="Times New Roman" w:cs="Times New Roman"/>
      <w:b/>
      <w:bCs/>
      <w:kern w:val="0"/>
      <w:sz w:val="20"/>
      <w:szCs w:val="20"/>
      <w:lang w:eastAsia="en-US"/>
      <w14:ligatures w14:val="none"/>
    </w:rPr>
  </w:style>
  <w:style w:type="paragraph" w:styleId="Revision">
    <w:name w:val="Revision"/>
    <w:hidden/>
    <w:uiPriority w:val="99"/>
    <w:semiHidden/>
    <w:rsid w:val="005C1BCD"/>
    <w:pPr>
      <w:spacing w:after="0" w:line="240" w:lineRule="auto"/>
    </w:pPr>
    <w:rPr>
      <w:rFonts w:ascii="Times New Roman" w:eastAsia="Times New Roman" w:hAnsi="Times New Roman" w:cs="Times New Roman"/>
      <w:kern w:val="0"/>
      <w:sz w:val="22"/>
      <w:szCs w:val="22"/>
      <w:lang w:eastAsia="en-US"/>
      <w14:ligatures w14:val="none"/>
    </w:rPr>
  </w:style>
  <w:style w:type="character" w:styleId="Strong">
    <w:name w:val="Strong"/>
    <w:basedOn w:val="DefaultParagraphFont"/>
    <w:uiPriority w:val="22"/>
    <w:qFormat/>
    <w:rsid w:val="003465FF"/>
    <w:rPr>
      <w:b/>
      <w:bCs/>
    </w:rPr>
  </w:style>
  <w:style w:type="character" w:customStyle="1" w:styleId="ui-provider">
    <w:name w:val="ui-provider"/>
    <w:basedOn w:val="DefaultParagraphFont"/>
    <w:rsid w:val="00F935B7"/>
  </w:style>
  <w:style w:type="paragraph" w:customStyle="1" w:styleId="pf0">
    <w:name w:val="pf0"/>
    <w:basedOn w:val="Normal"/>
    <w:rsid w:val="00063192"/>
    <w:pPr>
      <w:widowControl/>
      <w:autoSpaceDE/>
      <w:autoSpaceDN/>
      <w:spacing w:before="100" w:beforeAutospacing="1" w:after="100" w:afterAutospacing="1"/>
    </w:pPr>
    <w:rPr>
      <w:sz w:val="24"/>
      <w:szCs w:val="24"/>
      <w:lang w:eastAsia="ko-KR"/>
    </w:rPr>
  </w:style>
  <w:style w:type="character" w:customStyle="1" w:styleId="cf01">
    <w:name w:val="cf01"/>
    <w:basedOn w:val="DefaultParagraphFont"/>
    <w:rsid w:val="00063192"/>
    <w:rPr>
      <w:rFonts w:ascii="Segoe UI" w:hAnsi="Segoe UI" w:cs="Segoe UI" w:hint="default"/>
      <w:sz w:val="18"/>
      <w:szCs w:val="18"/>
    </w:rPr>
  </w:style>
  <w:style w:type="paragraph" w:styleId="Header">
    <w:name w:val="header"/>
    <w:basedOn w:val="Normal"/>
    <w:link w:val="HeaderChar"/>
    <w:uiPriority w:val="99"/>
    <w:unhideWhenUsed/>
    <w:rsid w:val="00445798"/>
    <w:pPr>
      <w:tabs>
        <w:tab w:val="center" w:pos="4680"/>
        <w:tab w:val="right" w:pos="9360"/>
      </w:tabs>
    </w:pPr>
  </w:style>
  <w:style w:type="character" w:customStyle="1" w:styleId="HeaderChar">
    <w:name w:val="Header Char"/>
    <w:basedOn w:val="DefaultParagraphFont"/>
    <w:link w:val="Header"/>
    <w:uiPriority w:val="99"/>
    <w:rsid w:val="00445798"/>
    <w:rPr>
      <w:rFonts w:ascii="Times New Roman" w:eastAsia="Times New Roman" w:hAnsi="Times New Roman" w:cs="Times New Roman"/>
      <w:kern w:val="0"/>
      <w:sz w:val="22"/>
      <w:szCs w:val="22"/>
      <w:lang w:eastAsia="en-US"/>
      <w14:ligatures w14:val="none"/>
    </w:rPr>
  </w:style>
  <w:style w:type="paragraph" w:styleId="Footer">
    <w:name w:val="footer"/>
    <w:basedOn w:val="Normal"/>
    <w:link w:val="FooterChar"/>
    <w:uiPriority w:val="99"/>
    <w:unhideWhenUsed/>
    <w:rsid w:val="00445798"/>
    <w:pPr>
      <w:tabs>
        <w:tab w:val="center" w:pos="4680"/>
        <w:tab w:val="right" w:pos="9360"/>
      </w:tabs>
    </w:pPr>
  </w:style>
  <w:style w:type="character" w:customStyle="1" w:styleId="FooterChar">
    <w:name w:val="Footer Char"/>
    <w:basedOn w:val="DefaultParagraphFont"/>
    <w:link w:val="Footer"/>
    <w:uiPriority w:val="99"/>
    <w:rsid w:val="00445798"/>
    <w:rPr>
      <w:rFonts w:ascii="Times New Roman" w:eastAsia="Times New Roman" w:hAnsi="Times New Roman" w:cs="Times New Roman"/>
      <w:kern w:val="0"/>
      <w:sz w:val="22"/>
      <w:szCs w:val="22"/>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098114">
      <w:bodyDiv w:val="1"/>
      <w:marLeft w:val="0"/>
      <w:marRight w:val="0"/>
      <w:marTop w:val="0"/>
      <w:marBottom w:val="0"/>
      <w:divBdr>
        <w:top w:val="none" w:sz="0" w:space="0" w:color="auto"/>
        <w:left w:val="none" w:sz="0" w:space="0" w:color="auto"/>
        <w:bottom w:val="none" w:sz="0" w:space="0" w:color="auto"/>
        <w:right w:val="none" w:sz="0" w:space="0" w:color="auto"/>
      </w:divBdr>
      <w:divsChild>
        <w:div w:id="1431731653">
          <w:marLeft w:val="446"/>
          <w:marRight w:val="0"/>
          <w:marTop w:val="0"/>
          <w:marBottom w:val="0"/>
          <w:divBdr>
            <w:top w:val="none" w:sz="0" w:space="0" w:color="auto"/>
            <w:left w:val="none" w:sz="0" w:space="0" w:color="auto"/>
            <w:bottom w:val="none" w:sz="0" w:space="0" w:color="auto"/>
            <w:right w:val="none" w:sz="0" w:space="0" w:color="auto"/>
          </w:divBdr>
        </w:div>
        <w:div w:id="1722510237">
          <w:marLeft w:val="446"/>
          <w:marRight w:val="0"/>
          <w:marTop w:val="0"/>
          <w:marBottom w:val="0"/>
          <w:divBdr>
            <w:top w:val="none" w:sz="0" w:space="0" w:color="auto"/>
            <w:left w:val="none" w:sz="0" w:space="0" w:color="auto"/>
            <w:bottom w:val="none" w:sz="0" w:space="0" w:color="auto"/>
            <w:right w:val="none" w:sz="0" w:space="0" w:color="auto"/>
          </w:divBdr>
        </w:div>
      </w:divsChild>
    </w:div>
    <w:div w:id="109401127">
      <w:bodyDiv w:val="1"/>
      <w:marLeft w:val="0"/>
      <w:marRight w:val="0"/>
      <w:marTop w:val="0"/>
      <w:marBottom w:val="0"/>
      <w:divBdr>
        <w:top w:val="none" w:sz="0" w:space="0" w:color="auto"/>
        <w:left w:val="none" w:sz="0" w:space="0" w:color="auto"/>
        <w:bottom w:val="none" w:sz="0" w:space="0" w:color="auto"/>
        <w:right w:val="none" w:sz="0" w:space="0" w:color="auto"/>
      </w:divBdr>
    </w:div>
    <w:div w:id="196621564">
      <w:bodyDiv w:val="1"/>
      <w:marLeft w:val="0"/>
      <w:marRight w:val="0"/>
      <w:marTop w:val="0"/>
      <w:marBottom w:val="0"/>
      <w:divBdr>
        <w:top w:val="none" w:sz="0" w:space="0" w:color="auto"/>
        <w:left w:val="none" w:sz="0" w:space="0" w:color="auto"/>
        <w:bottom w:val="none" w:sz="0" w:space="0" w:color="auto"/>
        <w:right w:val="none" w:sz="0" w:space="0" w:color="auto"/>
      </w:divBdr>
      <w:divsChild>
        <w:div w:id="1889300792">
          <w:marLeft w:val="0"/>
          <w:marRight w:val="0"/>
          <w:marTop w:val="0"/>
          <w:marBottom w:val="0"/>
          <w:divBdr>
            <w:top w:val="none" w:sz="0" w:space="0" w:color="auto"/>
            <w:left w:val="none" w:sz="0" w:space="0" w:color="auto"/>
            <w:bottom w:val="none" w:sz="0" w:space="0" w:color="auto"/>
            <w:right w:val="none" w:sz="0" w:space="0" w:color="auto"/>
          </w:divBdr>
          <w:divsChild>
            <w:div w:id="1713384734">
              <w:marLeft w:val="0"/>
              <w:marRight w:val="0"/>
              <w:marTop w:val="0"/>
              <w:marBottom w:val="0"/>
              <w:divBdr>
                <w:top w:val="none" w:sz="0" w:space="0" w:color="auto"/>
                <w:left w:val="none" w:sz="0" w:space="0" w:color="auto"/>
                <w:bottom w:val="none" w:sz="0" w:space="0" w:color="auto"/>
                <w:right w:val="none" w:sz="0" w:space="0" w:color="auto"/>
              </w:divBdr>
              <w:divsChild>
                <w:div w:id="137942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549676">
      <w:bodyDiv w:val="1"/>
      <w:marLeft w:val="0"/>
      <w:marRight w:val="0"/>
      <w:marTop w:val="0"/>
      <w:marBottom w:val="0"/>
      <w:divBdr>
        <w:top w:val="none" w:sz="0" w:space="0" w:color="auto"/>
        <w:left w:val="none" w:sz="0" w:space="0" w:color="auto"/>
        <w:bottom w:val="none" w:sz="0" w:space="0" w:color="auto"/>
        <w:right w:val="none" w:sz="0" w:space="0" w:color="auto"/>
      </w:divBdr>
    </w:div>
    <w:div w:id="321469098">
      <w:bodyDiv w:val="1"/>
      <w:marLeft w:val="0"/>
      <w:marRight w:val="0"/>
      <w:marTop w:val="0"/>
      <w:marBottom w:val="0"/>
      <w:divBdr>
        <w:top w:val="none" w:sz="0" w:space="0" w:color="auto"/>
        <w:left w:val="none" w:sz="0" w:space="0" w:color="auto"/>
        <w:bottom w:val="none" w:sz="0" w:space="0" w:color="auto"/>
        <w:right w:val="none" w:sz="0" w:space="0" w:color="auto"/>
      </w:divBdr>
      <w:divsChild>
        <w:div w:id="396369009">
          <w:marLeft w:val="446"/>
          <w:marRight w:val="0"/>
          <w:marTop w:val="0"/>
          <w:marBottom w:val="0"/>
          <w:divBdr>
            <w:top w:val="none" w:sz="0" w:space="0" w:color="auto"/>
            <w:left w:val="none" w:sz="0" w:space="0" w:color="auto"/>
            <w:bottom w:val="none" w:sz="0" w:space="0" w:color="auto"/>
            <w:right w:val="none" w:sz="0" w:space="0" w:color="auto"/>
          </w:divBdr>
        </w:div>
        <w:div w:id="1501963865">
          <w:marLeft w:val="446"/>
          <w:marRight w:val="0"/>
          <w:marTop w:val="0"/>
          <w:marBottom w:val="0"/>
          <w:divBdr>
            <w:top w:val="none" w:sz="0" w:space="0" w:color="auto"/>
            <w:left w:val="none" w:sz="0" w:space="0" w:color="auto"/>
            <w:bottom w:val="none" w:sz="0" w:space="0" w:color="auto"/>
            <w:right w:val="none" w:sz="0" w:space="0" w:color="auto"/>
          </w:divBdr>
        </w:div>
        <w:div w:id="1524130021">
          <w:marLeft w:val="446"/>
          <w:marRight w:val="0"/>
          <w:marTop w:val="0"/>
          <w:marBottom w:val="0"/>
          <w:divBdr>
            <w:top w:val="none" w:sz="0" w:space="0" w:color="auto"/>
            <w:left w:val="none" w:sz="0" w:space="0" w:color="auto"/>
            <w:bottom w:val="none" w:sz="0" w:space="0" w:color="auto"/>
            <w:right w:val="none" w:sz="0" w:space="0" w:color="auto"/>
          </w:divBdr>
        </w:div>
        <w:div w:id="1979721000">
          <w:marLeft w:val="446"/>
          <w:marRight w:val="0"/>
          <w:marTop w:val="0"/>
          <w:marBottom w:val="0"/>
          <w:divBdr>
            <w:top w:val="none" w:sz="0" w:space="0" w:color="auto"/>
            <w:left w:val="none" w:sz="0" w:space="0" w:color="auto"/>
            <w:bottom w:val="none" w:sz="0" w:space="0" w:color="auto"/>
            <w:right w:val="none" w:sz="0" w:space="0" w:color="auto"/>
          </w:divBdr>
        </w:div>
      </w:divsChild>
    </w:div>
    <w:div w:id="377365455">
      <w:bodyDiv w:val="1"/>
      <w:marLeft w:val="0"/>
      <w:marRight w:val="0"/>
      <w:marTop w:val="0"/>
      <w:marBottom w:val="0"/>
      <w:divBdr>
        <w:top w:val="none" w:sz="0" w:space="0" w:color="auto"/>
        <w:left w:val="none" w:sz="0" w:space="0" w:color="auto"/>
        <w:bottom w:val="none" w:sz="0" w:space="0" w:color="auto"/>
        <w:right w:val="none" w:sz="0" w:space="0" w:color="auto"/>
      </w:divBdr>
    </w:div>
    <w:div w:id="394818405">
      <w:bodyDiv w:val="1"/>
      <w:marLeft w:val="0"/>
      <w:marRight w:val="0"/>
      <w:marTop w:val="0"/>
      <w:marBottom w:val="0"/>
      <w:divBdr>
        <w:top w:val="none" w:sz="0" w:space="0" w:color="auto"/>
        <w:left w:val="none" w:sz="0" w:space="0" w:color="auto"/>
        <w:bottom w:val="none" w:sz="0" w:space="0" w:color="auto"/>
        <w:right w:val="none" w:sz="0" w:space="0" w:color="auto"/>
      </w:divBdr>
      <w:divsChild>
        <w:div w:id="1915700947">
          <w:marLeft w:val="0"/>
          <w:marRight w:val="0"/>
          <w:marTop w:val="0"/>
          <w:marBottom w:val="0"/>
          <w:divBdr>
            <w:top w:val="none" w:sz="0" w:space="0" w:color="auto"/>
            <w:left w:val="none" w:sz="0" w:space="0" w:color="auto"/>
            <w:bottom w:val="none" w:sz="0" w:space="0" w:color="auto"/>
            <w:right w:val="none" w:sz="0" w:space="0" w:color="auto"/>
          </w:divBdr>
          <w:divsChild>
            <w:div w:id="494103652">
              <w:marLeft w:val="0"/>
              <w:marRight w:val="0"/>
              <w:marTop w:val="0"/>
              <w:marBottom w:val="0"/>
              <w:divBdr>
                <w:top w:val="none" w:sz="0" w:space="0" w:color="auto"/>
                <w:left w:val="none" w:sz="0" w:space="0" w:color="auto"/>
                <w:bottom w:val="none" w:sz="0" w:space="0" w:color="auto"/>
                <w:right w:val="none" w:sz="0" w:space="0" w:color="auto"/>
              </w:divBdr>
              <w:divsChild>
                <w:div w:id="928807755">
                  <w:marLeft w:val="0"/>
                  <w:marRight w:val="0"/>
                  <w:marTop w:val="0"/>
                  <w:marBottom w:val="0"/>
                  <w:divBdr>
                    <w:top w:val="none" w:sz="0" w:space="0" w:color="auto"/>
                    <w:left w:val="none" w:sz="0" w:space="0" w:color="auto"/>
                    <w:bottom w:val="none" w:sz="0" w:space="0" w:color="auto"/>
                    <w:right w:val="none" w:sz="0" w:space="0" w:color="auto"/>
                  </w:divBdr>
                  <w:divsChild>
                    <w:div w:id="1137066380">
                      <w:marLeft w:val="0"/>
                      <w:marRight w:val="0"/>
                      <w:marTop w:val="0"/>
                      <w:marBottom w:val="0"/>
                      <w:divBdr>
                        <w:top w:val="none" w:sz="0" w:space="0" w:color="auto"/>
                        <w:left w:val="none" w:sz="0" w:space="0" w:color="auto"/>
                        <w:bottom w:val="none" w:sz="0" w:space="0" w:color="auto"/>
                        <w:right w:val="none" w:sz="0" w:space="0" w:color="auto"/>
                      </w:divBdr>
                      <w:divsChild>
                        <w:div w:id="364670895">
                          <w:marLeft w:val="0"/>
                          <w:marRight w:val="0"/>
                          <w:marTop w:val="0"/>
                          <w:marBottom w:val="0"/>
                          <w:divBdr>
                            <w:top w:val="none" w:sz="0" w:space="0" w:color="auto"/>
                            <w:left w:val="none" w:sz="0" w:space="0" w:color="auto"/>
                            <w:bottom w:val="none" w:sz="0" w:space="0" w:color="auto"/>
                            <w:right w:val="none" w:sz="0" w:space="0" w:color="auto"/>
                          </w:divBdr>
                          <w:divsChild>
                            <w:div w:id="127162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6748974">
      <w:bodyDiv w:val="1"/>
      <w:marLeft w:val="0"/>
      <w:marRight w:val="0"/>
      <w:marTop w:val="0"/>
      <w:marBottom w:val="0"/>
      <w:divBdr>
        <w:top w:val="none" w:sz="0" w:space="0" w:color="auto"/>
        <w:left w:val="none" w:sz="0" w:space="0" w:color="auto"/>
        <w:bottom w:val="none" w:sz="0" w:space="0" w:color="auto"/>
        <w:right w:val="none" w:sz="0" w:space="0" w:color="auto"/>
      </w:divBdr>
      <w:divsChild>
        <w:div w:id="1050501000">
          <w:marLeft w:val="480"/>
          <w:marRight w:val="0"/>
          <w:marTop w:val="0"/>
          <w:marBottom w:val="0"/>
          <w:divBdr>
            <w:top w:val="none" w:sz="0" w:space="0" w:color="auto"/>
            <w:left w:val="none" w:sz="0" w:space="0" w:color="auto"/>
            <w:bottom w:val="none" w:sz="0" w:space="0" w:color="auto"/>
            <w:right w:val="none" w:sz="0" w:space="0" w:color="auto"/>
          </w:divBdr>
          <w:divsChild>
            <w:div w:id="329257845">
              <w:marLeft w:val="0"/>
              <w:marRight w:val="0"/>
              <w:marTop w:val="0"/>
              <w:marBottom w:val="0"/>
              <w:divBdr>
                <w:top w:val="none" w:sz="0" w:space="0" w:color="auto"/>
                <w:left w:val="none" w:sz="0" w:space="0" w:color="auto"/>
                <w:bottom w:val="none" w:sz="0" w:space="0" w:color="auto"/>
                <w:right w:val="none" w:sz="0" w:space="0" w:color="auto"/>
              </w:divBdr>
            </w:div>
            <w:div w:id="329598093">
              <w:marLeft w:val="0"/>
              <w:marRight w:val="0"/>
              <w:marTop w:val="0"/>
              <w:marBottom w:val="0"/>
              <w:divBdr>
                <w:top w:val="none" w:sz="0" w:space="0" w:color="auto"/>
                <w:left w:val="none" w:sz="0" w:space="0" w:color="auto"/>
                <w:bottom w:val="none" w:sz="0" w:space="0" w:color="auto"/>
                <w:right w:val="none" w:sz="0" w:space="0" w:color="auto"/>
              </w:divBdr>
            </w:div>
            <w:div w:id="527716294">
              <w:marLeft w:val="0"/>
              <w:marRight w:val="0"/>
              <w:marTop w:val="0"/>
              <w:marBottom w:val="0"/>
              <w:divBdr>
                <w:top w:val="none" w:sz="0" w:space="0" w:color="auto"/>
                <w:left w:val="none" w:sz="0" w:space="0" w:color="auto"/>
                <w:bottom w:val="none" w:sz="0" w:space="0" w:color="auto"/>
                <w:right w:val="none" w:sz="0" w:space="0" w:color="auto"/>
              </w:divBdr>
            </w:div>
            <w:div w:id="706375262">
              <w:marLeft w:val="0"/>
              <w:marRight w:val="0"/>
              <w:marTop w:val="0"/>
              <w:marBottom w:val="0"/>
              <w:divBdr>
                <w:top w:val="none" w:sz="0" w:space="0" w:color="auto"/>
                <w:left w:val="none" w:sz="0" w:space="0" w:color="auto"/>
                <w:bottom w:val="none" w:sz="0" w:space="0" w:color="auto"/>
                <w:right w:val="none" w:sz="0" w:space="0" w:color="auto"/>
              </w:divBdr>
            </w:div>
            <w:div w:id="715546812">
              <w:marLeft w:val="0"/>
              <w:marRight w:val="0"/>
              <w:marTop w:val="0"/>
              <w:marBottom w:val="0"/>
              <w:divBdr>
                <w:top w:val="none" w:sz="0" w:space="0" w:color="auto"/>
                <w:left w:val="none" w:sz="0" w:space="0" w:color="auto"/>
                <w:bottom w:val="none" w:sz="0" w:space="0" w:color="auto"/>
                <w:right w:val="none" w:sz="0" w:space="0" w:color="auto"/>
              </w:divBdr>
            </w:div>
            <w:div w:id="990596424">
              <w:marLeft w:val="0"/>
              <w:marRight w:val="0"/>
              <w:marTop w:val="0"/>
              <w:marBottom w:val="0"/>
              <w:divBdr>
                <w:top w:val="none" w:sz="0" w:space="0" w:color="auto"/>
                <w:left w:val="none" w:sz="0" w:space="0" w:color="auto"/>
                <w:bottom w:val="none" w:sz="0" w:space="0" w:color="auto"/>
                <w:right w:val="none" w:sz="0" w:space="0" w:color="auto"/>
              </w:divBdr>
            </w:div>
            <w:div w:id="1062482251">
              <w:marLeft w:val="0"/>
              <w:marRight w:val="0"/>
              <w:marTop w:val="0"/>
              <w:marBottom w:val="0"/>
              <w:divBdr>
                <w:top w:val="none" w:sz="0" w:space="0" w:color="auto"/>
                <w:left w:val="none" w:sz="0" w:space="0" w:color="auto"/>
                <w:bottom w:val="none" w:sz="0" w:space="0" w:color="auto"/>
                <w:right w:val="none" w:sz="0" w:space="0" w:color="auto"/>
              </w:divBdr>
            </w:div>
            <w:div w:id="1107046416">
              <w:marLeft w:val="0"/>
              <w:marRight w:val="0"/>
              <w:marTop w:val="0"/>
              <w:marBottom w:val="0"/>
              <w:divBdr>
                <w:top w:val="none" w:sz="0" w:space="0" w:color="auto"/>
                <w:left w:val="none" w:sz="0" w:space="0" w:color="auto"/>
                <w:bottom w:val="none" w:sz="0" w:space="0" w:color="auto"/>
                <w:right w:val="none" w:sz="0" w:space="0" w:color="auto"/>
              </w:divBdr>
            </w:div>
            <w:div w:id="1381901281">
              <w:marLeft w:val="0"/>
              <w:marRight w:val="0"/>
              <w:marTop w:val="0"/>
              <w:marBottom w:val="0"/>
              <w:divBdr>
                <w:top w:val="none" w:sz="0" w:space="0" w:color="auto"/>
                <w:left w:val="none" w:sz="0" w:space="0" w:color="auto"/>
                <w:bottom w:val="none" w:sz="0" w:space="0" w:color="auto"/>
                <w:right w:val="none" w:sz="0" w:space="0" w:color="auto"/>
              </w:divBdr>
            </w:div>
            <w:div w:id="1500578685">
              <w:marLeft w:val="0"/>
              <w:marRight w:val="0"/>
              <w:marTop w:val="0"/>
              <w:marBottom w:val="0"/>
              <w:divBdr>
                <w:top w:val="none" w:sz="0" w:space="0" w:color="auto"/>
                <w:left w:val="none" w:sz="0" w:space="0" w:color="auto"/>
                <w:bottom w:val="none" w:sz="0" w:space="0" w:color="auto"/>
                <w:right w:val="none" w:sz="0" w:space="0" w:color="auto"/>
              </w:divBdr>
            </w:div>
            <w:div w:id="1670281268">
              <w:marLeft w:val="0"/>
              <w:marRight w:val="0"/>
              <w:marTop w:val="0"/>
              <w:marBottom w:val="0"/>
              <w:divBdr>
                <w:top w:val="none" w:sz="0" w:space="0" w:color="auto"/>
                <w:left w:val="none" w:sz="0" w:space="0" w:color="auto"/>
                <w:bottom w:val="none" w:sz="0" w:space="0" w:color="auto"/>
                <w:right w:val="none" w:sz="0" w:space="0" w:color="auto"/>
              </w:divBdr>
            </w:div>
            <w:div w:id="1705212396">
              <w:marLeft w:val="0"/>
              <w:marRight w:val="0"/>
              <w:marTop w:val="0"/>
              <w:marBottom w:val="0"/>
              <w:divBdr>
                <w:top w:val="none" w:sz="0" w:space="0" w:color="auto"/>
                <w:left w:val="none" w:sz="0" w:space="0" w:color="auto"/>
                <w:bottom w:val="none" w:sz="0" w:space="0" w:color="auto"/>
                <w:right w:val="none" w:sz="0" w:space="0" w:color="auto"/>
              </w:divBdr>
            </w:div>
            <w:div w:id="1792288747">
              <w:marLeft w:val="0"/>
              <w:marRight w:val="0"/>
              <w:marTop w:val="0"/>
              <w:marBottom w:val="0"/>
              <w:divBdr>
                <w:top w:val="none" w:sz="0" w:space="0" w:color="auto"/>
                <w:left w:val="none" w:sz="0" w:space="0" w:color="auto"/>
                <w:bottom w:val="none" w:sz="0" w:space="0" w:color="auto"/>
                <w:right w:val="none" w:sz="0" w:space="0" w:color="auto"/>
              </w:divBdr>
            </w:div>
            <w:div w:id="1852328819">
              <w:marLeft w:val="0"/>
              <w:marRight w:val="0"/>
              <w:marTop w:val="0"/>
              <w:marBottom w:val="0"/>
              <w:divBdr>
                <w:top w:val="none" w:sz="0" w:space="0" w:color="auto"/>
                <w:left w:val="none" w:sz="0" w:space="0" w:color="auto"/>
                <w:bottom w:val="none" w:sz="0" w:space="0" w:color="auto"/>
                <w:right w:val="none" w:sz="0" w:space="0" w:color="auto"/>
              </w:divBdr>
            </w:div>
            <w:div w:id="1875191762">
              <w:marLeft w:val="0"/>
              <w:marRight w:val="0"/>
              <w:marTop w:val="0"/>
              <w:marBottom w:val="0"/>
              <w:divBdr>
                <w:top w:val="none" w:sz="0" w:space="0" w:color="auto"/>
                <w:left w:val="none" w:sz="0" w:space="0" w:color="auto"/>
                <w:bottom w:val="none" w:sz="0" w:space="0" w:color="auto"/>
                <w:right w:val="none" w:sz="0" w:space="0" w:color="auto"/>
              </w:divBdr>
            </w:div>
            <w:div w:id="2019965529">
              <w:marLeft w:val="0"/>
              <w:marRight w:val="0"/>
              <w:marTop w:val="0"/>
              <w:marBottom w:val="0"/>
              <w:divBdr>
                <w:top w:val="none" w:sz="0" w:space="0" w:color="auto"/>
                <w:left w:val="none" w:sz="0" w:space="0" w:color="auto"/>
                <w:bottom w:val="none" w:sz="0" w:space="0" w:color="auto"/>
                <w:right w:val="none" w:sz="0" w:space="0" w:color="auto"/>
              </w:divBdr>
            </w:div>
            <w:div w:id="2123064105">
              <w:marLeft w:val="0"/>
              <w:marRight w:val="0"/>
              <w:marTop w:val="0"/>
              <w:marBottom w:val="0"/>
              <w:divBdr>
                <w:top w:val="none" w:sz="0" w:space="0" w:color="auto"/>
                <w:left w:val="none" w:sz="0" w:space="0" w:color="auto"/>
                <w:bottom w:val="none" w:sz="0" w:space="0" w:color="auto"/>
                <w:right w:val="none" w:sz="0" w:space="0" w:color="auto"/>
              </w:divBdr>
            </w:div>
            <w:div w:id="2127386839">
              <w:marLeft w:val="0"/>
              <w:marRight w:val="0"/>
              <w:marTop w:val="0"/>
              <w:marBottom w:val="0"/>
              <w:divBdr>
                <w:top w:val="none" w:sz="0" w:space="0" w:color="auto"/>
                <w:left w:val="none" w:sz="0" w:space="0" w:color="auto"/>
                <w:bottom w:val="none" w:sz="0" w:space="0" w:color="auto"/>
                <w:right w:val="none" w:sz="0" w:space="0" w:color="auto"/>
              </w:divBdr>
            </w:div>
            <w:div w:id="214056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534450">
      <w:bodyDiv w:val="1"/>
      <w:marLeft w:val="0"/>
      <w:marRight w:val="0"/>
      <w:marTop w:val="0"/>
      <w:marBottom w:val="0"/>
      <w:divBdr>
        <w:top w:val="none" w:sz="0" w:space="0" w:color="auto"/>
        <w:left w:val="none" w:sz="0" w:space="0" w:color="auto"/>
        <w:bottom w:val="none" w:sz="0" w:space="0" w:color="auto"/>
        <w:right w:val="none" w:sz="0" w:space="0" w:color="auto"/>
      </w:divBdr>
      <w:divsChild>
        <w:div w:id="999581428">
          <w:marLeft w:val="0"/>
          <w:marRight w:val="0"/>
          <w:marTop w:val="0"/>
          <w:marBottom w:val="0"/>
          <w:divBdr>
            <w:top w:val="none" w:sz="0" w:space="0" w:color="auto"/>
            <w:left w:val="none" w:sz="0" w:space="0" w:color="auto"/>
            <w:bottom w:val="none" w:sz="0" w:space="0" w:color="auto"/>
            <w:right w:val="none" w:sz="0" w:space="0" w:color="auto"/>
          </w:divBdr>
        </w:div>
        <w:div w:id="1272545006">
          <w:marLeft w:val="0"/>
          <w:marRight w:val="0"/>
          <w:marTop w:val="0"/>
          <w:marBottom w:val="0"/>
          <w:divBdr>
            <w:top w:val="none" w:sz="0" w:space="0" w:color="auto"/>
            <w:left w:val="none" w:sz="0" w:space="0" w:color="auto"/>
            <w:bottom w:val="none" w:sz="0" w:space="0" w:color="auto"/>
            <w:right w:val="none" w:sz="0" w:space="0" w:color="auto"/>
          </w:divBdr>
        </w:div>
      </w:divsChild>
    </w:div>
    <w:div w:id="628173704">
      <w:bodyDiv w:val="1"/>
      <w:marLeft w:val="0"/>
      <w:marRight w:val="0"/>
      <w:marTop w:val="0"/>
      <w:marBottom w:val="0"/>
      <w:divBdr>
        <w:top w:val="none" w:sz="0" w:space="0" w:color="auto"/>
        <w:left w:val="none" w:sz="0" w:space="0" w:color="auto"/>
        <w:bottom w:val="none" w:sz="0" w:space="0" w:color="auto"/>
        <w:right w:val="none" w:sz="0" w:space="0" w:color="auto"/>
      </w:divBdr>
    </w:div>
    <w:div w:id="700201359">
      <w:bodyDiv w:val="1"/>
      <w:marLeft w:val="0"/>
      <w:marRight w:val="0"/>
      <w:marTop w:val="0"/>
      <w:marBottom w:val="0"/>
      <w:divBdr>
        <w:top w:val="none" w:sz="0" w:space="0" w:color="auto"/>
        <w:left w:val="none" w:sz="0" w:space="0" w:color="auto"/>
        <w:bottom w:val="none" w:sz="0" w:space="0" w:color="auto"/>
        <w:right w:val="none" w:sz="0" w:space="0" w:color="auto"/>
      </w:divBdr>
      <w:divsChild>
        <w:div w:id="1356737343">
          <w:marLeft w:val="480"/>
          <w:marRight w:val="0"/>
          <w:marTop w:val="0"/>
          <w:marBottom w:val="0"/>
          <w:divBdr>
            <w:top w:val="none" w:sz="0" w:space="0" w:color="auto"/>
            <w:left w:val="none" w:sz="0" w:space="0" w:color="auto"/>
            <w:bottom w:val="none" w:sz="0" w:space="0" w:color="auto"/>
            <w:right w:val="none" w:sz="0" w:space="0" w:color="auto"/>
          </w:divBdr>
          <w:divsChild>
            <w:div w:id="33779378">
              <w:marLeft w:val="0"/>
              <w:marRight w:val="0"/>
              <w:marTop w:val="0"/>
              <w:marBottom w:val="0"/>
              <w:divBdr>
                <w:top w:val="none" w:sz="0" w:space="0" w:color="auto"/>
                <w:left w:val="none" w:sz="0" w:space="0" w:color="auto"/>
                <w:bottom w:val="none" w:sz="0" w:space="0" w:color="auto"/>
                <w:right w:val="none" w:sz="0" w:space="0" w:color="auto"/>
              </w:divBdr>
            </w:div>
            <w:div w:id="50472058">
              <w:marLeft w:val="0"/>
              <w:marRight w:val="0"/>
              <w:marTop w:val="0"/>
              <w:marBottom w:val="0"/>
              <w:divBdr>
                <w:top w:val="none" w:sz="0" w:space="0" w:color="auto"/>
                <w:left w:val="none" w:sz="0" w:space="0" w:color="auto"/>
                <w:bottom w:val="none" w:sz="0" w:space="0" w:color="auto"/>
                <w:right w:val="none" w:sz="0" w:space="0" w:color="auto"/>
              </w:divBdr>
            </w:div>
            <w:div w:id="213584294">
              <w:marLeft w:val="0"/>
              <w:marRight w:val="0"/>
              <w:marTop w:val="0"/>
              <w:marBottom w:val="0"/>
              <w:divBdr>
                <w:top w:val="none" w:sz="0" w:space="0" w:color="auto"/>
                <w:left w:val="none" w:sz="0" w:space="0" w:color="auto"/>
                <w:bottom w:val="none" w:sz="0" w:space="0" w:color="auto"/>
                <w:right w:val="none" w:sz="0" w:space="0" w:color="auto"/>
              </w:divBdr>
            </w:div>
            <w:div w:id="258876918">
              <w:marLeft w:val="0"/>
              <w:marRight w:val="0"/>
              <w:marTop w:val="0"/>
              <w:marBottom w:val="0"/>
              <w:divBdr>
                <w:top w:val="none" w:sz="0" w:space="0" w:color="auto"/>
                <w:left w:val="none" w:sz="0" w:space="0" w:color="auto"/>
                <w:bottom w:val="none" w:sz="0" w:space="0" w:color="auto"/>
                <w:right w:val="none" w:sz="0" w:space="0" w:color="auto"/>
              </w:divBdr>
            </w:div>
            <w:div w:id="575437746">
              <w:marLeft w:val="0"/>
              <w:marRight w:val="0"/>
              <w:marTop w:val="0"/>
              <w:marBottom w:val="0"/>
              <w:divBdr>
                <w:top w:val="none" w:sz="0" w:space="0" w:color="auto"/>
                <w:left w:val="none" w:sz="0" w:space="0" w:color="auto"/>
                <w:bottom w:val="none" w:sz="0" w:space="0" w:color="auto"/>
                <w:right w:val="none" w:sz="0" w:space="0" w:color="auto"/>
              </w:divBdr>
            </w:div>
            <w:div w:id="665940669">
              <w:marLeft w:val="0"/>
              <w:marRight w:val="0"/>
              <w:marTop w:val="0"/>
              <w:marBottom w:val="0"/>
              <w:divBdr>
                <w:top w:val="none" w:sz="0" w:space="0" w:color="auto"/>
                <w:left w:val="none" w:sz="0" w:space="0" w:color="auto"/>
                <w:bottom w:val="none" w:sz="0" w:space="0" w:color="auto"/>
                <w:right w:val="none" w:sz="0" w:space="0" w:color="auto"/>
              </w:divBdr>
            </w:div>
            <w:div w:id="755588516">
              <w:marLeft w:val="0"/>
              <w:marRight w:val="0"/>
              <w:marTop w:val="0"/>
              <w:marBottom w:val="0"/>
              <w:divBdr>
                <w:top w:val="none" w:sz="0" w:space="0" w:color="auto"/>
                <w:left w:val="none" w:sz="0" w:space="0" w:color="auto"/>
                <w:bottom w:val="none" w:sz="0" w:space="0" w:color="auto"/>
                <w:right w:val="none" w:sz="0" w:space="0" w:color="auto"/>
              </w:divBdr>
            </w:div>
            <w:div w:id="815994334">
              <w:marLeft w:val="0"/>
              <w:marRight w:val="0"/>
              <w:marTop w:val="0"/>
              <w:marBottom w:val="0"/>
              <w:divBdr>
                <w:top w:val="none" w:sz="0" w:space="0" w:color="auto"/>
                <w:left w:val="none" w:sz="0" w:space="0" w:color="auto"/>
                <w:bottom w:val="none" w:sz="0" w:space="0" w:color="auto"/>
                <w:right w:val="none" w:sz="0" w:space="0" w:color="auto"/>
              </w:divBdr>
            </w:div>
            <w:div w:id="1172448083">
              <w:marLeft w:val="0"/>
              <w:marRight w:val="0"/>
              <w:marTop w:val="0"/>
              <w:marBottom w:val="0"/>
              <w:divBdr>
                <w:top w:val="none" w:sz="0" w:space="0" w:color="auto"/>
                <w:left w:val="none" w:sz="0" w:space="0" w:color="auto"/>
                <w:bottom w:val="none" w:sz="0" w:space="0" w:color="auto"/>
                <w:right w:val="none" w:sz="0" w:space="0" w:color="auto"/>
              </w:divBdr>
            </w:div>
            <w:div w:id="1278488806">
              <w:marLeft w:val="0"/>
              <w:marRight w:val="0"/>
              <w:marTop w:val="0"/>
              <w:marBottom w:val="0"/>
              <w:divBdr>
                <w:top w:val="none" w:sz="0" w:space="0" w:color="auto"/>
                <w:left w:val="none" w:sz="0" w:space="0" w:color="auto"/>
                <w:bottom w:val="none" w:sz="0" w:space="0" w:color="auto"/>
                <w:right w:val="none" w:sz="0" w:space="0" w:color="auto"/>
              </w:divBdr>
            </w:div>
            <w:div w:id="1399862162">
              <w:marLeft w:val="0"/>
              <w:marRight w:val="0"/>
              <w:marTop w:val="0"/>
              <w:marBottom w:val="0"/>
              <w:divBdr>
                <w:top w:val="none" w:sz="0" w:space="0" w:color="auto"/>
                <w:left w:val="none" w:sz="0" w:space="0" w:color="auto"/>
                <w:bottom w:val="none" w:sz="0" w:space="0" w:color="auto"/>
                <w:right w:val="none" w:sz="0" w:space="0" w:color="auto"/>
              </w:divBdr>
            </w:div>
            <w:div w:id="1401368718">
              <w:marLeft w:val="0"/>
              <w:marRight w:val="0"/>
              <w:marTop w:val="0"/>
              <w:marBottom w:val="0"/>
              <w:divBdr>
                <w:top w:val="none" w:sz="0" w:space="0" w:color="auto"/>
                <w:left w:val="none" w:sz="0" w:space="0" w:color="auto"/>
                <w:bottom w:val="none" w:sz="0" w:space="0" w:color="auto"/>
                <w:right w:val="none" w:sz="0" w:space="0" w:color="auto"/>
              </w:divBdr>
            </w:div>
            <w:div w:id="1525824032">
              <w:marLeft w:val="0"/>
              <w:marRight w:val="0"/>
              <w:marTop w:val="0"/>
              <w:marBottom w:val="0"/>
              <w:divBdr>
                <w:top w:val="none" w:sz="0" w:space="0" w:color="auto"/>
                <w:left w:val="none" w:sz="0" w:space="0" w:color="auto"/>
                <w:bottom w:val="none" w:sz="0" w:space="0" w:color="auto"/>
                <w:right w:val="none" w:sz="0" w:space="0" w:color="auto"/>
              </w:divBdr>
            </w:div>
            <w:div w:id="1617324574">
              <w:marLeft w:val="0"/>
              <w:marRight w:val="0"/>
              <w:marTop w:val="0"/>
              <w:marBottom w:val="0"/>
              <w:divBdr>
                <w:top w:val="none" w:sz="0" w:space="0" w:color="auto"/>
                <w:left w:val="none" w:sz="0" w:space="0" w:color="auto"/>
                <w:bottom w:val="none" w:sz="0" w:space="0" w:color="auto"/>
                <w:right w:val="none" w:sz="0" w:space="0" w:color="auto"/>
              </w:divBdr>
            </w:div>
            <w:div w:id="1796413753">
              <w:marLeft w:val="0"/>
              <w:marRight w:val="0"/>
              <w:marTop w:val="0"/>
              <w:marBottom w:val="0"/>
              <w:divBdr>
                <w:top w:val="none" w:sz="0" w:space="0" w:color="auto"/>
                <w:left w:val="none" w:sz="0" w:space="0" w:color="auto"/>
                <w:bottom w:val="none" w:sz="0" w:space="0" w:color="auto"/>
                <w:right w:val="none" w:sz="0" w:space="0" w:color="auto"/>
              </w:divBdr>
            </w:div>
            <w:div w:id="1807967041">
              <w:marLeft w:val="0"/>
              <w:marRight w:val="0"/>
              <w:marTop w:val="0"/>
              <w:marBottom w:val="0"/>
              <w:divBdr>
                <w:top w:val="none" w:sz="0" w:space="0" w:color="auto"/>
                <w:left w:val="none" w:sz="0" w:space="0" w:color="auto"/>
                <w:bottom w:val="none" w:sz="0" w:space="0" w:color="auto"/>
                <w:right w:val="none" w:sz="0" w:space="0" w:color="auto"/>
              </w:divBdr>
            </w:div>
            <w:div w:id="1815875496">
              <w:marLeft w:val="0"/>
              <w:marRight w:val="0"/>
              <w:marTop w:val="0"/>
              <w:marBottom w:val="0"/>
              <w:divBdr>
                <w:top w:val="none" w:sz="0" w:space="0" w:color="auto"/>
                <w:left w:val="none" w:sz="0" w:space="0" w:color="auto"/>
                <w:bottom w:val="none" w:sz="0" w:space="0" w:color="auto"/>
                <w:right w:val="none" w:sz="0" w:space="0" w:color="auto"/>
              </w:divBdr>
            </w:div>
            <w:div w:id="1838616116">
              <w:marLeft w:val="0"/>
              <w:marRight w:val="0"/>
              <w:marTop w:val="0"/>
              <w:marBottom w:val="0"/>
              <w:divBdr>
                <w:top w:val="none" w:sz="0" w:space="0" w:color="auto"/>
                <w:left w:val="none" w:sz="0" w:space="0" w:color="auto"/>
                <w:bottom w:val="none" w:sz="0" w:space="0" w:color="auto"/>
                <w:right w:val="none" w:sz="0" w:space="0" w:color="auto"/>
              </w:divBdr>
            </w:div>
            <w:div w:id="202069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473480">
      <w:bodyDiv w:val="1"/>
      <w:marLeft w:val="0"/>
      <w:marRight w:val="0"/>
      <w:marTop w:val="0"/>
      <w:marBottom w:val="0"/>
      <w:divBdr>
        <w:top w:val="none" w:sz="0" w:space="0" w:color="auto"/>
        <w:left w:val="none" w:sz="0" w:space="0" w:color="auto"/>
        <w:bottom w:val="none" w:sz="0" w:space="0" w:color="auto"/>
        <w:right w:val="none" w:sz="0" w:space="0" w:color="auto"/>
      </w:divBdr>
      <w:divsChild>
        <w:div w:id="101380411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13526508">
      <w:bodyDiv w:val="1"/>
      <w:marLeft w:val="0"/>
      <w:marRight w:val="0"/>
      <w:marTop w:val="0"/>
      <w:marBottom w:val="0"/>
      <w:divBdr>
        <w:top w:val="none" w:sz="0" w:space="0" w:color="auto"/>
        <w:left w:val="none" w:sz="0" w:space="0" w:color="auto"/>
        <w:bottom w:val="none" w:sz="0" w:space="0" w:color="auto"/>
        <w:right w:val="none" w:sz="0" w:space="0" w:color="auto"/>
      </w:divBdr>
    </w:div>
    <w:div w:id="904797341">
      <w:bodyDiv w:val="1"/>
      <w:marLeft w:val="0"/>
      <w:marRight w:val="0"/>
      <w:marTop w:val="0"/>
      <w:marBottom w:val="0"/>
      <w:divBdr>
        <w:top w:val="none" w:sz="0" w:space="0" w:color="auto"/>
        <w:left w:val="none" w:sz="0" w:space="0" w:color="auto"/>
        <w:bottom w:val="none" w:sz="0" w:space="0" w:color="auto"/>
        <w:right w:val="none" w:sz="0" w:space="0" w:color="auto"/>
      </w:divBdr>
    </w:div>
    <w:div w:id="1037461967">
      <w:bodyDiv w:val="1"/>
      <w:marLeft w:val="0"/>
      <w:marRight w:val="0"/>
      <w:marTop w:val="0"/>
      <w:marBottom w:val="0"/>
      <w:divBdr>
        <w:top w:val="none" w:sz="0" w:space="0" w:color="auto"/>
        <w:left w:val="none" w:sz="0" w:space="0" w:color="auto"/>
        <w:bottom w:val="none" w:sz="0" w:space="0" w:color="auto"/>
        <w:right w:val="none" w:sz="0" w:space="0" w:color="auto"/>
      </w:divBdr>
    </w:div>
    <w:div w:id="1143934486">
      <w:bodyDiv w:val="1"/>
      <w:marLeft w:val="0"/>
      <w:marRight w:val="0"/>
      <w:marTop w:val="0"/>
      <w:marBottom w:val="0"/>
      <w:divBdr>
        <w:top w:val="none" w:sz="0" w:space="0" w:color="auto"/>
        <w:left w:val="none" w:sz="0" w:space="0" w:color="auto"/>
        <w:bottom w:val="none" w:sz="0" w:space="0" w:color="auto"/>
        <w:right w:val="none" w:sz="0" w:space="0" w:color="auto"/>
      </w:divBdr>
      <w:divsChild>
        <w:div w:id="265428473">
          <w:marLeft w:val="446"/>
          <w:marRight w:val="0"/>
          <w:marTop w:val="0"/>
          <w:marBottom w:val="0"/>
          <w:divBdr>
            <w:top w:val="none" w:sz="0" w:space="0" w:color="auto"/>
            <w:left w:val="none" w:sz="0" w:space="0" w:color="auto"/>
            <w:bottom w:val="none" w:sz="0" w:space="0" w:color="auto"/>
            <w:right w:val="none" w:sz="0" w:space="0" w:color="auto"/>
          </w:divBdr>
        </w:div>
        <w:div w:id="370888321">
          <w:marLeft w:val="446"/>
          <w:marRight w:val="0"/>
          <w:marTop w:val="0"/>
          <w:marBottom w:val="0"/>
          <w:divBdr>
            <w:top w:val="none" w:sz="0" w:space="0" w:color="auto"/>
            <w:left w:val="none" w:sz="0" w:space="0" w:color="auto"/>
            <w:bottom w:val="none" w:sz="0" w:space="0" w:color="auto"/>
            <w:right w:val="none" w:sz="0" w:space="0" w:color="auto"/>
          </w:divBdr>
        </w:div>
        <w:div w:id="376510159">
          <w:marLeft w:val="446"/>
          <w:marRight w:val="0"/>
          <w:marTop w:val="0"/>
          <w:marBottom w:val="0"/>
          <w:divBdr>
            <w:top w:val="none" w:sz="0" w:space="0" w:color="auto"/>
            <w:left w:val="none" w:sz="0" w:space="0" w:color="auto"/>
            <w:bottom w:val="none" w:sz="0" w:space="0" w:color="auto"/>
            <w:right w:val="none" w:sz="0" w:space="0" w:color="auto"/>
          </w:divBdr>
        </w:div>
        <w:div w:id="924336199">
          <w:marLeft w:val="446"/>
          <w:marRight w:val="0"/>
          <w:marTop w:val="0"/>
          <w:marBottom w:val="0"/>
          <w:divBdr>
            <w:top w:val="none" w:sz="0" w:space="0" w:color="auto"/>
            <w:left w:val="none" w:sz="0" w:space="0" w:color="auto"/>
            <w:bottom w:val="none" w:sz="0" w:space="0" w:color="auto"/>
            <w:right w:val="none" w:sz="0" w:space="0" w:color="auto"/>
          </w:divBdr>
        </w:div>
      </w:divsChild>
    </w:div>
    <w:div w:id="1200434997">
      <w:bodyDiv w:val="1"/>
      <w:marLeft w:val="0"/>
      <w:marRight w:val="0"/>
      <w:marTop w:val="0"/>
      <w:marBottom w:val="0"/>
      <w:divBdr>
        <w:top w:val="none" w:sz="0" w:space="0" w:color="auto"/>
        <w:left w:val="none" w:sz="0" w:space="0" w:color="auto"/>
        <w:bottom w:val="none" w:sz="0" w:space="0" w:color="auto"/>
        <w:right w:val="none" w:sz="0" w:space="0" w:color="auto"/>
      </w:divBdr>
    </w:div>
    <w:div w:id="1221941066">
      <w:bodyDiv w:val="1"/>
      <w:marLeft w:val="0"/>
      <w:marRight w:val="0"/>
      <w:marTop w:val="0"/>
      <w:marBottom w:val="0"/>
      <w:divBdr>
        <w:top w:val="none" w:sz="0" w:space="0" w:color="auto"/>
        <w:left w:val="none" w:sz="0" w:space="0" w:color="auto"/>
        <w:bottom w:val="none" w:sz="0" w:space="0" w:color="auto"/>
        <w:right w:val="none" w:sz="0" w:space="0" w:color="auto"/>
      </w:divBdr>
    </w:div>
    <w:div w:id="1339312288">
      <w:bodyDiv w:val="1"/>
      <w:marLeft w:val="0"/>
      <w:marRight w:val="0"/>
      <w:marTop w:val="0"/>
      <w:marBottom w:val="0"/>
      <w:divBdr>
        <w:top w:val="none" w:sz="0" w:space="0" w:color="auto"/>
        <w:left w:val="none" w:sz="0" w:space="0" w:color="auto"/>
        <w:bottom w:val="none" w:sz="0" w:space="0" w:color="auto"/>
        <w:right w:val="none" w:sz="0" w:space="0" w:color="auto"/>
      </w:divBdr>
    </w:div>
    <w:div w:id="1416588812">
      <w:bodyDiv w:val="1"/>
      <w:marLeft w:val="0"/>
      <w:marRight w:val="0"/>
      <w:marTop w:val="0"/>
      <w:marBottom w:val="0"/>
      <w:divBdr>
        <w:top w:val="none" w:sz="0" w:space="0" w:color="auto"/>
        <w:left w:val="none" w:sz="0" w:space="0" w:color="auto"/>
        <w:bottom w:val="none" w:sz="0" w:space="0" w:color="auto"/>
        <w:right w:val="none" w:sz="0" w:space="0" w:color="auto"/>
      </w:divBdr>
      <w:divsChild>
        <w:div w:id="2147239673">
          <w:marLeft w:val="0"/>
          <w:marRight w:val="0"/>
          <w:marTop w:val="0"/>
          <w:marBottom w:val="0"/>
          <w:divBdr>
            <w:top w:val="none" w:sz="0" w:space="0" w:color="auto"/>
            <w:left w:val="none" w:sz="0" w:space="0" w:color="auto"/>
            <w:bottom w:val="none" w:sz="0" w:space="0" w:color="auto"/>
            <w:right w:val="none" w:sz="0" w:space="0" w:color="auto"/>
          </w:divBdr>
          <w:divsChild>
            <w:div w:id="1304194886">
              <w:marLeft w:val="0"/>
              <w:marRight w:val="0"/>
              <w:marTop w:val="0"/>
              <w:marBottom w:val="0"/>
              <w:divBdr>
                <w:top w:val="none" w:sz="0" w:space="0" w:color="auto"/>
                <w:left w:val="none" w:sz="0" w:space="0" w:color="auto"/>
                <w:bottom w:val="none" w:sz="0" w:space="0" w:color="auto"/>
                <w:right w:val="none" w:sz="0" w:space="0" w:color="auto"/>
              </w:divBdr>
              <w:divsChild>
                <w:div w:id="80609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3550819">
      <w:bodyDiv w:val="1"/>
      <w:marLeft w:val="0"/>
      <w:marRight w:val="0"/>
      <w:marTop w:val="0"/>
      <w:marBottom w:val="0"/>
      <w:divBdr>
        <w:top w:val="none" w:sz="0" w:space="0" w:color="auto"/>
        <w:left w:val="none" w:sz="0" w:space="0" w:color="auto"/>
        <w:bottom w:val="none" w:sz="0" w:space="0" w:color="auto"/>
        <w:right w:val="none" w:sz="0" w:space="0" w:color="auto"/>
      </w:divBdr>
    </w:div>
    <w:div w:id="1506742385">
      <w:bodyDiv w:val="1"/>
      <w:marLeft w:val="0"/>
      <w:marRight w:val="0"/>
      <w:marTop w:val="0"/>
      <w:marBottom w:val="0"/>
      <w:divBdr>
        <w:top w:val="none" w:sz="0" w:space="0" w:color="auto"/>
        <w:left w:val="none" w:sz="0" w:space="0" w:color="auto"/>
        <w:bottom w:val="none" w:sz="0" w:space="0" w:color="auto"/>
        <w:right w:val="none" w:sz="0" w:space="0" w:color="auto"/>
      </w:divBdr>
    </w:div>
    <w:div w:id="1507012843">
      <w:bodyDiv w:val="1"/>
      <w:marLeft w:val="0"/>
      <w:marRight w:val="0"/>
      <w:marTop w:val="0"/>
      <w:marBottom w:val="0"/>
      <w:divBdr>
        <w:top w:val="none" w:sz="0" w:space="0" w:color="auto"/>
        <w:left w:val="none" w:sz="0" w:space="0" w:color="auto"/>
        <w:bottom w:val="none" w:sz="0" w:space="0" w:color="auto"/>
        <w:right w:val="none" w:sz="0" w:space="0" w:color="auto"/>
      </w:divBdr>
    </w:div>
    <w:div w:id="1547794546">
      <w:bodyDiv w:val="1"/>
      <w:marLeft w:val="0"/>
      <w:marRight w:val="0"/>
      <w:marTop w:val="0"/>
      <w:marBottom w:val="0"/>
      <w:divBdr>
        <w:top w:val="none" w:sz="0" w:space="0" w:color="auto"/>
        <w:left w:val="none" w:sz="0" w:space="0" w:color="auto"/>
        <w:bottom w:val="none" w:sz="0" w:space="0" w:color="auto"/>
        <w:right w:val="none" w:sz="0" w:space="0" w:color="auto"/>
      </w:divBdr>
      <w:divsChild>
        <w:div w:id="66205462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10769967">
      <w:bodyDiv w:val="1"/>
      <w:marLeft w:val="0"/>
      <w:marRight w:val="0"/>
      <w:marTop w:val="0"/>
      <w:marBottom w:val="0"/>
      <w:divBdr>
        <w:top w:val="none" w:sz="0" w:space="0" w:color="auto"/>
        <w:left w:val="none" w:sz="0" w:space="0" w:color="auto"/>
        <w:bottom w:val="none" w:sz="0" w:space="0" w:color="auto"/>
        <w:right w:val="none" w:sz="0" w:space="0" w:color="auto"/>
      </w:divBdr>
    </w:div>
    <w:div w:id="1666014675">
      <w:bodyDiv w:val="1"/>
      <w:marLeft w:val="0"/>
      <w:marRight w:val="0"/>
      <w:marTop w:val="0"/>
      <w:marBottom w:val="0"/>
      <w:divBdr>
        <w:top w:val="none" w:sz="0" w:space="0" w:color="auto"/>
        <w:left w:val="none" w:sz="0" w:space="0" w:color="auto"/>
        <w:bottom w:val="none" w:sz="0" w:space="0" w:color="auto"/>
        <w:right w:val="none" w:sz="0" w:space="0" w:color="auto"/>
      </w:divBdr>
      <w:divsChild>
        <w:div w:id="1051541518">
          <w:marLeft w:val="0"/>
          <w:marRight w:val="0"/>
          <w:marTop w:val="0"/>
          <w:marBottom w:val="0"/>
          <w:divBdr>
            <w:top w:val="none" w:sz="0" w:space="0" w:color="auto"/>
            <w:left w:val="none" w:sz="0" w:space="0" w:color="auto"/>
            <w:bottom w:val="none" w:sz="0" w:space="0" w:color="auto"/>
            <w:right w:val="none" w:sz="0" w:space="0" w:color="auto"/>
          </w:divBdr>
          <w:divsChild>
            <w:div w:id="1486511823">
              <w:marLeft w:val="0"/>
              <w:marRight w:val="0"/>
              <w:marTop w:val="0"/>
              <w:marBottom w:val="0"/>
              <w:divBdr>
                <w:top w:val="none" w:sz="0" w:space="0" w:color="auto"/>
                <w:left w:val="none" w:sz="0" w:space="0" w:color="auto"/>
                <w:bottom w:val="none" w:sz="0" w:space="0" w:color="auto"/>
                <w:right w:val="none" w:sz="0" w:space="0" w:color="auto"/>
              </w:divBdr>
              <w:divsChild>
                <w:div w:id="111648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901223">
      <w:bodyDiv w:val="1"/>
      <w:marLeft w:val="0"/>
      <w:marRight w:val="0"/>
      <w:marTop w:val="0"/>
      <w:marBottom w:val="0"/>
      <w:divBdr>
        <w:top w:val="none" w:sz="0" w:space="0" w:color="auto"/>
        <w:left w:val="none" w:sz="0" w:space="0" w:color="auto"/>
        <w:bottom w:val="none" w:sz="0" w:space="0" w:color="auto"/>
        <w:right w:val="none" w:sz="0" w:space="0" w:color="auto"/>
      </w:divBdr>
    </w:div>
    <w:div w:id="1741563379">
      <w:bodyDiv w:val="1"/>
      <w:marLeft w:val="0"/>
      <w:marRight w:val="0"/>
      <w:marTop w:val="0"/>
      <w:marBottom w:val="0"/>
      <w:divBdr>
        <w:top w:val="none" w:sz="0" w:space="0" w:color="auto"/>
        <w:left w:val="none" w:sz="0" w:space="0" w:color="auto"/>
        <w:bottom w:val="none" w:sz="0" w:space="0" w:color="auto"/>
        <w:right w:val="none" w:sz="0" w:space="0" w:color="auto"/>
      </w:divBdr>
      <w:divsChild>
        <w:div w:id="227887218">
          <w:marLeft w:val="1080"/>
          <w:marRight w:val="0"/>
          <w:marTop w:val="100"/>
          <w:marBottom w:val="0"/>
          <w:divBdr>
            <w:top w:val="none" w:sz="0" w:space="0" w:color="auto"/>
            <w:left w:val="none" w:sz="0" w:space="0" w:color="auto"/>
            <w:bottom w:val="none" w:sz="0" w:space="0" w:color="auto"/>
            <w:right w:val="none" w:sz="0" w:space="0" w:color="auto"/>
          </w:divBdr>
        </w:div>
        <w:div w:id="487063979">
          <w:marLeft w:val="1080"/>
          <w:marRight w:val="0"/>
          <w:marTop w:val="100"/>
          <w:marBottom w:val="0"/>
          <w:divBdr>
            <w:top w:val="none" w:sz="0" w:space="0" w:color="auto"/>
            <w:left w:val="none" w:sz="0" w:space="0" w:color="auto"/>
            <w:bottom w:val="none" w:sz="0" w:space="0" w:color="auto"/>
            <w:right w:val="none" w:sz="0" w:space="0" w:color="auto"/>
          </w:divBdr>
        </w:div>
        <w:div w:id="1085877177">
          <w:marLeft w:val="1080"/>
          <w:marRight w:val="0"/>
          <w:marTop w:val="100"/>
          <w:marBottom w:val="0"/>
          <w:divBdr>
            <w:top w:val="none" w:sz="0" w:space="0" w:color="auto"/>
            <w:left w:val="none" w:sz="0" w:space="0" w:color="auto"/>
            <w:bottom w:val="none" w:sz="0" w:space="0" w:color="auto"/>
            <w:right w:val="none" w:sz="0" w:space="0" w:color="auto"/>
          </w:divBdr>
        </w:div>
        <w:div w:id="1086265641">
          <w:marLeft w:val="360"/>
          <w:marRight w:val="0"/>
          <w:marTop w:val="200"/>
          <w:marBottom w:val="0"/>
          <w:divBdr>
            <w:top w:val="none" w:sz="0" w:space="0" w:color="auto"/>
            <w:left w:val="none" w:sz="0" w:space="0" w:color="auto"/>
            <w:bottom w:val="none" w:sz="0" w:space="0" w:color="auto"/>
            <w:right w:val="none" w:sz="0" w:space="0" w:color="auto"/>
          </w:divBdr>
        </w:div>
        <w:div w:id="1612977590">
          <w:marLeft w:val="1080"/>
          <w:marRight w:val="0"/>
          <w:marTop w:val="100"/>
          <w:marBottom w:val="0"/>
          <w:divBdr>
            <w:top w:val="none" w:sz="0" w:space="0" w:color="auto"/>
            <w:left w:val="none" w:sz="0" w:space="0" w:color="auto"/>
            <w:bottom w:val="none" w:sz="0" w:space="0" w:color="auto"/>
            <w:right w:val="none" w:sz="0" w:space="0" w:color="auto"/>
          </w:divBdr>
        </w:div>
      </w:divsChild>
    </w:div>
    <w:div w:id="1771391949">
      <w:bodyDiv w:val="1"/>
      <w:marLeft w:val="0"/>
      <w:marRight w:val="0"/>
      <w:marTop w:val="0"/>
      <w:marBottom w:val="0"/>
      <w:divBdr>
        <w:top w:val="none" w:sz="0" w:space="0" w:color="auto"/>
        <w:left w:val="none" w:sz="0" w:space="0" w:color="auto"/>
        <w:bottom w:val="none" w:sz="0" w:space="0" w:color="auto"/>
        <w:right w:val="none" w:sz="0" w:space="0" w:color="auto"/>
      </w:divBdr>
      <w:divsChild>
        <w:div w:id="98100895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836728111">
      <w:bodyDiv w:val="1"/>
      <w:marLeft w:val="0"/>
      <w:marRight w:val="0"/>
      <w:marTop w:val="0"/>
      <w:marBottom w:val="0"/>
      <w:divBdr>
        <w:top w:val="none" w:sz="0" w:space="0" w:color="auto"/>
        <w:left w:val="none" w:sz="0" w:space="0" w:color="auto"/>
        <w:bottom w:val="none" w:sz="0" w:space="0" w:color="auto"/>
        <w:right w:val="none" w:sz="0" w:space="0" w:color="auto"/>
      </w:divBdr>
      <w:divsChild>
        <w:div w:id="1383485432">
          <w:marLeft w:val="0"/>
          <w:marRight w:val="0"/>
          <w:marTop w:val="0"/>
          <w:marBottom w:val="0"/>
          <w:divBdr>
            <w:top w:val="none" w:sz="0" w:space="0" w:color="auto"/>
            <w:left w:val="none" w:sz="0" w:space="0" w:color="auto"/>
            <w:bottom w:val="none" w:sz="0" w:space="0" w:color="auto"/>
            <w:right w:val="none" w:sz="0" w:space="0" w:color="auto"/>
          </w:divBdr>
          <w:divsChild>
            <w:div w:id="1693994819">
              <w:marLeft w:val="0"/>
              <w:marRight w:val="0"/>
              <w:marTop w:val="0"/>
              <w:marBottom w:val="0"/>
              <w:divBdr>
                <w:top w:val="none" w:sz="0" w:space="0" w:color="auto"/>
                <w:left w:val="none" w:sz="0" w:space="0" w:color="auto"/>
                <w:bottom w:val="none" w:sz="0" w:space="0" w:color="auto"/>
                <w:right w:val="none" w:sz="0" w:space="0" w:color="auto"/>
              </w:divBdr>
              <w:divsChild>
                <w:div w:id="1458911679">
                  <w:marLeft w:val="0"/>
                  <w:marRight w:val="0"/>
                  <w:marTop w:val="0"/>
                  <w:marBottom w:val="0"/>
                  <w:divBdr>
                    <w:top w:val="none" w:sz="0" w:space="0" w:color="auto"/>
                    <w:left w:val="none" w:sz="0" w:space="0" w:color="auto"/>
                    <w:bottom w:val="none" w:sz="0" w:space="0" w:color="auto"/>
                    <w:right w:val="none" w:sz="0" w:space="0" w:color="auto"/>
                  </w:divBdr>
                  <w:divsChild>
                    <w:div w:id="1207524147">
                      <w:marLeft w:val="0"/>
                      <w:marRight w:val="0"/>
                      <w:marTop w:val="0"/>
                      <w:marBottom w:val="0"/>
                      <w:divBdr>
                        <w:top w:val="none" w:sz="0" w:space="0" w:color="auto"/>
                        <w:left w:val="none" w:sz="0" w:space="0" w:color="auto"/>
                        <w:bottom w:val="none" w:sz="0" w:space="0" w:color="auto"/>
                        <w:right w:val="none" w:sz="0" w:space="0" w:color="auto"/>
                      </w:divBdr>
                      <w:divsChild>
                        <w:div w:id="244724821">
                          <w:marLeft w:val="0"/>
                          <w:marRight w:val="0"/>
                          <w:marTop w:val="0"/>
                          <w:marBottom w:val="0"/>
                          <w:divBdr>
                            <w:top w:val="none" w:sz="0" w:space="0" w:color="auto"/>
                            <w:left w:val="none" w:sz="0" w:space="0" w:color="auto"/>
                            <w:bottom w:val="none" w:sz="0" w:space="0" w:color="auto"/>
                            <w:right w:val="none" w:sz="0" w:space="0" w:color="auto"/>
                          </w:divBdr>
                          <w:divsChild>
                            <w:div w:id="151815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8228837">
      <w:bodyDiv w:val="1"/>
      <w:marLeft w:val="0"/>
      <w:marRight w:val="0"/>
      <w:marTop w:val="0"/>
      <w:marBottom w:val="0"/>
      <w:divBdr>
        <w:top w:val="none" w:sz="0" w:space="0" w:color="auto"/>
        <w:left w:val="none" w:sz="0" w:space="0" w:color="auto"/>
        <w:bottom w:val="none" w:sz="0" w:space="0" w:color="auto"/>
        <w:right w:val="none" w:sz="0" w:space="0" w:color="auto"/>
      </w:divBdr>
    </w:div>
    <w:div w:id="1946420130">
      <w:bodyDiv w:val="1"/>
      <w:marLeft w:val="0"/>
      <w:marRight w:val="0"/>
      <w:marTop w:val="0"/>
      <w:marBottom w:val="0"/>
      <w:divBdr>
        <w:top w:val="none" w:sz="0" w:space="0" w:color="auto"/>
        <w:left w:val="none" w:sz="0" w:space="0" w:color="auto"/>
        <w:bottom w:val="none" w:sz="0" w:space="0" w:color="auto"/>
        <w:right w:val="none" w:sz="0" w:space="0" w:color="auto"/>
      </w:divBdr>
    </w:div>
    <w:div w:id="2126582196">
      <w:bodyDiv w:val="1"/>
      <w:marLeft w:val="0"/>
      <w:marRight w:val="0"/>
      <w:marTop w:val="0"/>
      <w:marBottom w:val="0"/>
      <w:divBdr>
        <w:top w:val="none" w:sz="0" w:space="0" w:color="auto"/>
        <w:left w:val="none" w:sz="0" w:space="0" w:color="auto"/>
        <w:bottom w:val="none" w:sz="0" w:space="0" w:color="auto"/>
        <w:right w:val="none" w:sz="0" w:space="0" w:color="auto"/>
      </w:divBdr>
      <w:divsChild>
        <w:div w:id="272327393">
          <w:marLeft w:val="1080"/>
          <w:marRight w:val="0"/>
          <w:marTop w:val="100"/>
          <w:marBottom w:val="0"/>
          <w:divBdr>
            <w:top w:val="none" w:sz="0" w:space="0" w:color="auto"/>
            <w:left w:val="none" w:sz="0" w:space="0" w:color="auto"/>
            <w:bottom w:val="none" w:sz="0" w:space="0" w:color="auto"/>
            <w:right w:val="none" w:sz="0" w:space="0" w:color="auto"/>
          </w:divBdr>
        </w:div>
        <w:div w:id="446198805">
          <w:marLeft w:val="1080"/>
          <w:marRight w:val="0"/>
          <w:marTop w:val="100"/>
          <w:marBottom w:val="0"/>
          <w:divBdr>
            <w:top w:val="none" w:sz="0" w:space="0" w:color="auto"/>
            <w:left w:val="none" w:sz="0" w:space="0" w:color="auto"/>
            <w:bottom w:val="none" w:sz="0" w:space="0" w:color="auto"/>
            <w:right w:val="none" w:sz="0" w:space="0" w:color="auto"/>
          </w:divBdr>
        </w:div>
        <w:div w:id="1096439662">
          <w:marLeft w:val="1800"/>
          <w:marRight w:val="0"/>
          <w:marTop w:val="100"/>
          <w:marBottom w:val="0"/>
          <w:divBdr>
            <w:top w:val="none" w:sz="0" w:space="0" w:color="auto"/>
            <w:left w:val="none" w:sz="0" w:space="0" w:color="auto"/>
            <w:bottom w:val="none" w:sz="0" w:space="0" w:color="auto"/>
            <w:right w:val="none" w:sz="0" w:space="0" w:color="auto"/>
          </w:divBdr>
        </w:div>
        <w:div w:id="1381982279">
          <w:marLeft w:val="1080"/>
          <w:marRight w:val="0"/>
          <w:marTop w:val="100"/>
          <w:marBottom w:val="0"/>
          <w:divBdr>
            <w:top w:val="none" w:sz="0" w:space="0" w:color="auto"/>
            <w:left w:val="none" w:sz="0" w:space="0" w:color="auto"/>
            <w:bottom w:val="none" w:sz="0" w:space="0" w:color="auto"/>
            <w:right w:val="none" w:sz="0" w:space="0" w:color="auto"/>
          </w:divBdr>
        </w:div>
        <w:div w:id="1405686195">
          <w:marLeft w:val="360"/>
          <w:marRight w:val="0"/>
          <w:marTop w:val="200"/>
          <w:marBottom w:val="0"/>
          <w:divBdr>
            <w:top w:val="none" w:sz="0" w:space="0" w:color="auto"/>
            <w:left w:val="none" w:sz="0" w:space="0" w:color="auto"/>
            <w:bottom w:val="none" w:sz="0" w:space="0" w:color="auto"/>
            <w:right w:val="none" w:sz="0" w:space="0" w:color="auto"/>
          </w:divBdr>
        </w:div>
        <w:div w:id="1544901644">
          <w:marLeft w:val="1800"/>
          <w:marRight w:val="0"/>
          <w:marTop w:val="100"/>
          <w:marBottom w:val="0"/>
          <w:divBdr>
            <w:top w:val="none" w:sz="0" w:space="0" w:color="auto"/>
            <w:left w:val="none" w:sz="0" w:space="0" w:color="auto"/>
            <w:bottom w:val="none" w:sz="0" w:space="0" w:color="auto"/>
            <w:right w:val="none" w:sz="0" w:space="0" w:color="auto"/>
          </w:divBdr>
        </w:div>
      </w:divsChild>
    </w:div>
    <w:div w:id="2134909223">
      <w:bodyDiv w:val="1"/>
      <w:marLeft w:val="0"/>
      <w:marRight w:val="0"/>
      <w:marTop w:val="0"/>
      <w:marBottom w:val="0"/>
      <w:divBdr>
        <w:top w:val="none" w:sz="0" w:space="0" w:color="auto"/>
        <w:left w:val="none" w:sz="0" w:space="0" w:color="auto"/>
        <w:bottom w:val="none" w:sz="0" w:space="0" w:color="auto"/>
        <w:right w:val="none" w:sz="0" w:space="0" w:color="auto"/>
      </w:divBdr>
    </w:div>
    <w:div w:id="2144884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5E5103-ADA4-6B42-A37D-3333000C45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371</TotalTime>
  <Pages>6</Pages>
  <Words>2266</Words>
  <Characters>12922</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Youngji Jo</dc:creator>
  <cp:keywords/>
  <dc:description/>
  <cp:lastModifiedBy>Zhang, Franky</cp:lastModifiedBy>
  <cp:revision>404</cp:revision>
  <dcterms:created xsi:type="dcterms:W3CDTF">2025-03-28T18:17:00Z</dcterms:created>
  <dcterms:modified xsi:type="dcterms:W3CDTF">2025-05-31T13:10:00Z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6b884fb71261d0b4794a22bc56953ec9ebb43819e84b3819c55778af6a7632a0</vt:lpwstr>
  </property>
  <property fmtid="{D5CDD505-2E9C-101B-9397-08002B2CF9AE}" pid="3" name="ZOTERO_PREF_1">
    <vt:lpwstr>&lt;data data-version="3" zotero-version="7.0"&gt;&lt;session id="rOXByHxH"/&gt;&lt;style id="http://www.zotero.org/styles/ieee" locale="en-US" hasBibliography="1" bibliographyStyleHasBeenSet="1"/&gt;&lt;prefs&gt;&lt;pref name="fieldType" value="Field"/&gt;&lt;pref name="automaticJournal</vt:lpwstr>
  </property>
  <property fmtid="{D5CDD505-2E9C-101B-9397-08002B2CF9AE}" pid="4" name="ZOTERO_PREF_2">
    <vt:lpwstr>Abbreviations" value="true"/&gt;&lt;/prefs&gt;&lt;/data&gt;</vt:lpwstr>
  </property>
</Properties>
</file>