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435153D8" w:rsidR="00985400" w:rsidRPr="00F729E7" w:rsidRDefault="00D3651D" w:rsidP="00985400">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566A31F1"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How much early share growth rate 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69ABD6D6"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and duration) </w:t>
      </w:r>
      <w:r w:rsidR="009F2BFF">
        <w:rPr>
          <w:rFonts w:eastAsiaTheme="minorEastAsia"/>
          <w:color w:val="000000" w:themeColor="text1"/>
          <w:sz w:val="22"/>
          <w:szCs w:val="22"/>
          <w:shd w:val="clear" w:color="auto" w:fill="FFFFFF"/>
          <w:lang w:eastAsia="zh-CN"/>
        </w:rPr>
        <w:t>of the model</w:t>
      </w:r>
      <w:r w:rsidRPr="00B63F4C">
        <w:rPr>
          <w:rFonts w:eastAsiaTheme="minorEastAsia"/>
          <w:color w:val="000000" w:themeColor="text1"/>
          <w:sz w:val="22"/>
          <w:szCs w:val="22"/>
          <w:shd w:val="clear" w:color="auto" w:fill="FFFFFF"/>
          <w:lang w:eastAsia="zh-CN"/>
        </w:rPr>
        <w:t xml:space="preserve">. </w:t>
      </w:r>
    </w:p>
    <w:p w14:paraId="4E216928" w14:textId="1D76292E"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w:t>
      </w:r>
    </w:p>
    <w:p w14:paraId="72CC04DC" w14:textId="219B4724"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w:t>
      </w:r>
      <w:r w:rsidR="00081D90">
        <w:rPr>
          <w:rFonts w:eastAsiaTheme="minorEastAsia"/>
          <w:color w:val="000000" w:themeColor="text1"/>
          <w:sz w:val="22"/>
          <w:szCs w:val="22"/>
          <w:shd w:val="clear" w:color="auto" w:fill="FFFFFF"/>
          <w:lang w:eastAsia="zh-CN"/>
        </w:rPr>
        <w:t xml:space="preserve">before reaching the threshold (20%). </w:t>
      </w:r>
    </w:p>
    <w:p w14:paraId="352251FB" w14:textId="77777777" w:rsidR="00B63F4C" w:rsidRPr="00471695" w:rsidRDefault="00B63F4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3D3F0F25" w14:textId="77777777" w:rsidR="00DB3BA6" w:rsidRPr="00471695" w:rsidRDefault="00DB3BA6" w:rsidP="00471695">
      <w:pPr>
        <w:pStyle w:val="BodyText"/>
        <w:kinsoku w:val="0"/>
        <w:overflowPunct w:val="0"/>
        <w:spacing w:line="276" w:lineRule="auto"/>
        <w:ind w:left="0"/>
        <w:jc w:val="both"/>
        <w:rPr>
          <w:rFonts w:eastAsiaTheme="minorEastAsia"/>
          <w:sz w:val="22"/>
          <w:szCs w:val="22"/>
          <w:lang w:eastAsia="zh-CN"/>
        </w:rPr>
      </w:pPr>
    </w:p>
    <w:p w14:paraId="2C252024" w14:textId="77777777" w:rsidR="00DB3BA6" w:rsidRPr="007744FE" w:rsidRDefault="00D3651D" w:rsidP="00471695">
      <w:pPr>
        <w:pStyle w:val="BodyText"/>
        <w:kinsoku w:val="0"/>
        <w:overflowPunct w:val="0"/>
        <w:spacing w:line="276" w:lineRule="auto"/>
        <w:ind w:left="0"/>
        <w:jc w:val="both"/>
        <w:rPr>
          <w:rFonts w:eastAsiaTheme="minorEastAsia"/>
          <w:b/>
          <w:bCs/>
          <w:color w:val="000000" w:themeColor="text1"/>
          <w:lang w:eastAsia="ko-KR"/>
        </w:rPr>
      </w:pPr>
      <w:r w:rsidRPr="007744FE">
        <w:rPr>
          <w:b/>
          <w:bCs/>
          <w:color w:val="000000" w:themeColor="text1"/>
        </w:rPr>
        <w:t>Methods</w:t>
      </w:r>
      <w:bookmarkStart w:id="1" w:name="Sample_Collection_and_Definitions"/>
      <w:bookmarkEnd w:id="1"/>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2" w:name="Cohort_Study_Design_and_Regression_Model"/>
      <w:bookmarkEnd w:id="2"/>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28414763" w14:textId="77777777" w:rsidR="00BE50A3" w:rsidRDefault="00BE50A3" w:rsidP="00BE50A3">
      <w:pPr>
        <w:pStyle w:val="pf0"/>
        <w:spacing w:before="0" w:beforeAutospacing="0" w:after="0" w:afterAutospacing="0" w:line="276" w:lineRule="auto"/>
        <w:rPr>
          <w:color w:val="212121"/>
          <w:sz w:val="22"/>
          <w:szCs w:val="22"/>
          <w:shd w:val="clear" w:color="auto" w:fill="FFFFFF"/>
        </w:rPr>
      </w:pPr>
    </w:p>
    <w:p w14:paraId="3EDABAE7" w14:textId="5F4701AB" w:rsidR="007E4721" w:rsidRDefault="00B0214B" w:rsidP="00D44EF5">
      <w:pPr>
        <w:pStyle w:val="pf0"/>
        <w:spacing w:before="0" w:beforeAutospacing="0" w:after="0" w:afterAutospacing="0" w:line="276" w:lineRule="auto"/>
        <w:rPr>
          <w:color w:val="212121"/>
          <w:sz w:val="22"/>
          <w:szCs w:val="22"/>
          <w:shd w:val="clear" w:color="auto" w:fill="FFFFFF"/>
          <w:lang w:eastAsia="zh-CN"/>
        </w:rPr>
      </w:pPr>
      <w:r w:rsidRPr="00B0214B">
        <w:rPr>
          <w:color w:val="212121"/>
          <w:sz w:val="22"/>
          <w:szCs w:val="22"/>
          <w:shd w:val="clear" w:color="auto" w:fill="FFFFFF"/>
        </w:rPr>
        <w:t>The GISAID dataset used in this study includes daily infection counts for over 3,000 SARS-CoV-2 lineages from January 2020 to May 2024. We focus on the top 15 countries with the highest cumulative case counts, as they offer the most comprehensive and reliable genomic data. This targeted scope enhances the relevance of the analysis by capturing regions with significant variant activity and diverse epidemic patterns, enabling more meaningful insights into the interplay between viral evolution, transmission dynamics, and geographic context.</w:t>
      </w:r>
    </w:p>
    <w:p w14:paraId="65765BBF" w14:textId="77777777" w:rsidR="00B0214B" w:rsidRPr="00471695" w:rsidRDefault="00B0214B" w:rsidP="00D44EF5">
      <w:pPr>
        <w:pStyle w:val="pf0"/>
        <w:spacing w:before="0" w:beforeAutospacing="0" w:after="0" w:afterAutospacing="0" w:line="276" w:lineRule="auto"/>
        <w:rPr>
          <w:rFonts w:eastAsiaTheme="minorEastAsia"/>
          <w:b/>
          <w:bCs/>
          <w:spacing w:val="-10"/>
          <w:sz w:val="22"/>
          <w:szCs w:val="22"/>
          <w:lang w:eastAsia="zh-CN"/>
        </w:rPr>
      </w:pPr>
    </w:p>
    <w:p w14:paraId="4A5913E9" w14:textId="17DBB6FE" w:rsidR="00E77DFE" w:rsidRDefault="008D184F" w:rsidP="00015853">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33704C86" w14:textId="77777777" w:rsidR="000C7A50" w:rsidRDefault="000C7A50" w:rsidP="00FF5F09">
      <w:pPr>
        <w:pStyle w:val="BodyText"/>
        <w:spacing w:line="276" w:lineRule="auto"/>
        <w:ind w:left="0"/>
        <w:jc w:val="both"/>
        <w:rPr>
          <w:sz w:val="22"/>
          <w:szCs w:val="22"/>
          <w:lang w:eastAsia="zh-CN"/>
        </w:rPr>
      </w:pPr>
    </w:p>
    <w:p w14:paraId="1C25889E" w14:textId="0BA73505"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w:t>
      </w:r>
      <w:r w:rsidRPr="00E26B14">
        <w:rPr>
          <w:sz w:val="22"/>
          <w:szCs w:val="22"/>
          <w:lang w:eastAsia="zh-CN"/>
        </w:rPr>
        <w:lastRenderedPageBreak/>
        <w:t xml:space="preserve">achieves, while duration corresponds to the length of its epidemic wave. This decomposition is grounded in prior work such as </w:t>
      </w:r>
      <w:r w:rsidRPr="00BA3EA1">
        <w:rPr>
          <w:sz w:val="22"/>
          <w:szCs w:val="22"/>
          <w:shd w:val="pct15" w:color="auto" w:fill="FFFFFF"/>
          <w:lang w:eastAsia="zh-CN"/>
        </w:rPr>
        <w:t>Du Plessis et al. (2021)</w:t>
      </w:r>
      <w:r w:rsidRPr="00E26B14">
        <w:rPr>
          <w:sz w:val="22"/>
          <w:szCs w:val="22"/>
          <w:lang w:eastAsia="zh-CN"/>
        </w:rPr>
        <w:t>, 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2F1CC3EE"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355977">
        <w:rPr>
          <w:sz w:val="22"/>
          <w:szCs w:val="22"/>
          <w:shd w:val="pct15" w:color="auto" w:fill="FFFFFF"/>
          <w:lang w:eastAsia="zh-CN"/>
        </w:rPr>
        <w:t>World Health Organization (WHO, 2021)</w:t>
      </w:r>
      <w:r w:rsidRPr="00E26B14">
        <w:rPr>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355977">
        <w:rPr>
          <w:sz w:val="22"/>
          <w:szCs w:val="22"/>
          <w:shd w:val="pct15" w:color="auto" w:fill="FFFFFF"/>
          <w:lang w:eastAsia="zh-CN"/>
        </w:rPr>
        <w:t>Chen et al. (2022),</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guidance </w:t>
      </w:r>
      <w:r w:rsidR="00F5666B" w:rsidRPr="00270942">
        <w:rPr>
          <w:sz w:val="22"/>
          <w:szCs w:val="22"/>
          <w:shd w:val="pct15" w:color="auto" w:fill="FFFFFF"/>
          <w:lang w:eastAsia="zh-CN"/>
        </w:rPr>
        <w:t>(WHO, 2023)</w:t>
      </w:r>
      <w:r w:rsidR="00F5666B" w:rsidRPr="00F5666B">
        <w:rPr>
          <w:sz w:val="22"/>
          <w:szCs w:val="22"/>
          <w:lang w:eastAsia="zh-CN"/>
        </w:rPr>
        <w:t xml:space="preserve">, variant tracking literature </w:t>
      </w:r>
      <w:r w:rsidR="00F5666B" w:rsidRPr="00270942">
        <w:rPr>
          <w:sz w:val="22"/>
          <w:szCs w:val="22"/>
          <w:shd w:val="pct15" w:color="auto" w:fill="FFFFFF"/>
          <w:lang w:eastAsia="zh-CN"/>
        </w:rPr>
        <w:t>(</w:t>
      </w:r>
      <w:proofErr w:type="spellStart"/>
      <w:r w:rsidR="00F5666B" w:rsidRPr="00270942">
        <w:rPr>
          <w:sz w:val="22"/>
          <w:szCs w:val="22"/>
          <w:shd w:val="pct15" w:color="auto" w:fill="FFFFFF"/>
          <w:lang w:eastAsia="zh-CN"/>
        </w:rPr>
        <w:t>Hodcroft</w:t>
      </w:r>
      <w:proofErr w:type="spellEnd"/>
      <w:r w:rsidR="00F5666B" w:rsidRPr="00270942">
        <w:rPr>
          <w:sz w:val="22"/>
          <w:szCs w:val="22"/>
          <w:shd w:val="pct15" w:color="auto" w:fill="FFFFFF"/>
          <w:lang w:eastAsia="zh-CN"/>
        </w:rPr>
        <w:t>, 2021),</w:t>
      </w:r>
      <w:r w:rsidR="00F5666B" w:rsidRPr="00F5666B">
        <w:rPr>
          <w:sz w:val="22"/>
          <w:szCs w:val="22"/>
          <w:lang w:eastAsia="zh-CN"/>
        </w:rPr>
        <w:t xml:space="preserve"> and lineage dynamic studies </w:t>
      </w:r>
      <w:r w:rsidR="00F5666B" w:rsidRPr="00270942">
        <w:rPr>
          <w:sz w:val="22"/>
          <w:szCs w:val="22"/>
          <w:shd w:val="pct15" w:color="auto" w:fill="FFFFFF"/>
          <w:lang w:eastAsia="zh-CN"/>
        </w:rPr>
        <w:t>(Du Plessis et al., 2021).</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41367BE0" w14:textId="0A7F5F7E" w:rsidR="00D50964" w:rsidRPr="00D50964" w:rsidRDefault="00D50964" w:rsidP="00D50964">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w:t>
      </w:r>
      <w:proofErr w:type="spellStart"/>
      <w:r w:rsidRPr="00D50964">
        <w:rPr>
          <w:sz w:val="22"/>
          <w:szCs w:val="22"/>
          <w:lang w:eastAsia="zh-CN"/>
        </w:rPr>
        <w:t>Hodcroft</w:t>
      </w:r>
      <w:proofErr w:type="spellEnd"/>
      <w:r w:rsidRPr="00D50964">
        <w:rPr>
          <w:sz w:val="22"/>
          <w:szCs w:val="22"/>
          <w:lang w:eastAsia="zh-CN"/>
        </w:rPr>
        <w:t>, 2021; Du Plessis et al., 2021).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p>
    <w:p w14:paraId="623B1F02" w14:textId="77777777" w:rsidR="00D50964" w:rsidRPr="00D50964" w:rsidRDefault="00D50964" w:rsidP="00D50964">
      <w:pPr>
        <w:pStyle w:val="BodyText"/>
        <w:spacing w:line="276" w:lineRule="auto"/>
        <w:jc w:val="both"/>
        <w:rPr>
          <w:sz w:val="22"/>
          <w:szCs w:val="22"/>
          <w:lang w:eastAsia="zh-CN"/>
        </w:rPr>
      </w:pPr>
    </w:p>
    <w:p w14:paraId="0DB5F4D8" w14:textId="77777777" w:rsidR="00E71CAE" w:rsidRDefault="00E71CAE" w:rsidP="00E71CAE">
      <w:pPr>
        <w:pStyle w:val="BodyText"/>
        <w:spacing w:line="276" w:lineRule="auto"/>
        <w:jc w:val="both"/>
        <w:rPr>
          <w:sz w:val="22"/>
          <w:szCs w:val="22"/>
          <w:lang w:eastAsia="zh-CN"/>
        </w:rPr>
      </w:pPr>
      <w:r w:rsidRPr="00E71CAE">
        <w:rPr>
          <w:sz w:val="22"/>
          <w:szCs w:val="22"/>
          <w:lang w:eastAsia="zh-CN"/>
        </w:rPr>
        <w:t xml:space="preserve">For example, in the United Kingdom, 31 variant groups were retained following classification and filtering, including dominant Delta and Omicron </w:t>
      </w:r>
      <w:proofErr w:type="spellStart"/>
      <w:r w:rsidRPr="00E71CAE">
        <w:rPr>
          <w:sz w:val="22"/>
          <w:szCs w:val="22"/>
          <w:lang w:eastAsia="zh-CN"/>
        </w:rPr>
        <w:t>sublineages</w:t>
      </w:r>
      <w:proofErr w:type="spellEnd"/>
      <w:r w:rsidRPr="00E71CAE">
        <w:rPr>
          <w:sz w:val="22"/>
          <w:szCs w:val="22"/>
          <w:lang w:eastAsia="zh-CN"/>
        </w:rPr>
        <w:t xml:space="preserve"> such as AY.4 and BA.1/BA.2. South Korea retained 44 groups, prominently featuring BA.2.3-derived lineages and recombinants like EG.5.1 and FL.10.1. In the United States, 45 variant groups remained, reflecting a broad spectrum of Delta, Omicron, and emergent BQ/HV </w:t>
      </w:r>
      <w:proofErr w:type="spellStart"/>
      <w:r w:rsidRPr="00E71CAE">
        <w:rPr>
          <w:sz w:val="22"/>
          <w:szCs w:val="22"/>
          <w:lang w:eastAsia="zh-CN"/>
        </w:rPr>
        <w:t>sublineages</w:t>
      </w:r>
      <w:proofErr w:type="spellEnd"/>
      <w:r w:rsidRPr="00E71CAE">
        <w:rPr>
          <w:sz w:val="22"/>
          <w:szCs w:val="22"/>
          <w:lang w:eastAsia="zh-CN"/>
        </w:rPr>
        <w:t>. These country-specific groupings align with nomenclature frameworks proposed by Rambaut et al. (2020) and O’Toole et al. (2021), which support hierarchical lineage classification for genomic surveillance and comparative epidemiology.</w:t>
      </w:r>
    </w:p>
    <w:p w14:paraId="29BAD12B" w14:textId="77777777" w:rsidR="00E71CAE" w:rsidRDefault="00E71CAE" w:rsidP="00E71CAE">
      <w:pPr>
        <w:pStyle w:val="BodyText"/>
        <w:spacing w:line="276" w:lineRule="auto"/>
        <w:jc w:val="both"/>
        <w:rPr>
          <w:sz w:val="22"/>
          <w:szCs w:val="22"/>
          <w:lang w:eastAsia="zh-CN"/>
        </w:rPr>
      </w:pPr>
    </w:p>
    <w:p w14:paraId="12460F77" w14:textId="77777777" w:rsidR="00754A10" w:rsidRDefault="00E71CAE" w:rsidP="00754A10">
      <w:pPr>
        <w:pStyle w:val="BodyText"/>
        <w:spacing w:line="276" w:lineRule="auto"/>
        <w:jc w:val="both"/>
        <w:rPr>
          <w:sz w:val="22"/>
          <w:szCs w:val="22"/>
          <w:lang w:eastAsia="zh-CN"/>
        </w:rPr>
      </w:pPr>
      <w:r w:rsidRPr="00E71CAE">
        <w:rPr>
          <w:sz w:val="22"/>
          <w:szCs w:val="22"/>
          <w:lang w:eastAsia="zh-CN"/>
        </w:rPr>
        <w:t xml:space="preserve">To further illustrate the classification outcome and our epidemic period definition, Figure 1 displays three common variants observed in the UK, US, and South Korea. For each, the shaded region indicates the epidemic period as defined </w:t>
      </w:r>
      <w:r w:rsidR="00754A10" w:rsidRPr="00E71CAE">
        <w:rPr>
          <w:sz w:val="22"/>
          <w:szCs w:val="22"/>
          <w:lang w:eastAsia="zh-CN"/>
        </w:rPr>
        <w:t>earlier starting</w:t>
      </w:r>
      <w:r w:rsidRPr="00E71CAE">
        <w:rPr>
          <w:sz w:val="22"/>
          <w:szCs w:val="22"/>
          <w:lang w:eastAsia="zh-CN"/>
        </w:rPr>
        <w:t xml:space="preserve"> from the initial rise and ending when the variant falls below sustained prevalence. The peak is defined as the variant’s highest observed domestic share, while the duration corresponds to the length of the shaded epidemic window. This visual representation highlights how our definitions capture both the timing and magnitude of variant dominance across regions.</w:t>
      </w:r>
    </w:p>
    <w:p w14:paraId="6839B182" w14:textId="17241C55" w:rsidR="003E5DCC" w:rsidRDefault="003E5DCC" w:rsidP="00754A10">
      <w:pPr>
        <w:pStyle w:val="BodyText"/>
        <w:spacing w:line="276" w:lineRule="auto"/>
        <w:jc w:val="both"/>
        <w:rPr>
          <w:sz w:val="22"/>
          <w:szCs w:val="22"/>
          <w:lang w:eastAsia="zh-CN"/>
        </w:rPr>
      </w:pPr>
    </w:p>
    <w:p w14:paraId="5C6E45E0" w14:textId="06B7481D" w:rsidR="007F0C91" w:rsidRDefault="002C4B7C" w:rsidP="009D787E">
      <w:pPr>
        <w:pStyle w:val="BodyText"/>
        <w:spacing w:line="276" w:lineRule="auto"/>
        <w:jc w:val="both"/>
        <w:rPr>
          <w:sz w:val="20"/>
          <w:szCs w:val="20"/>
          <w:lang w:eastAsia="zh-CN"/>
        </w:rPr>
      </w:pPr>
      <w:r w:rsidRPr="002C4B7C">
        <w:rPr>
          <w:sz w:val="20"/>
          <w:szCs w:val="20"/>
        </w:rPr>
        <w:t>Figure 1: Illustration of three common variant groups observed in the United Kingdom, United States, and South Korea. The shaded areas represent each variant’s epidemic period, defined from initial rise to sustained decline based on domestic share. The peak corresponds to the highest observed share within this period, while the duration reflects the length of the shaded window, capturing the temporal extent of dominance.</w:t>
      </w:r>
    </w:p>
    <w:p w14:paraId="7F25DC42" w14:textId="77777777" w:rsidR="002C4B7C" w:rsidRDefault="002C4B7C" w:rsidP="009D787E">
      <w:pPr>
        <w:pStyle w:val="BodyText"/>
        <w:spacing w:line="276" w:lineRule="auto"/>
        <w:jc w:val="both"/>
        <w:rPr>
          <w:sz w:val="22"/>
          <w:szCs w:val="22"/>
          <w:lang w:eastAsia="zh-CN"/>
        </w:rPr>
      </w:pPr>
    </w:p>
    <w:p w14:paraId="56D88A02" w14:textId="1C7FA716" w:rsidR="009D787E" w:rsidRDefault="009D787E" w:rsidP="009D787E">
      <w:pPr>
        <w:pStyle w:val="BodyText"/>
        <w:spacing w:line="276" w:lineRule="auto"/>
        <w:jc w:val="both"/>
        <w:rPr>
          <w:sz w:val="22"/>
          <w:szCs w:val="22"/>
          <w:lang w:eastAsia="zh-CN"/>
        </w:rPr>
      </w:pPr>
      <w:r w:rsidRPr="009D787E">
        <w:rPr>
          <w:sz w:val="22"/>
          <w:szCs w:val="22"/>
          <w:lang w:eastAsia="zh-CN"/>
        </w:rPr>
        <w:t xml:space="preserve">To evaluate whether early-stage characteristics can predict a variant’s eventual dominance, we define the initial </w:t>
      </w:r>
      <w:r w:rsidRPr="009D787E">
        <w:rPr>
          <w:sz w:val="22"/>
          <w:szCs w:val="22"/>
          <w:lang w:eastAsia="zh-CN"/>
        </w:rPr>
        <w:lastRenderedPageBreak/>
        <w:t xml:space="preserve">period as the time prior to when a variant reaches 20% domestic share within a country. This threshold is chosen to capture the early expansion phase before a variant </w:t>
      </w:r>
      <w:proofErr w:type="gramStart"/>
      <w:r w:rsidRPr="009D787E">
        <w:rPr>
          <w:sz w:val="22"/>
          <w:szCs w:val="22"/>
          <w:lang w:eastAsia="zh-CN"/>
        </w:rPr>
        <w:t>gains</w:t>
      </w:r>
      <w:proofErr w:type="gramEnd"/>
      <w:r w:rsidRPr="009D787E">
        <w:rPr>
          <w:sz w:val="22"/>
          <w:szCs w:val="22"/>
          <w:lang w:eastAsia="zh-CN"/>
        </w:rPr>
        <w:t xml:space="preserve"> dominance, minimizing reverse causality. The 20% cutoff has been used in previous studies to identify phases of meaningful growth, including Obermeyer et al. (2022) and McBroome et al. (2023), who applied similar criteria to estimate fitness advantages and predict competitive success. Unlike definitions based solely on fixed durations or total case counts (e.g., Du Plessis et al., 2021; Yang et al., 2022), this prevalence-based approach offers greater flexibility across countries and variants with heterogeneous epidemic trajectories.</w:t>
      </w:r>
    </w:p>
    <w:p w14:paraId="03507236" w14:textId="77777777" w:rsidR="009D787E" w:rsidRDefault="009D787E" w:rsidP="009D787E">
      <w:pPr>
        <w:pStyle w:val="BodyText"/>
        <w:spacing w:line="276" w:lineRule="auto"/>
        <w:jc w:val="both"/>
        <w:rPr>
          <w:sz w:val="22"/>
          <w:szCs w:val="22"/>
          <w:lang w:eastAsia="zh-CN"/>
        </w:rPr>
      </w:pPr>
    </w:p>
    <w:p w14:paraId="7046AAD1" w14:textId="77777777" w:rsidR="003C5891" w:rsidRDefault="009D787E" w:rsidP="009D787E">
      <w:pPr>
        <w:pStyle w:val="BodyText"/>
        <w:spacing w:line="276" w:lineRule="auto"/>
        <w:jc w:val="both"/>
        <w:rPr>
          <w:sz w:val="22"/>
          <w:szCs w:val="22"/>
          <w:lang w:eastAsia="zh-CN"/>
        </w:rPr>
      </w:pPr>
      <w:r w:rsidRPr="009D787E">
        <w:rPr>
          <w:sz w:val="22"/>
          <w:szCs w:val="22"/>
          <w:lang w:eastAsia="zh-CN"/>
        </w:rPr>
        <w:t>To further ensure comparability and prevent dominance signals from contaminating early-stage indicators, we additionally incorporate a time-based safeguard: if a variant does not exceed the 20% threshold within a pre-defined time window—set at 14, 21, or 28 days based on WHO sequencing guidance (WHO, 2021) and genomic surveillance practice (GISAID, 2024)—we use that fixed window as the initial period. Variants that exceed the 20% share within this window are excluded from early-stage modeling, as they have already demonstrated dominance potential. This combined prevalence-and-duration framework balances epidemiological relevance, statistical consistency, and global surveillance feasibility, aligning with practices recommended in recent variant assessment efforts (Britton et al., 2023; Chen et al., 2022).</w:t>
      </w:r>
    </w:p>
    <w:p w14:paraId="3AD04C38" w14:textId="77777777" w:rsidR="0012182B" w:rsidRDefault="0012182B" w:rsidP="00317016">
      <w:pPr>
        <w:pStyle w:val="BodyText"/>
        <w:spacing w:line="276" w:lineRule="auto"/>
        <w:ind w:left="0"/>
        <w:jc w:val="both"/>
        <w:rPr>
          <w:rFonts w:eastAsiaTheme="minorEastAsia"/>
          <w:sz w:val="22"/>
          <w:szCs w:val="22"/>
          <w:lang w:eastAsia="ko-KR"/>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sz w:val="22"/>
          <w:szCs w:val="22"/>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3DC77055" w14:textId="14EE5458" w:rsidR="0089048B" w:rsidRDefault="00111D49" w:rsidP="00111D49">
      <w:pPr>
        <w:pStyle w:val="BodyText"/>
        <w:spacing w:line="276" w:lineRule="auto"/>
        <w:ind w:left="0"/>
        <w:jc w:val="both"/>
        <w:rPr>
          <w:sz w:val="22"/>
          <w:szCs w:val="22"/>
        </w:rPr>
      </w:pPr>
      <w:r w:rsidRPr="00111D49">
        <w:rPr>
          <w:sz w:val="22"/>
          <w:szCs w:val="22"/>
        </w:rPr>
        <w:t>To quantify the growth dynamics of SARS-CoV-2 variants during their initial emergence, we first fitted a generalized additive model (GAM) to the time series of each variant’s share within the initial stage in each country. The growth rate was then derived by computing the first derivative of the fitted GAM, capturing the rate of change in prevalence over time [Wood, 2017]. As the lengths of these growth rate sequences varied across variants and countries, each sequence was subsequently transformed into a smoothed density curve, which served as a key input feature for the prediction model. This approach preserves the temporal structure of early growth while enabling comparison across variable-length trajectories. In parallel, the overall scale of variant prevalence was summarized by computing the mean share during the initial period, providing a complementary input reflecting baseline transmissibility.</w:t>
      </w:r>
    </w:p>
    <w:p w14:paraId="629C8EE5" w14:textId="1A9AEE26" w:rsidR="00111D49" w:rsidRPr="0089048B" w:rsidRDefault="00111D49" w:rsidP="00111D49">
      <w:pPr>
        <w:pStyle w:val="BodyText"/>
        <w:spacing w:line="276" w:lineRule="auto"/>
        <w:ind w:left="0"/>
        <w:jc w:val="both"/>
        <w:rPr>
          <w:sz w:val="22"/>
          <w:szCs w:val="22"/>
        </w:rPr>
      </w:pPr>
    </w:p>
    <w:p w14:paraId="53E566BE" w14:textId="77777777" w:rsidR="00AF57FA" w:rsidRDefault="0089048B" w:rsidP="00AF57FA">
      <w:pPr>
        <w:pStyle w:val="BodyText"/>
        <w:spacing w:line="276" w:lineRule="auto"/>
        <w:ind w:left="0"/>
        <w:jc w:val="both"/>
        <w:rPr>
          <w:sz w:val="22"/>
          <w:szCs w:val="22"/>
          <w:lang w:eastAsia="zh-CN"/>
        </w:rPr>
      </w:pPr>
      <w:r w:rsidRPr="0089048B">
        <w:rPr>
          <w:sz w:val="22"/>
          <w:szCs w:val="22"/>
        </w:rPr>
        <w:t xml:space="preserve">The prediction model was constructed using a functional data regression approach (FDA) [Functional Data Analysis, J.O. Ramsay; R package </w:t>
      </w:r>
      <w:r w:rsidR="00AE5C8F">
        <w:rPr>
          <w:sz w:val="22"/>
          <w:szCs w:val="22"/>
        </w:rPr>
        <w:t>{</w:t>
      </w:r>
      <w:r w:rsidRPr="0089048B">
        <w:rPr>
          <w:sz w:val="22"/>
          <w:szCs w:val="22"/>
        </w:rPr>
        <w:t>fda</w:t>
      </w:r>
      <w:r w:rsidR="00AE5C8F">
        <w:rPr>
          <w:sz w:val="22"/>
          <w:szCs w:val="22"/>
        </w:rPr>
        <w:t>}</w:t>
      </w:r>
      <w:r w:rsidRPr="0089048B">
        <w:rPr>
          <w:sz w:val="22"/>
          <w:szCs w:val="22"/>
        </w:rPr>
        <w:t>], which extends traditional regression methods by allowing coefficients to vary continuously</w:t>
      </w:r>
      <w:r w:rsidR="000C1F96">
        <w:rPr>
          <w:sz w:val="22"/>
          <w:szCs w:val="22"/>
        </w:rPr>
        <w:t xml:space="preserve"> </w:t>
      </w:r>
      <w:r w:rsidRPr="0089048B">
        <w:rPr>
          <w:sz w:val="22"/>
          <w:szCs w:val="22"/>
        </w:rPr>
        <w:t>—</w:t>
      </w:r>
      <w:r w:rsidR="000C1F96">
        <w:rPr>
          <w:sz w:val="22"/>
          <w:szCs w:val="22"/>
        </w:rPr>
        <w:t xml:space="preserve"> </w:t>
      </w:r>
      <w:r w:rsidRPr="0089048B">
        <w:rPr>
          <w:sz w:val="22"/>
          <w:szCs w:val="22"/>
        </w:rPr>
        <w:t>treating them as functions rather than fixed values. By representing growth rate sequences as density curves, we avoided alignment issues caused by the differing timing of variant growth. This transformation shifts the modeling focus from chronological time to the distributional scale of growth rates, enabling the use of FDA with scale-varying rather than time-varying coefficients. This approach enhances interpretability and more effectively captures variations in growth dynamics across different variants</w:t>
      </w:r>
      <w:r w:rsidR="001D0EDB">
        <w:rPr>
          <w:sz w:val="22"/>
          <w:szCs w:val="22"/>
        </w:rPr>
        <w:t xml:space="preserve">. </w:t>
      </w:r>
      <w:r w:rsidR="00AF57FA">
        <w:rPr>
          <w:sz w:val="22"/>
          <w:szCs w:val="22"/>
          <w:lang w:eastAsia="zh-CN"/>
        </w:rPr>
        <w:t xml:space="preserve">Let </w:t>
      </w:r>
      <m:oMath>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L</m:t>
            </m:r>
          </m:sub>
        </m:sSub>
      </m:oMath>
      <w:r w:rsidR="00AF57FA">
        <w:rPr>
          <w:sz w:val="22"/>
          <w:szCs w:val="22"/>
          <w:lang w:eastAsia="zh-CN"/>
        </w:rPr>
        <w:t xml:space="preserve"> and </w:t>
      </w:r>
      <m:oMath>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U</m:t>
            </m:r>
          </m:sub>
        </m:sSub>
      </m:oMath>
      <w:r w:rsidR="00AF57FA">
        <w:rPr>
          <w:sz w:val="22"/>
          <w:szCs w:val="22"/>
          <w:lang w:eastAsia="zh-CN"/>
        </w:rPr>
        <w:t xml:space="preserve"> </w:t>
      </w:r>
      <w:r w:rsidR="00AF57FA" w:rsidRPr="005B612A">
        <w:rPr>
          <w:sz w:val="22"/>
          <w:szCs w:val="22"/>
          <w:lang w:eastAsia="zh-CN"/>
        </w:rPr>
        <w:t>denote the lower and upper bounds of the growth rate across all variants and let</w:t>
      </w:r>
      <m:oMath>
        <m:sSub>
          <m:sSubPr>
            <m:ctrlPr>
              <w:rPr>
                <w:rFonts w:ascii="Cambria Math" w:hAnsi="Cambria Math"/>
                <w:i/>
                <w:sz w:val="22"/>
                <w:szCs w:val="22"/>
                <w:lang w:eastAsia="zh-CN"/>
              </w:rPr>
            </m:ctrlPr>
          </m:sSubPr>
          <m:e>
            <m:r>
              <w:rPr>
                <w:rFonts w:ascii="Cambria Math" w:hAnsi="Cambria Math"/>
                <w:sz w:val="22"/>
                <w:szCs w:val="22"/>
                <w:lang w:eastAsia="zh-CN"/>
              </w:rPr>
              <m:t xml:space="preserve"> C</m:t>
            </m:r>
          </m:e>
          <m:sub>
            <m:r>
              <w:rPr>
                <w:rFonts w:ascii="Cambria Math" w:hAnsi="Cambria Math"/>
                <w:sz w:val="22"/>
                <w:szCs w:val="22"/>
                <w:lang w:eastAsia="zh-CN"/>
              </w:rPr>
              <m:t>r</m:t>
            </m:r>
          </m:sub>
        </m:sSub>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L</m:t>
            </m:r>
          </m:sub>
        </m:sSub>
        <m:r>
          <w:rPr>
            <w:rFonts w:ascii="Cambria Math" w:hAnsi="Cambria Math"/>
            <w:sz w:val="22"/>
            <w:szCs w:val="22"/>
            <w:lang w:eastAsia="zh-CN"/>
          </w:rPr>
          <m:t xml:space="preserve">, </m:t>
        </m:r>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U</m:t>
            </m:r>
          </m:sub>
        </m:sSub>
        <m:r>
          <w:rPr>
            <w:rFonts w:ascii="Cambria Math" w:hAnsi="Cambria Math"/>
            <w:sz w:val="22"/>
            <w:szCs w:val="22"/>
            <w:lang w:eastAsia="zh-CN"/>
          </w:rPr>
          <m:t>)</m:t>
        </m:r>
      </m:oMath>
      <w:r w:rsidR="00AF57FA">
        <w:rPr>
          <w:sz w:val="22"/>
          <w:szCs w:val="22"/>
          <w:lang w:eastAsia="zh-CN"/>
        </w:rPr>
        <w:t xml:space="preserve"> </w:t>
      </w:r>
      <w:r w:rsidR="00AF57FA" w:rsidRPr="00FD6096">
        <w:rPr>
          <w:sz w:val="22"/>
          <w:szCs w:val="22"/>
          <w:lang w:eastAsia="zh-CN"/>
        </w:rPr>
        <w:t>represent the range of growth rates.</w:t>
      </w:r>
      <w:r w:rsidR="00AF57FA">
        <w:rPr>
          <w:sz w:val="22"/>
          <w:szCs w:val="22"/>
          <w:lang w:eastAsia="zh-CN"/>
        </w:rPr>
        <w:t xml:space="preserve"> Let </w:t>
      </w:r>
      <m:oMath>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r>
          <w:rPr>
            <w:rFonts w:ascii="Cambria Math" w:hAnsi="Cambria Math"/>
            <w:sz w:val="22"/>
            <w:szCs w:val="22"/>
            <w:lang w:eastAsia="zh-CN"/>
          </w:rPr>
          <m:t>(c)</m:t>
        </m:r>
      </m:oMath>
      <w:r w:rsidR="00AF57FA">
        <w:rPr>
          <w:sz w:val="22"/>
          <w:szCs w:val="22"/>
          <w:lang w:eastAsia="zh-CN"/>
        </w:rPr>
        <w:t xml:space="preserve"> </w:t>
      </w:r>
      <w:r w:rsidR="00AF57FA" w:rsidRPr="00FD6096">
        <w:rPr>
          <w:sz w:val="22"/>
          <w:szCs w:val="22"/>
          <w:lang w:eastAsia="zh-CN"/>
        </w:rPr>
        <w:t>denote the density function of the growth rate for the</w:t>
      </w:r>
      <w:r w:rsidR="00AF57FA">
        <w:rPr>
          <w:sz w:val="22"/>
          <w:szCs w:val="22"/>
          <w:lang w:eastAsia="zh-CN"/>
        </w:rPr>
        <w:t xml:space="preserve"> </w:t>
      </w:r>
      <m:oMath>
        <m:sSup>
          <m:sSupPr>
            <m:ctrlPr>
              <w:rPr>
                <w:rFonts w:ascii="Cambria Math" w:hAnsi="Cambria Math"/>
                <w:i/>
                <w:sz w:val="22"/>
                <w:szCs w:val="22"/>
                <w:lang w:eastAsia="zh-CN"/>
              </w:rPr>
            </m:ctrlPr>
          </m:sSupPr>
          <m:e>
            <m:r>
              <w:rPr>
                <w:rFonts w:ascii="Cambria Math" w:hAnsi="Cambria Math"/>
                <w:sz w:val="22"/>
                <w:szCs w:val="22"/>
                <w:lang w:eastAsia="zh-CN"/>
              </w:rPr>
              <m:t>i</m:t>
            </m:r>
          </m:e>
          <m:sup>
            <m:r>
              <w:rPr>
                <w:rFonts w:ascii="Cambria Math" w:hAnsi="Cambria Math"/>
                <w:sz w:val="22"/>
                <w:szCs w:val="22"/>
                <w:lang w:eastAsia="zh-CN"/>
              </w:rPr>
              <m:t>th</m:t>
            </m:r>
          </m:sup>
        </m:sSup>
      </m:oMath>
      <w:r w:rsidR="00AF57FA">
        <w:rPr>
          <w:sz w:val="22"/>
          <w:szCs w:val="22"/>
          <w:lang w:eastAsia="zh-CN"/>
        </w:rPr>
        <w:t xml:space="preserve"> variant and </w:t>
      </w:r>
      <m:oMath>
        <m:sSub>
          <m:sSubPr>
            <m:ctrlPr>
              <w:rPr>
                <w:rFonts w:ascii="Cambria Math" w:hAnsi="Cambria Math"/>
                <w:i/>
                <w:sz w:val="22"/>
                <w:szCs w:val="22"/>
                <w:lang w:eastAsia="zh-CN"/>
              </w:rPr>
            </m:ctrlPr>
          </m:sSubPr>
          <m:e>
            <m:r>
              <w:rPr>
                <w:rFonts w:ascii="Cambria Math" w:hAnsi="Cambria Math"/>
                <w:sz w:val="22"/>
                <w:szCs w:val="22"/>
                <w:lang w:eastAsia="zh-CN"/>
              </w:rPr>
              <m:t>z</m:t>
            </m:r>
          </m:e>
          <m:sub>
            <m:r>
              <w:rPr>
                <w:rFonts w:ascii="Cambria Math" w:hAnsi="Cambria Math"/>
                <w:sz w:val="22"/>
                <w:szCs w:val="22"/>
                <w:lang w:eastAsia="zh-CN"/>
              </w:rPr>
              <m:t>i</m:t>
            </m:r>
          </m:sub>
        </m:sSub>
      </m:oMath>
      <w:r w:rsidR="00AF57FA">
        <w:rPr>
          <w:sz w:val="22"/>
          <w:szCs w:val="22"/>
          <w:lang w:eastAsia="zh-CN"/>
        </w:rPr>
        <w:t xml:space="preserve"> </w:t>
      </w:r>
      <w:r w:rsidR="00AF57FA" w:rsidRPr="00AA6B93">
        <w:rPr>
          <w:sz w:val="22"/>
          <w:szCs w:val="22"/>
          <w:lang w:eastAsia="zh-CN"/>
        </w:rPr>
        <w:t>represent the mean share during the initial period for the</w:t>
      </w:r>
      <w:r w:rsidR="00AF57FA">
        <w:rPr>
          <w:sz w:val="22"/>
          <w:szCs w:val="22"/>
          <w:lang w:eastAsia="zh-CN"/>
        </w:rPr>
        <w:t xml:space="preserve"> </w:t>
      </w:r>
      <m:oMath>
        <m:sSup>
          <m:sSupPr>
            <m:ctrlPr>
              <w:rPr>
                <w:rFonts w:ascii="Cambria Math" w:hAnsi="Cambria Math"/>
                <w:i/>
                <w:sz w:val="22"/>
                <w:szCs w:val="22"/>
                <w:lang w:eastAsia="zh-CN"/>
              </w:rPr>
            </m:ctrlPr>
          </m:sSupPr>
          <m:e>
            <m:r>
              <w:rPr>
                <w:rFonts w:ascii="Cambria Math" w:hAnsi="Cambria Math"/>
                <w:sz w:val="22"/>
                <w:szCs w:val="22"/>
                <w:lang w:eastAsia="zh-CN"/>
              </w:rPr>
              <m:t>i</m:t>
            </m:r>
          </m:e>
          <m:sup>
            <m:r>
              <w:rPr>
                <w:rFonts w:ascii="Cambria Math" w:hAnsi="Cambria Math"/>
                <w:sz w:val="22"/>
                <w:szCs w:val="22"/>
                <w:lang w:eastAsia="zh-CN"/>
              </w:rPr>
              <m:t>th</m:t>
            </m:r>
          </m:sup>
        </m:sSup>
      </m:oMath>
      <w:r w:rsidR="00AF57FA">
        <w:rPr>
          <w:sz w:val="22"/>
          <w:szCs w:val="22"/>
          <w:lang w:eastAsia="zh-CN"/>
        </w:rPr>
        <w:t xml:space="preserve"> variant. </w:t>
      </w:r>
      <w:r w:rsidR="00AF57FA" w:rsidRPr="00AA6B93">
        <w:rPr>
          <w:sz w:val="22"/>
          <w:szCs w:val="22"/>
          <w:lang w:eastAsia="zh-CN"/>
        </w:rPr>
        <w:t>The functional regression model then follows the standard form introduced in Ramsay’s work:</w:t>
      </w:r>
    </w:p>
    <w:p w14:paraId="22A37A1E" w14:textId="77777777" w:rsidR="00AF57FA" w:rsidRDefault="00AF57FA" w:rsidP="00AF57FA">
      <w:pPr>
        <w:pStyle w:val="BodyText"/>
        <w:spacing w:line="276" w:lineRule="auto"/>
        <w:ind w:left="0"/>
        <w:jc w:val="both"/>
        <w:rPr>
          <w:sz w:val="22"/>
          <w:szCs w:val="22"/>
          <w:lang w:eastAsia="zh-CN"/>
        </w:rPr>
      </w:pPr>
      <m:oMathPara>
        <m:oMath>
          <m:r>
            <w:rPr>
              <w:rFonts w:ascii="Cambria Math" w:hAnsi="Cambria Math" w:cs="Calibri"/>
              <w:sz w:val="22"/>
              <w:szCs w:val="22"/>
              <w:lang w:eastAsia="zh-CN"/>
            </w:rPr>
            <m:t>g(E</m:t>
          </m:r>
          <m:d>
            <m:dPr>
              <m:begChr m:val="["/>
              <m:endChr m:val="]"/>
              <m:ctrlPr>
                <w:rPr>
                  <w:rFonts w:ascii="Cambria Math" w:hAnsi="Cambria Math" w:cs="Calibri"/>
                  <w:i/>
                  <w:sz w:val="22"/>
                  <w:szCs w:val="22"/>
                  <w:lang w:eastAsia="zh-CN"/>
                </w:rPr>
              </m:ctrlPr>
            </m:dPr>
            <m:e>
              <m:sSub>
                <m:sSubPr>
                  <m:ctrlPr>
                    <w:rPr>
                      <w:rFonts w:ascii="Cambria Math" w:hAnsi="Cambria Math"/>
                      <w:i/>
                      <w:sz w:val="22"/>
                      <w:szCs w:val="22"/>
                      <w:lang w:eastAsia="zh-CN"/>
                    </w:rPr>
                  </m:ctrlPr>
                </m:sSubPr>
                <m:e>
                  <m:r>
                    <w:rPr>
                      <w:rFonts w:ascii="Cambria Math" w:hAnsi="Cambria Math"/>
                      <w:sz w:val="22"/>
                      <w:szCs w:val="22"/>
                      <w:lang w:eastAsia="zh-CN"/>
                    </w:rPr>
                    <m:t>y</m:t>
                  </m:r>
                </m:e>
                <m:sub>
                  <m:r>
                    <w:rPr>
                      <w:rFonts w:ascii="Cambria Math" w:hAnsi="Cambria Math"/>
                      <w:sz w:val="22"/>
                      <w:szCs w:val="22"/>
                      <w:lang w:eastAsia="zh-CN"/>
                    </w:rPr>
                    <m:t>i</m:t>
                  </m:r>
                </m:sub>
              </m:sSub>
              <m:ctrlPr>
                <w:rPr>
                  <w:rFonts w:ascii="Cambria Math" w:hAnsi="Cambria Math"/>
                  <w:i/>
                  <w:sz w:val="22"/>
                  <w:szCs w:val="22"/>
                  <w:lang w:eastAsia="zh-CN"/>
                </w:rPr>
              </m:ctrlPr>
            </m:e>
          </m:d>
          <m:r>
            <w:rPr>
              <w:rFonts w:ascii="Cambria Math" w:hAnsi="Cambria Math"/>
              <w:sz w:val="22"/>
              <w:szCs w:val="22"/>
              <w:lang w:eastAsia="zh-CN"/>
            </w:rPr>
            <m:t xml:space="preserve">)= </m:t>
          </m:r>
          <m:sSub>
            <m:sSubPr>
              <m:ctrlPr>
                <w:rPr>
                  <w:rFonts w:ascii="Cambria Math" w:hAnsi="Cambria Math"/>
                  <w:i/>
                  <w:sz w:val="22"/>
                  <w:szCs w:val="22"/>
                  <w:lang w:eastAsia="zh-CN"/>
                </w:rPr>
              </m:ctrlPr>
            </m:sSubPr>
            <m:e>
              <m:r>
                <w:rPr>
                  <w:rFonts w:ascii="Cambria Math" w:hAnsi="Cambria Math"/>
                  <w:sz w:val="22"/>
                  <w:szCs w:val="22"/>
                  <w:lang w:eastAsia="zh-CN"/>
                </w:rPr>
                <m:t>β</m:t>
              </m:r>
            </m:e>
            <m:sub>
              <m:r>
                <w:rPr>
                  <w:rFonts w:ascii="Cambria Math" w:hAnsi="Cambria Math"/>
                  <w:sz w:val="22"/>
                  <w:szCs w:val="22"/>
                  <w:lang w:eastAsia="zh-CN"/>
                </w:rPr>
                <m:t>1</m:t>
              </m:r>
            </m:sub>
          </m:sSub>
          <m:sSub>
            <m:sSubPr>
              <m:ctrlPr>
                <w:rPr>
                  <w:rFonts w:ascii="Cambria Math" w:hAnsi="Cambria Math"/>
                  <w:i/>
                  <w:sz w:val="22"/>
                  <w:szCs w:val="22"/>
                  <w:lang w:eastAsia="zh-CN"/>
                </w:rPr>
              </m:ctrlPr>
            </m:sSubPr>
            <m:e>
              <m:r>
                <w:rPr>
                  <w:rFonts w:ascii="Cambria Math" w:hAnsi="Cambria Math"/>
                  <w:sz w:val="22"/>
                  <w:szCs w:val="22"/>
                  <w:lang w:eastAsia="zh-CN"/>
                </w:rPr>
                <m:t>z</m:t>
              </m:r>
            </m:e>
            <m:sub>
              <m:r>
                <w:rPr>
                  <w:rFonts w:ascii="Cambria Math" w:hAnsi="Cambria Math"/>
                  <w:sz w:val="22"/>
                  <w:szCs w:val="22"/>
                  <w:lang w:eastAsia="zh-CN"/>
                </w:rPr>
                <m:t>i</m:t>
              </m:r>
            </m:sub>
          </m:sSub>
          <m:r>
            <w:rPr>
              <w:rFonts w:ascii="Cambria Math" w:hAnsi="Cambria Math"/>
              <w:sz w:val="22"/>
              <w:szCs w:val="22"/>
              <w:lang w:eastAsia="zh-CN"/>
            </w:rPr>
            <m:t xml:space="preserve">+ </m:t>
          </m:r>
          <m:nary>
            <m:naryPr>
              <m:supHide m:val="1"/>
              <m:ctrlPr>
                <w:rPr>
                  <w:rFonts w:ascii="Cambria Math" w:hAnsi="Cambria Math"/>
                  <w:i/>
                  <w:sz w:val="22"/>
                  <w:szCs w:val="22"/>
                  <w:lang w:eastAsia="zh-CN"/>
                </w:rPr>
              </m:ctrlPr>
            </m:naryPr>
            <m:sub>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r</m:t>
                  </m:r>
                </m:sub>
              </m:sSub>
            </m:sub>
            <m:sup/>
            <m:e>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c</m:t>
                  </m:r>
                </m:e>
              </m:d>
              <m:sSub>
                <m:sSubPr>
                  <m:ctrlPr>
                    <w:rPr>
                      <w:rFonts w:ascii="Cambria Math" w:hAnsi="Cambria Math"/>
                      <w:i/>
                      <w:sz w:val="22"/>
                      <w:szCs w:val="22"/>
                      <w:lang w:eastAsia="zh-CN"/>
                    </w:rPr>
                  </m:ctrlPr>
                </m:sSubPr>
                <m:e>
                  <m:r>
                    <w:rPr>
                      <w:rFonts w:ascii="Cambria Math" w:hAnsi="Cambria Math"/>
                      <w:sz w:val="22"/>
                      <w:szCs w:val="22"/>
                      <w:lang w:eastAsia="zh-CN"/>
                    </w:rPr>
                    <m:t>β</m:t>
                  </m:r>
                </m:e>
                <m:sub>
                  <m:r>
                    <w:rPr>
                      <w:rFonts w:ascii="Cambria Math" w:hAnsi="Cambria Math"/>
                      <w:sz w:val="22"/>
                      <w:szCs w:val="22"/>
                      <w:lang w:eastAsia="zh-CN"/>
                    </w:rPr>
                    <m:t>2</m:t>
                  </m:r>
                </m:sub>
              </m:sSub>
              <m:d>
                <m:dPr>
                  <m:ctrlPr>
                    <w:rPr>
                      <w:rFonts w:ascii="Cambria Math" w:hAnsi="Cambria Math"/>
                      <w:i/>
                      <w:sz w:val="22"/>
                      <w:szCs w:val="22"/>
                      <w:lang w:eastAsia="zh-CN"/>
                    </w:rPr>
                  </m:ctrlPr>
                </m:dPr>
                <m:e>
                  <m:r>
                    <w:rPr>
                      <w:rFonts w:ascii="Cambria Math" w:hAnsi="Cambria Math"/>
                      <w:sz w:val="22"/>
                      <w:szCs w:val="22"/>
                      <w:lang w:eastAsia="zh-CN"/>
                    </w:rPr>
                    <m:t>c</m:t>
                  </m:r>
                </m:e>
              </m:d>
              <m:r>
                <w:rPr>
                  <w:rFonts w:ascii="Cambria Math" w:hAnsi="Cambria Math"/>
                  <w:sz w:val="22"/>
                  <w:szCs w:val="22"/>
                  <w:lang w:eastAsia="zh-CN"/>
                </w:rPr>
                <m:t>dc</m:t>
              </m:r>
            </m:e>
          </m:nary>
        </m:oMath>
      </m:oMathPara>
    </w:p>
    <w:p w14:paraId="7490845F" w14:textId="77777777" w:rsidR="00AF57FA" w:rsidRDefault="00AF57FA" w:rsidP="00AF57FA">
      <w:pPr>
        <w:pStyle w:val="BodyText"/>
        <w:spacing w:line="276" w:lineRule="auto"/>
        <w:ind w:left="0"/>
        <w:jc w:val="both"/>
        <w:rPr>
          <w:rFonts w:eastAsiaTheme="minorEastAsia"/>
          <w:sz w:val="22"/>
          <w:szCs w:val="22"/>
          <w:lang w:eastAsia="zh-CN"/>
        </w:rPr>
      </w:pPr>
      <w:r>
        <w:rPr>
          <w:rFonts w:eastAsiaTheme="minorEastAsia"/>
          <w:sz w:val="22"/>
          <w:szCs w:val="22"/>
          <w:lang w:eastAsia="ko-KR"/>
        </w:rPr>
        <w:t xml:space="preserve">Here,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β</m:t>
            </m:r>
          </m:e>
          <m:sub>
            <m:r>
              <w:rPr>
                <w:rFonts w:ascii="Cambria Math" w:eastAsiaTheme="minorEastAsia" w:hAnsi="Cambria Math"/>
                <w:sz w:val="22"/>
                <w:szCs w:val="22"/>
                <w:lang w:eastAsia="ko-KR"/>
              </w:rPr>
              <m:t>1</m:t>
            </m:r>
          </m:sub>
        </m:sSub>
      </m:oMath>
      <w:r>
        <w:rPr>
          <w:rFonts w:eastAsiaTheme="minorEastAsia"/>
          <w:sz w:val="22"/>
          <w:szCs w:val="22"/>
          <w:lang w:eastAsia="ko-KR"/>
        </w:rPr>
        <w:t xml:space="preserve"> </w:t>
      </w:r>
      <w:r w:rsidRPr="0002700B">
        <w:rPr>
          <w:rFonts w:eastAsiaTheme="minorEastAsia"/>
          <w:sz w:val="22"/>
          <w:szCs w:val="22"/>
          <w:lang w:eastAsia="ko-KR"/>
        </w:rPr>
        <w:t>captures the effect of the mean initial share</w:t>
      </w:r>
      <w:r>
        <w:rPr>
          <w:rFonts w:eastAsiaTheme="minorEastAsia"/>
          <w:sz w:val="22"/>
          <w:szCs w:val="22"/>
          <w:lang w:eastAsia="ko-KR"/>
        </w:rPr>
        <w:t xml:space="preserv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z</m:t>
            </m:r>
          </m:e>
          <m:sub>
            <m:r>
              <w:rPr>
                <w:rFonts w:ascii="Cambria Math" w:eastAsiaTheme="minorEastAsia" w:hAnsi="Cambria Math"/>
                <w:sz w:val="22"/>
                <w:szCs w:val="22"/>
                <w:lang w:eastAsia="ko-KR"/>
              </w:rPr>
              <m:t>i</m:t>
            </m:r>
          </m:sub>
        </m:sSub>
      </m:oMath>
      <w:r>
        <w:rPr>
          <w:rFonts w:eastAsiaTheme="minorEastAsia"/>
          <w:sz w:val="22"/>
          <w:szCs w:val="22"/>
          <w:lang w:eastAsia="ko-KR"/>
        </w:rPr>
        <w:t xml:space="preserve"> on the response variable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y</m:t>
            </m:r>
          </m:e>
          <m:sub>
            <m:r>
              <w:rPr>
                <w:rFonts w:ascii="Cambria Math" w:eastAsiaTheme="minorEastAsia" w:hAnsi="Cambria Math"/>
                <w:sz w:val="22"/>
                <w:szCs w:val="22"/>
                <w:lang w:eastAsia="ko-KR"/>
              </w:rPr>
              <m:t>i</m:t>
            </m:r>
          </m:sub>
        </m:sSub>
      </m:oMath>
      <w:r>
        <w:rPr>
          <w:rFonts w:eastAsiaTheme="minorEastAsia"/>
          <w:sz w:val="22"/>
          <w:szCs w:val="22"/>
          <w:lang w:eastAsia="ko-KR"/>
        </w:rPr>
        <w:t xml:space="preserve">, while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β</m:t>
            </m:r>
          </m:e>
          <m:sub>
            <m:r>
              <w:rPr>
                <w:rFonts w:ascii="Cambria Math" w:eastAsiaTheme="minorEastAsia" w:hAnsi="Cambria Math"/>
                <w:sz w:val="22"/>
                <w:szCs w:val="22"/>
                <w:lang w:eastAsia="ko-KR"/>
              </w:rPr>
              <m:t>2</m:t>
            </m:r>
          </m:sub>
        </m:sSub>
        <m:r>
          <w:rPr>
            <w:rFonts w:ascii="Cambria Math" w:eastAsiaTheme="minorEastAsia" w:hAnsi="Cambria Math"/>
            <w:sz w:val="22"/>
            <w:szCs w:val="22"/>
            <w:lang w:eastAsia="ko-KR"/>
          </w:rPr>
          <m:t>(c)</m:t>
        </m:r>
      </m:oMath>
      <w:r>
        <w:rPr>
          <w:rFonts w:eastAsiaTheme="minorEastAsia"/>
          <w:sz w:val="22"/>
          <w:szCs w:val="22"/>
          <w:lang w:eastAsia="ko-KR"/>
        </w:rPr>
        <w:t xml:space="preserve"> </w:t>
      </w:r>
      <w:r w:rsidRPr="00D64D42">
        <w:rPr>
          <w:rFonts w:eastAsiaTheme="minorEastAsia"/>
          <w:sz w:val="22"/>
          <w:szCs w:val="22"/>
          <w:lang w:eastAsia="ko-KR"/>
        </w:rPr>
        <w:t xml:space="preserve">represents the functional coefficient </w:t>
      </w:r>
      <w:r>
        <w:rPr>
          <w:rFonts w:eastAsiaTheme="minorEastAsia"/>
          <w:sz w:val="22"/>
          <w:szCs w:val="22"/>
          <w:lang w:eastAsia="ko-KR"/>
        </w:rPr>
        <w:t>(generated via Fourier basis in our analysis [</w:t>
      </w:r>
      <w:r w:rsidRPr="00434FF5">
        <w:rPr>
          <w:rFonts w:eastAsiaTheme="minorEastAsia"/>
          <w:sz w:val="22"/>
          <w:szCs w:val="22"/>
          <w:highlight w:val="yellow"/>
          <w:lang w:eastAsia="ko-KR"/>
        </w:rPr>
        <w:t>REF</w:t>
      </w:r>
      <w:r>
        <w:rPr>
          <w:rFonts w:eastAsiaTheme="minorEastAsia"/>
          <w:sz w:val="22"/>
          <w:szCs w:val="22"/>
          <w:lang w:eastAsia="ko-KR"/>
        </w:rPr>
        <w:t xml:space="preserve">]) </w:t>
      </w:r>
      <w:r w:rsidRPr="00D64D42">
        <w:rPr>
          <w:rFonts w:eastAsiaTheme="minorEastAsia"/>
          <w:sz w:val="22"/>
          <w:szCs w:val="22"/>
          <w:lang w:eastAsia="ko-KR"/>
        </w:rPr>
        <w:t>that quantifies the contribution of the growth rate density</w:t>
      </w:r>
      <w:r>
        <w:rPr>
          <w:rFonts w:eastAsiaTheme="minorEastAsia"/>
          <w:sz w:val="22"/>
          <w:szCs w:val="22"/>
          <w:lang w:eastAsia="ko-KR"/>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r>
          <w:rPr>
            <w:rFonts w:ascii="Cambria Math" w:hAnsi="Cambria Math"/>
            <w:sz w:val="22"/>
            <w:szCs w:val="22"/>
            <w:lang w:eastAsia="zh-CN"/>
          </w:rPr>
          <m:t>(c)</m:t>
        </m:r>
      </m:oMath>
      <w:r>
        <w:rPr>
          <w:rFonts w:eastAsiaTheme="minorEastAsia"/>
          <w:sz w:val="22"/>
          <w:szCs w:val="22"/>
          <w:lang w:eastAsia="zh-CN"/>
        </w:rPr>
        <w:t xml:space="preserve">, </w:t>
      </w:r>
      <w:r w:rsidRPr="00D64D42">
        <w:rPr>
          <w:rFonts w:eastAsiaTheme="minorEastAsia"/>
          <w:sz w:val="22"/>
          <w:szCs w:val="22"/>
          <w:lang w:eastAsia="zh-CN"/>
        </w:rPr>
        <w:t>at each value</w:t>
      </w:r>
      <w:r>
        <w:rPr>
          <w:rFonts w:eastAsiaTheme="minorEastAsia"/>
          <w:sz w:val="22"/>
          <w:szCs w:val="22"/>
          <w:lang w:eastAsia="zh-CN"/>
        </w:rPr>
        <w:t xml:space="preserve"> </w:t>
      </w:r>
      <m:oMath>
        <m:r>
          <w:rPr>
            <w:rFonts w:ascii="Cambria Math" w:hAnsi="Cambria Math"/>
            <w:sz w:val="22"/>
            <w:szCs w:val="22"/>
            <w:lang w:eastAsia="zh-CN"/>
          </w:rPr>
          <m:t>c</m:t>
        </m:r>
      </m:oMath>
      <w:r>
        <w:rPr>
          <w:rFonts w:eastAsiaTheme="minorEastAsia"/>
          <w:sz w:val="22"/>
          <w:szCs w:val="22"/>
          <w:lang w:eastAsia="zh-CN"/>
        </w:rPr>
        <w:t xml:space="preserve"> </w:t>
      </w:r>
      <w:r w:rsidRPr="00C26037">
        <w:rPr>
          <w:rFonts w:eastAsiaTheme="minorEastAsia"/>
          <w:sz w:val="22"/>
          <w:szCs w:val="22"/>
          <w:lang w:eastAsia="zh-CN"/>
        </w:rPr>
        <w:t>within the range</w:t>
      </w:r>
      <m:oMath>
        <m:sSub>
          <m:sSubPr>
            <m:ctrlPr>
              <w:rPr>
                <w:rFonts w:ascii="Cambria Math" w:hAnsi="Cambria Math"/>
                <w:i/>
                <w:sz w:val="22"/>
                <w:szCs w:val="22"/>
                <w:lang w:eastAsia="zh-CN"/>
              </w:rPr>
            </m:ctrlPr>
          </m:sSubPr>
          <m:e>
            <m:r>
              <w:rPr>
                <w:rFonts w:ascii="Cambria Math" w:hAnsi="Cambria Math"/>
                <w:sz w:val="22"/>
                <w:szCs w:val="22"/>
                <w:lang w:eastAsia="zh-CN"/>
              </w:rPr>
              <m:t xml:space="preserve"> C</m:t>
            </m:r>
          </m:e>
          <m:sub>
            <m:r>
              <w:rPr>
                <w:rFonts w:ascii="Cambria Math" w:hAnsi="Cambria Math"/>
                <w:sz w:val="22"/>
                <w:szCs w:val="22"/>
                <w:lang w:eastAsia="zh-CN"/>
              </w:rPr>
              <m:t>r</m:t>
            </m:r>
          </m:sub>
        </m:sSub>
      </m:oMath>
      <w:r>
        <w:rPr>
          <w:rFonts w:eastAsiaTheme="minorEastAsia"/>
          <w:sz w:val="22"/>
          <w:szCs w:val="22"/>
          <w:lang w:eastAsia="zh-CN"/>
        </w:rPr>
        <w:t xml:space="preserve">. </w:t>
      </w:r>
      <w:r w:rsidRPr="002F262C">
        <w:rPr>
          <w:rFonts w:eastAsiaTheme="minorEastAsia"/>
          <w:sz w:val="22"/>
          <w:szCs w:val="22"/>
          <w:lang w:eastAsia="zh-CN"/>
        </w:rPr>
        <w:t xml:space="preserve">Since the assessment of variant dominance is based on two perspectives—the maximum share of infections and the duration of the epidemic wave—the response variable </w:t>
      </w:r>
      <m:oMath>
        <m:sSub>
          <m:sSubPr>
            <m:ctrlPr>
              <w:rPr>
                <w:rFonts w:ascii="Cambria Math" w:hAnsi="Cambria Math"/>
                <w:i/>
                <w:sz w:val="22"/>
                <w:szCs w:val="22"/>
                <w:lang w:eastAsia="zh-CN"/>
              </w:rPr>
            </m:ctrlPr>
          </m:sSubPr>
          <m:e>
            <m:r>
              <w:rPr>
                <w:rFonts w:ascii="Cambria Math" w:hAnsi="Cambria Math"/>
                <w:sz w:val="22"/>
                <w:szCs w:val="22"/>
                <w:lang w:eastAsia="zh-CN"/>
              </w:rPr>
              <m:t>y</m:t>
            </m:r>
          </m:e>
          <m:sub>
            <m:r>
              <w:rPr>
                <w:rFonts w:ascii="Cambria Math" w:hAnsi="Cambria Math"/>
                <w:sz w:val="22"/>
                <w:szCs w:val="22"/>
                <w:lang w:eastAsia="zh-CN"/>
              </w:rPr>
              <m:t>i</m:t>
            </m:r>
          </m:sub>
        </m:sSub>
      </m:oMath>
      <w:r w:rsidRPr="002F262C">
        <w:rPr>
          <w:rFonts w:eastAsiaTheme="minorEastAsia"/>
          <w:sz w:val="22"/>
          <w:szCs w:val="22"/>
          <w:lang w:eastAsia="zh-CN"/>
        </w:rPr>
        <w:t xml:space="preserve"> can represent either the maximum share or the duration</w:t>
      </w:r>
      <w:r>
        <w:rPr>
          <w:rFonts w:eastAsiaTheme="minorEastAsia"/>
          <w:sz w:val="22"/>
          <w:szCs w:val="22"/>
          <w:lang w:eastAsia="zh-CN"/>
        </w:rPr>
        <w:t xml:space="preserve">. </w:t>
      </w:r>
    </w:p>
    <w:p w14:paraId="0A3B811F" w14:textId="77777777" w:rsidR="001D0EDB" w:rsidRDefault="001D0EDB" w:rsidP="0089048B">
      <w:pPr>
        <w:pStyle w:val="BodyText"/>
        <w:spacing w:line="276" w:lineRule="auto"/>
        <w:ind w:left="0"/>
        <w:jc w:val="both"/>
        <w:rPr>
          <w:sz w:val="22"/>
          <w:szCs w:val="22"/>
        </w:rPr>
      </w:pPr>
    </w:p>
    <w:p w14:paraId="4DA153C0" w14:textId="0BD8D25D" w:rsidR="004A0A22" w:rsidRDefault="00C051F3" w:rsidP="00785081">
      <w:pPr>
        <w:pStyle w:val="BodyText"/>
        <w:spacing w:line="276" w:lineRule="auto"/>
        <w:ind w:left="0"/>
        <w:jc w:val="both"/>
        <w:rPr>
          <w:sz w:val="22"/>
          <w:szCs w:val="22"/>
        </w:rPr>
      </w:pPr>
      <w:r w:rsidRPr="00C051F3">
        <w:rPr>
          <w:sz w:val="22"/>
          <w:szCs w:val="22"/>
        </w:rPr>
        <w:t>All model results were evaluated using 5-fold cross-validation, in which the data were randomly partitioned into five subsets, with each subset used once as a test set while the remaining four were used for training. Model performance was assessed using two complementary metrics: root mean square error (RMSE) and coefficient of determination (R²). RMSE captures the average magnitude of prediction errors, providing an interpretable measure of accuracy in the original scale of the response variable, while R² quantifies the proportion of variance explained by the model, reflecting its overall explanatory power. This cross-validation framework ensures robust, out-of-sample evaluation and mitigates the risk of overfitting.</w:t>
      </w:r>
    </w:p>
    <w:p w14:paraId="0A563CB3" w14:textId="77777777" w:rsidR="0052192E" w:rsidRDefault="0052192E" w:rsidP="00FA7F1A">
      <w:pPr>
        <w:pStyle w:val="BodyText"/>
        <w:spacing w:line="276" w:lineRule="auto"/>
        <w:ind w:left="0"/>
        <w:jc w:val="both"/>
        <w:rPr>
          <w:sz w:val="22"/>
          <w:szCs w:val="22"/>
          <w:lang w:eastAsia="zh-CN"/>
        </w:rPr>
      </w:pPr>
    </w:p>
    <w:p w14:paraId="2E6A5DF1" w14:textId="217E9228" w:rsidR="00534FC1" w:rsidRDefault="002770CB" w:rsidP="00FA7F1A">
      <w:pPr>
        <w:pStyle w:val="BodyText"/>
        <w:spacing w:line="276" w:lineRule="auto"/>
        <w:ind w:left="0"/>
        <w:jc w:val="both"/>
        <w:rPr>
          <w:sz w:val="22"/>
          <w:szCs w:val="22"/>
          <w:lang w:eastAsia="zh-CN"/>
        </w:rPr>
      </w:pPr>
      <w:r>
        <w:rPr>
          <w:rFonts w:eastAsiaTheme="minorEastAsia" w:hint="eastAsia"/>
          <w:noProof/>
          <w:sz w:val="22"/>
          <w:szCs w:val="22"/>
          <w:lang w:eastAsia="ko-KR"/>
          <w14:ligatures w14:val="standardContextual"/>
        </w:rPr>
        <w:drawing>
          <wp:inline distT="0" distB="0" distL="0" distR="0" wp14:anchorId="0FB9CD18" wp14:editId="18D01187">
            <wp:extent cx="6191250" cy="2992120"/>
            <wp:effectExtent l="0" t="0" r="6350" b="5080"/>
            <wp:docPr id="1132688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8897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91250" cy="2992120"/>
                    </a:xfrm>
                    <a:prstGeom prst="rect">
                      <a:avLst/>
                    </a:prstGeom>
                  </pic:spPr>
                </pic:pic>
              </a:graphicData>
            </a:graphic>
          </wp:inline>
        </w:drawing>
      </w:r>
    </w:p>
    <w:p w14:paraId="4D2B64BF" w14:textId="67063547" w:rsidR="003D2D12" w:rsidRDefault="00436BAE" w:rsidP="00FA7F1A">
      <w:pPr>
        <w:pStyle w:val="BodyText"/>
        <w:spacing w:line="276" w:lineRule="auto"/>
        <w:ind w:left="0"/>
        <w:jc w:val="both"/>
        <w:rPr>
          <w:rFonts w:eastAsiaTheme="minorEastAsia"/>
          <w:sz w:val="22"/>
          <w:szCs w:val="22"/>
          <w:lang w:eastAsia="zh-CN"/>
        </w:rPr>
      </w:pPr>
      <w:r>
        <w:rPr>
          <w:rFonts w:eastAsiaTheme="minorEastAsia" w:hint="eastAsia"/>
          <w:sz w:val="22"/>
          <w:szCs w:val="22"/>
          <w:lang w:eastAsia="ko-KR"/>
        </w:rPr>
        <w:t>T</w:t>
      </w:r>
      <w:r>
        <w:rPr>
          <w:rFonts w:eastAsiaTheme="minorEastAsia"/>
          <w:sz w:val="22"/>
          <w:szCs w:val="22"/>
          <w:lang w:eastAsia="ko-KR"/>
        </w:rPr>
        <w:t>a</w:t>
      </w:r>
      <w:r>
        <w:rPr>
          <w:rFonts w:eastAsiaTheme="minorEastAsia" w:hint="eastAsia"/>
          <w:sz w:val="22"/>
          <w:szCs w:val="22"/>
          <w:lang w:eastAsia="ko-KR"/>
        </w:rPr>
        <w:t xml:space="preserve">ble 1. </w:t>
      </w:r>
      <w:r w:rsidR="003D2D12">
        <w:rPr>
          <w:rFonts w:eastAsiaTheme="minorEastAsia" w:hint="eastAsia"/>
          <w:sz w:val="22"/>
          <w:szCs w:val="22"/>
          <w:lang w:eastAsia="ko-KR"/>
        </w:rPr>
        <w:t>descriptive summary of data input</w:t>
      </w:r>
      <w:r w:rsidR="001556DF">
        <w:rPr>
          <w:rFonts w:eastAsiaTheme="minorEastAsia" w:hint="eastAsia"/>
          <w:sz w:val="22"/>
          <w:szCs w:val="22"/>
          <w:lang w:eastAsia="ko-KR"/>
        </w:rPr>
        <w:t xml:space="preserve"> by 3 count</w:t>
      </w:r>
      <w:r w:rsidR="008D5959">
        <w:rPr>
          <w:rFonts w:eastAsiaTheme="minorEastAsia" w:hint="eastAsia"/>
          <w:sz w:val="22"/>
          <w:szCs w:val="22"/>
          <w:lang w:eastAsia="ko-KR"/>
        </w:rPr>
        <w:t>ries</w:t>
      </w:r>
      <w:r w:rsidR="000D76E2">
        <w:rPr>
          <w:rFonts w:eastAsiaTheme="minorEastAsia"/>
          <w:sz w:val="22"/>
          <w:szCs w:val="22"/>
          <w:lang w:eastAsia="ko-KR"/>
        </w:rPr>
        <w:t xml:space="preserve">. </w:t>
      </w:r>
    </w:p>
    <w:p w14:paraId="66D03478" w14:textId="77777777" w:rsidR="002770CB" w:rsidRDefault="002770CB" w:rsidP="00FA7F1A">
      <w:pPr>
        <w:pStyle w:val="BodyText"/>
        <w:spacing w:line="276" w:lineRule="auto"/>
        <w:ind w:left="0"/>
        <w:jc w:val="both"/>
        <w:rPr>
          <w:rFonts w:eastAsiaTheme="minorEastAsia"/>
          <w:sz w:val="22"/>
          <w:szCs w:val="22"/>
          <w:lang w:eastAsia="ko-KR"/>
        </w:rPr>
      </w:pPr>
    </w:p>
    <w:p w14:paraId="0D295140" w14:textId="493D7309" w:rsidR="002770CB" w:rsidRDefault="002B7870" w:rsidP="00FA7F1A">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55730798" wp14:editId="242A88E1">
            <wp:extent cx="6191250" cy="4422140"/>
            <wp:effectExtent l="0" t="0" r="6350" b="0"/>
            <wp:docPr id="1434392638" name="Picture 3" descr="A group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92638" name="Picture 3" descr="A group of colorful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4C9F510C" w14:textId="7BE1935A" w:rsidR="003D2D12" w:rsidRDefault="00FC7F1B" w:rsidP="00FA7F1A">
      <w:pPr>
        <w:pStyle w:val="BodyText"/>
        <w:spacing w:line="276" w:lineRule="auto"/>
        <w:ind w:left="0"/>
        <w:jc w:val="both"/>
        <w:rPr>
          <w:rFonts w:eastAsiaTheme="minorEastAsia"/>
          <w:sz w:val="22"/>
          <w:szCs w:val="22"/>
          <w:lang w:eastAsia="ko-KR"/>
        </w:rPr>
      </w:pPr>
      <w:r>
        <w:rPr>
          <w:rFonts w:eastAsiaTheme="minorEastAsia" w:hint="eastAsia"/>
          <w:sz w:val="22"/>
          <w:szCs w:val="22"/>
          <w:lang w:eastAsia="ko-KR"/>
        </w:rPr>
        <w:t>Figure 1</w:t>
      </w:r>
      <w:r w:rsidR="003D2D12">
        <w:rPr>
          <w:rFonts w:eastAsiaTheme="minorEastAsia" w:hint="eastAsia"/>
          <w:sz w:val="22"/>
          <w:szCs w:val="22"/>
          <w:lang w:eastAsia="ko-KR"/>
        </w:rPr>
        <w:t xml:space="preserve">. </w:t>
      </w:r>
      <w:r w:rsidR="00A2369E">
        <w:rPr>
          <w:rFonts w:eastAsiaTheme="minorEastAsia" w:hint="eastAsia"/>
          <w:sz w:val="22"/>
          <w:szCs w:val="22"/>
          <w:lang w:eastAsia="ko-KR"/>
        </w:rPr>
        <w:t xml:space="preserve">descriptive summary </w:t>
      </w:r>
      <w:r w:rsidR="001556DF">
        <w:rPr>
          <w:rFonts w:eastAsiaTheme="minorEastAsia" w:hint="eastAsia"/>
          <w:sz w:val="22"/>
          <w:szCs w:val="22"/>
          <w:lang w:eastAsia="ko-KR"/>
        </w:rPr>
        <w:t>of variants time series distribution by 3 countries</w:t>
      </w:r>
    </w:p>
    <w:p w14:paraId="234DDC19" w14:textId="77777777" w:rsidR="00FC7F1B" w:rsidRDefault="00FC7F1B" w:rsidP="00FA7F1A">
      <w:pPr>
        <w:pStyle w:val="BodyText"/>
        <w:spacing w:line="276" w:lineRule="auto"/>
        <w:ind w:left="0"/>
        <w:jc w:val="both"/>
        <w:rPr>
          <w:rFonts w:eastAsiaTheme="minorEastAsia"/>
          <w:sz w:val="22"/>
          <w:szCs w:val="22"/>
          <w:lang w:eastAsia="ko-KR"/>
        </w:rPr>
      </w:pPr>
    </w:p>
    <w:p w14:paraId="75EC9EA4" w14:textId="0C518940" w:rsidR="00534FC1" w:rsidRDefault="00AD2D6F" w:rsidP="00FA7F1A">
      <w:pPr>
        <w:pStyle w:val="BodyText"/>
        <w:spacing w:line="276" w:lineRule="auto"/>
        <w:ind w:left="0"/>
        <w:jc w:val="both"/>
        <w:rPr>
          <w:sz w:val="22"/>
          <w:szCs w:val="22"/>
          <w:lang w:eastAsia="zh-CN"/>
        </w:rPr>
      </w:pPr>
      <w:r>
        <w:rPr>
          <w:rFonts w:eastAsiaTheme="minorEastAsia" w:hint="eastAsia"/>
          <w:sz w:val="22"/>
          <w:szCs w:val="22"/>
          <w:lang w:eastAsia="ko-KR"/>
        </w:rPr>
        <w:t>Figure 2. data/model flow</w:t>
      </w:r>
    </w:p>
    <w:p w14:paraId="3DA8AFD2" w14:textId="77777777" w:rsidR="00534FC1" w:rsidRDefault="00534FC1" w:rsidP="00FA7F1A">
      <w:pPr>
        <w:pStyle w:val="BodyText"/>
        <w:spacing w:line="276" w:lineRule="auto"/>
        <w:ind w:left="0"/>
        <w:jc w:val="both"/>
        <w:rPr>
          <w:sz w:val="22"/>
          <w:szCs w:val="22"/>
          <w:lang w:eastAsia="zh-CN"/>
        </w:rPr>
      </w:pPr>
    </w:p>
    <w:p w14:paraId="17FF02E9" w14:textId="77777777" w:rsidR="00534FC1" w:rsidRDefault="00534FC1" w:rsidP="00FA7F1A">
      <w:pPr>
        <w:pStyle w:val="BodyText"/>
        <w:spacing w:line="276" w:lineRule="auto"/>
        <w:ind w:left="0"/>
        <w:jc w:val="both"/>
        <w:rPr>
          <w:sz w:val="22"/>
          <w:szCs w:val="22"/>
          <w:lang w:eastAsia="zh-CN"/>
        </w:rPr>
      </w:pPr>
    </w:p>
    <w:p w14:paraId="279AAF72" w14:textId="77777777" w:rsidR="00534FC1" w:rsidRDefault="00534FC1" w:rsidP="00FA7F1A">
      <w:pPr>
        <w:pStyle w:val="BodyText"/>
        <w:spacing w:line="276" w:lineRule="auto"/>
        <w:ind w:left="0"/>
        <w:jc w:val="both"/>
        <w:rPr>
          <w:sz w:val="22"/>
          <w:szCs w:val="22"/>
          <w:lang w:eastAsia="zh-CN"/>
        </w:rPr>
      </w:pPr>
    </w:p>
    <w:p w14:paraId="52DC873C" w14:textId="77777777" w:rsidR="00534FC1" w:rsidRDefault="00534FC1" w:rsidP="00FA7F1A">
      <w:pPr>
        <w:pStyle w:val="BodyText"/>
        <w:spacing w:line="276" w:lineRule="auto"/>
        <w:ind w:left="0"/>
        <w:jc w:val="both"/>
        <w:rPr>
          <w:sz w:val="22"/>
          <w:szCs w:val="22"/>
          <w:lang w:eastAsia="zh-CN"/>
        </w:rPr>
      </w:pPr>
    </w:p>
    <w:p w14:paraId="00F082ED" w14:textId="77777777" w:rsidR="00534FC1" w:rsidRDefault="00534FC1" w:rsidP="00FA7F1A">
      <w:pPr>
        <w:pStyle w:val="BodyText"/>
        <w:spacing w:line="276" w:lineRule="auto"/>
        <w:ind w:left="0"/>
        <w:jc w:val="both"/>
        <w:rPr>
          <w:sz w:val="22"/>
          <w:szCs w:val="22"/>
          <w:lang w:eastAsia="zh-CN"/>
        </w:rPr>
      </w:pP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p w14:paraId="7D1EABB1" w14:textId="77777777" w:rsidR="00AD2D6F" w:rsidRDefault="00AD2D6F" w:rsidP="0052192E">
      <w:pPr>
        <w:pStyle w:val="BodyText"/>
        <w:spacing w:line="276" w:lineRule="auto"/>
        <w:ind w:left="0"/>
        <w:jc w:val="both"/>
        <w:rPr>
          <w:rFonts w:eastAsiaTheme="minorEastAsia"/>
          <w:b/>
          <w:bCs/>
          <w:sz w:val="22"/>
          <w:szCs w:val="22"/>
          <w:lang w:eastAsia="ko-KR"/>
        </w:rPr>
      </w:pPr>
    </w:p>
    <w:p w14:paraId="036F014C" w14:textId="74A92072" w:rsidR="00AD2D6F" w:rsidRDefault="00BA632D"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 xml:space="preserve">Table </w:t>
      </w:r>
      <w:r w:rsidR="009468B5">
        <w:rPr>
          <w:rFonts w:eastAsiaTheme="minorEastAsia" w:hint="eastAsia"/>
          <w:b/>
          <w:bCs/>
          <w:sz w:val="22"/>
          <w:szCs w:val="22"/>
          <w:lang w:eastAsia="ko-KR"/>
        </w:rPr>
        <w:t>2</w:t>
      </w:r>
      <w:r>
        <w:rPr>
          <w:rFonts w:eastAsiaTheme="minorEastAsia" w:hint="eastAsia"/>
          <w:b/>
          <w:bCs/>
          <w:sz w:val="22"/>
          <w:szCs w:val="22"/>
          <w:lang w:eastAsia="ko-KR"/>
        </w:rPr>
        <w:t xml:space="preserve">. </w:t>
      </w:r>
      <w:r w:rsidR="00420D2D">
        <w:rPr>
          <w:rFonts w:eastAsiaTheme="minorEastAsia" w:hint="eastAsia"/>
          <w:b/>
          <w:bCs/>
          <w:sz w:val="22"/>
          <w:szCs w:val="22"/>
          <w:lang w:eastAsia="ko-KR"/>
        </w:rPr>
        <w:t xml:space="preserve">model performance of maximum prediction </w:t>
      </w:r>
    </w:p>
    <w:p w14:paraId="2F39E5E6" w14:textId="6EF06C49" w:rsidR="00D67DAE" w:rsidRDefault="00420D2D" w:rsidP="0052192E">
      <w:pPr>
        <w:pStyle w:val="BodyText"/>
        <w:spacing w:line="276" w:lineRule="auto"/>
        <w:ind w:left="0"/>
        <w:jc w:val="both"/>
        <w:rPr>
          <w:rFonts w:eastAsiaTheme="minorEastAsia"/>
          <w:b/>
          <w:bCs/>
          <w:sz w:val="22"/>
          <w:szCs w:val="22"/>
          <w:lang w:eastAsia="ko-KR"/>
        </w:rPr>
      </w:pPr>
      <w:r w:rsidRPr="00397A84">
        <w:rPr>
          <w:rFonts w:eastAsiaTheme="minorEastAsia" w:hint="eastAsia"/>
          <w:b/>
          <w:bCs/>
          <w:sz w:val="22"/>
          <w:szCs w:val="22"/>
          <w:highlight w:val="yellow"/>
          <w:lang w:eastAsia="ko-KR"/>
        </w:rPr>
        <w:t xml:space="preserve">Figure </w:t>
      </w:r>
      <w:r w:rsidR="009468B5" w:rsidRPr="00397A84">
        <w:rPr>
          <w:rFonts w:eastAsiaTheme="minorEastAsia" w:hint="eastAsia"/>
          <w:b/>
          <w:bCs/>
          <w:sz w:val="22"/>
          <w:szCs w:val="22"/>
          <w:highlight w:val="yellow"/>
          <w:lang w:eastAsia="ko-KR"/>
        </w:rPr>
        <w:t>3</w:t>
      </w:r>
      <w:r w:rsidRPr="00397A84">
        <w:rPr>
          <w:rFonts w:eastAsiaTheme="minorEastAsia" w:hint="eastAsia"/>
          <w:b/>
          <w:bCs/>
          <w:sz w:val="22"/>
          <w:szCs w:val="22"/>
          <w:highlight w:val="yellow"/>
          <w:lang w:eastAsia="ko-KR"/>
        </w:rPr>
        <w:t xml:space="preserve">. </w:t>
      </w:r>
      <w:r w:rsidR="00D67DAE" w:rsidRPr="00397A84">
        <w:rPr>
          <w:rFonts w:eastAsiaTheme="minorEastAsia" w:hint="eastAsia"/>
          <w:b/>
          <w:bCs/>
          <w:sz w:val="22"/>
          <w:szCs w:val="22"/>
          <w:highlight w:val="yellow"/>
          <w:lang w:eastAsia="ko-KR"/>
        </w:rPr>
        <w:t>maximum prediction box plot over time by model</w:t>
      </w:r>
    </w:p>
    <w:p w14:paraId="4AE764C6" w14:textId="71CAA6DE" w:rsidR="009A2F5B" w:rsidRPr="00B2077A" w:rsidRDefault="00247FD7"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w:t>
      </w:r>
      <w:r w:rsidR="00C92BDE">
        <w:rPr>
          <w:rFonts w:eastAsiaTheme="minorEastAsia" w:hint="eastAsia"/>
          <w:b/>
          <w:bCs/>
          <w:sz w:val="22"/>
          <w:szCs w:val="22"/>
          <w:lang w:eastAsia="ko-KR"/>
        </w:rPr>
        <w:t xml:space="preserve">model performance by specific </w:t>
      </w:r>
      <w:r w:rsidR="00C92BDE" w:rsidRPr="0071029E">
        <w:rPr>
          <w:rFonts w:eastAsiaTheme="minorEastAsia" w:hint="eastAsia"/>
          <w:b/>
          <w:bCs/>
          <w:color w:val="FF0000"/>
          <w:sz w:val="22"/>
          <w:szCs w:val="22"/>
          <w:lang w:eastAsia="ko-KR"/>
        </w:rPr>
        <w:t>variants/time/countries</w:t>
      </w:r>
      <w:r w:rsidR="0071029E">
        <w:rPr>
          <w:rFonts w:eastAsiaTheme="minorEastAsia" w:hint="eastAsia"/>
          <w:b/>
          <w:bCs/>
          <w:sz w:val="22"/>
          <w:szCs w:val="22"/>
          <w:lang w:eastAsia="ko-KR"/>
        </w:rPr>
        <w:t>)</w:t>
      </w:r>
      <w:r w:rsidR="00F16B70">
        <w:rPr>
          <w:rFonts w:eastAsiaTheme="minorEastAsia" w:hint="eastAsia"/>
          <w:b/>
          <w:bCs/>
          <w:sz w:val="22"/>
          <w:szCs w:val="22"/>
          <w:lang w:eastAsia="ko-KR"/>
        </w:rPr>
        <w:t xml:space="preserve">-once we know the best performance model, </w:t>
      </w:r>
      <w:r w:rsidR="00282C47">
        <w:rPr>
          <w:rFonts w:eastAsiaTheme="minorEastAsia" w:hint="eastAsia"/>
          <w:b/>
          <w:bCs/>
          <w:sz w:val="22"/>
          <w:szCs w:val="22"/>
          <w:lang w:eastAsia="ko-KR"/>
        </w:rPr>
        <w:t xml:space="preserve">apply </w:t>
      </w:r>
      <w:r w:rsidR="00282C47" w:rsidRPr="002512F8">
        <w:rPr>
          <w:rFonts w:eastAsiaTheme="minorEastAsia" w:hint="eastAsia"/>
          <w:b/>
          <w:bCs/>
          <w:sz w:val="22"/>
          <w:szCs w:val="22"/>
          <w:highlight w:val="yellow"/>
          <w:lang w:eastAsia="ko-KR"/>
        </w:rPr>
        <w:t xml:space="preserve">that model for different variants in different time and show the </w:t>
      </w:r>
      <w:r w:rsidR="00B2077A" w:rsidRPr="002512F8">
        <w:rPr>
          <w:rFonts w:eastAsiaTheme="minorEastAsia"/>
          <w:b/>
          <w:bCs/>
          <w:sz w:val="22"/>
          <w:szCs w:val="22"/>
          <w:highlight w:val="yellow"/>
          <w:lang w:eastAsia="ko-KR"/>
        </w:rPr>
        <w:t>performance</w:t>
      </w:r>
      <w:r w:rsidR="00B2077A">
        <w:rPr>
          <w:rFonts w:eastAsiaTheme="minorEastAsia" w:hint="eastAsia"/>
          <w:b/>
          <w:bCs/>
          <w:sz w:val="22"/>
          <w:szCs w:val="22"/>
          <w:lang w:eastAsia="ko-KR"/>
        </w:rPr>
        <w:t xml:space="preserve"> </w:t>
      </w:r>
    </w:p>
    <w:p w14:paraId="2C8E6734" w14:textId="77777777" w:rsidR="00D67DAE" w:rsidRDefault="00D67DAE" w:rsidP="0052192E">
      <w:pPr>
        <w:pStyle w:val="BodyText"/>
        <w:spacing w:line="276" w:lineRule="auto"/>
        <w:ind w:left="0"/>
        <w:jc w:val="both"/>
        <w:rPr>
          <w:rFonts w:eastAsiaTheme="minorEastAsia"/>
          <w:b/>
          <w:bCs/>
          <w:sz w:val="22"/>
          <w:szCs w:val="22"/>
          <w:lang w:eastAsia="ko-KR"/>
        </w:rPr>
      </w:pPr>
    </w:p>
    <w:p w14:paraId="06453120" w14:textId="41E34D89" w:rsidR="009468B5" w:rsidRDefault="009468B5"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 xml:space="preserve">Table 3. model performance of </w:t>
      </w:r>
      <w:r w:rsidR="000D51EF">
        <w:rPr>
          <w:rFonts w:eastAsiaTheme="minorEastAsia" w:hint="eastAsia"/>
          <w:b/>
          <w:bCs/>
          <w:sz w:val="22"/>
          <w:szCs w:val="22"/>
          <w:lang w:eastAsia="ko-KR"/>
        </w:rPr>
        <w:t xml:space="preserve">time to max and duration </w:t>
      </w:r>
    </w:p>
    <w:p w14:paraId="5F607C03" w14:textId="541C8D28" w:rsidR="00D67DAE" w:rsidRDefault="00293B18" w:rsidP="0052192E">
      <w:pPr>
        <w:pStyle w:val="BodyText"/>
        <w:spacing w:line="276" w:lineRule="auto"/>
        <w:ind w:left="0"/>
        <w:jc w:val="both"/>
        <w:rPr>
          <w:rFonts w:eastAsiaTheme="minorEastAsia"/>
          <w:b/>
          <w:bCs/>
          <w:sz w:val="22"/>
          <w:szCs w:val="22"/>
          <w:lang w:eastAsia="ko-KR"/>
        </w:rPr>
      </w:pPr>
      <w:r w:rsidRPr="00397A84">
        <w:rPr>
          <w:rFonts w:eastAsiaTheme="minorEastAsia" w:hint="eastAsia"/>
          <w:b/>
          <w:bCs/>
          <w:sz w:val="22"/>
          <w:szCs w:val="22"/>
          <w:highlight w:val="yellow"/>
          <w:lang w:eastAsia="ko-KR"/>
        </w:rPr>
        <w:t xml:space="preserve">Figure </w:t>
      </w:r>
      <w:r w:rsidR="009468B5" w:rsidRPr="00397A84">
        <w:rPr>
          <w:rFonts w:eastAsiaTheme="minorEastAsia" w:hint="eastAsia"/>
          <w:b/>
          <w:bCs/>
          <w:sz w:val="22"/>
          <w:szCs w:val="22"/>
          <w:highlight w:val="yellow"/>
          <w:lang w:eastAsia="ko-KR"/>
        </w:rPr>
        <w:t>4</w:t>
      </w:r>
      <w:r w:rsidRPr="00397A84">
        <w:rPr>
          <w:rFonts w:eastAsiaTheme="minorEastAsia" w:hint="eastAsia"/>
          <w:b/>
          <w:bCs/>
          <w:sz w:val="22"/>
          <w:szCs w:val="22"/>
          <w:highlight w:val="yellow"/>
          <w:lang w:eastAsia="ko-KR"/>
        </w:rPr>
        <w:t>. grow</w:t>
      </w:r>
      <w:r w:rsidR="00CD09DC" w:rsidRPr="00397A84">
        <w:rPr>
          <w:rFonts w:eastAsiaTheme="minorEastAsia" w:hint="eastAsia"/>
          <w:b/>
          <w:bCs/>
          <w:sz w:val="22"/>
          <w:szCs w:val="22"/>
          <w:highlight w:val="yellow"/>
          <w:lang w:eastAsia="ko-KR"/>
        </w:rPr>
        <w:t>th</w:t>
      </w:r>
      <w:r w:rsidRPr="00397A84">
        <w:rPr>
          <w:rFonts w:eastAsiaTheme="minorEastAsia" w:hint="eastAsia"/>
          <w:b/>
          <w:bCs/>
          <w:sz w:val="22"/>
          <w:szCs w:val="22"/>
          <w:highlight w:val="yellow"/>
          <w:lang w:eastAsia="ko-KR"/>
        </w:rPr>
        <w:t xml:space="preserve"> curves </w:t>
      </w:r>
      <w:r w:rsidR="00C77D14" w:rsidRPr="00397A84">
        <w:rPr>
          <w:rFonts w:eastAsiaTheme="minorEastAsia" w:hint="eastAsia"/>
          <w:b/>
          <w:bCs/>
          <w:sz w:val="22"/>
          <w:szCs w:val="22"/>
          <w:highlight w:val="yellow"/>
          <w:lang w:eastAsia="ko-KR"/>
        </w:rPr>
        <w:t xml:space="preserve">by countries by model </w:t>
      </w:r>
      <w:r w:rsidR="00750294" w:rsidRPr="00397A84">
        <w:rPr>
          <w:rFonts w:eastAsiaTheme="minorEastAsia" w:hint="eastAsia"/>
          <w:b/>
          <w:bCs/>
          <w:sz w:val="22"/>
          <w:szCs w:val="22"/>
          <w:highlight w:val="yellow"/>
          <w:lang w:eastAsia="ko-KR"/>
        </w:rPr>
        <w:t>(panel A and B)</w:t>
      </w:r>
    </w:p>
    <w:p w14:paraId="56EA07B6" w14:textId="77777777" w:rsidR="00750294" w:rsidRDefault="00750294" w:rsidP="0052192E">
      <w:pPr>
        <w:pStyle w:val="BodyText"/>
        <w:spacing w:line="276" w:lineRule="auto"/>
        <w:ind w:left="0"/>
        <w:jc w:val="both"/>
        <w:rPr>
          <w:rFonts w:eastAsiaTheme="minorEastAsia"/>
          <w:b/>
          <w:bCs/>
          <w:sz w:val="22"/>
          <w:szCs w:val="22"/>
          <w:lang w:eastAsia="ko-KR"/>
        </w:rPr>
      </w:pP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5D940A24" w14:textId="77777777" w:rsidR="00BA632D" w:rsidRPr="00AD2D6F" w:rsidRDefault="00BA632D" w:rsidP="0052192E">
      <w:pPr>
        <w:pStyle w:val="BodyText"/>
        <w:spacing w:line="276" w:lineRule="auto"/>
        <w:ind w:left="0"/>
        <w:jc w:val="both"/>
        <w:rPr>
          <w:rFonts w:eastAsiaTheme="minorEastAsia"/>
          <w:b/>
          <w:bCs/>
          <w:sz w:val="22"/>
          <w:szCs w:val="22"/>
          <w:lang w:eastAsia="ko-KR"/>
        </w:rPr>
      </w:pPr>
    </w:p>
    <w:p w14:paraId="3D752690" w14:textId="77777777" w:rsidR="00B21274" w:rsidRDefault="00B21274" w:rsidP="00AF3DC2">
      <w:pPr>
        <w:pStyle w:val="BodyText"/>
        <w:spacing w:line="276" w:lineRule="auto"/>
        <w:ind w:left="0"/>
        <w:jc w:val="both"/>
        <w:rPr>
          <w:rFonts w:eastAsiaTheme="minorEastAsia"/>
          <w:sz w:val="22"/>
          <w:szCs w:val="22"/>
          <w:lang w:eastAsia="zh-CN"/>
        </w:rPr>
      </w:pPr>
      <w:r w:rsidRPr="00B21274">
        <w:rPr>
          <w:rFonts w:eastAsiaTheme="minorEastAsia"/>
          <w:sz w:val="22"/>
          <w:szCs w:val="22"/>
          <w:lang w:eastAsia="zh-CN"/>
        </w:rPr>
        <w:t xml:space="preserve">In our analysis, we tuned the maximum observation window and the minimum required days for model inclusion. The tuning ranges were set to 3, 4, and 5 weeks for the maximum observation window, and 7 and 14 days for the minimum requirement. Separate prediction models were fitted for peak magnitude and duration. The results </w:t>
      </w:r>
      <w:r w:rsidRPr="00B21274">
        <w:rPr>
          <w:rFonts w:eastAsiaTheme="minorEastAsia"/>
          <w:sz w:val="22"/>
          <w:szCs w:val="22"/>
          <w:lang w:eastAsia="zh-CN"/>
        </w:rPr>
        <w:lastRenderedPageBreak/>
        <w:t>are presented in Table 2 and Table 3. Across all settings, model performance consistently improved with a larger observation window, indicating that variants with low initial prevalence benefit from longer input periods to achieve accurate predictions. In contrast, increasing the minimum required days reduced the number of variants included in the model, and the improvement in performance was relatively marginal. Based on these results, the configuration with a 5-week maximum observation window and a 1-week minimum requirement is preferred for balancing performance and coverage.</w:t>
      </w:r>
    </w:p>
    <w:p w14:paraId="1294D5C6" w14:textId="1A0E9BA1" w:rsidR="00DD5D50" w:rsidRDefault="00A65DF0" w:rsidP="00AF3DC2">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06603252" wp14:editId="1C744653">
            <wp:extent cx="6191250" cy="1548130"/>
            <wp:effectExtent l="0" t="0" r="6350" b="1270"/>
            <wp:docPr id="1745281651" name="Picture 3"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1651" name="Picture 3" descr="A table with numbers and a number of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AC69DE7" w14:textId="457692DA" w:rsidR="00534FC1" w:rsidRDefault="00534FC1" w:rsidP="00AF3DC2">
      <w:pPr>
        <w:pStyle w:val="BodyText"/>
        <w:spacing w:line="276" w:lineRule="auto"/>
        <w:ind w:left="0"/>
        <w:jc w:val="both"/>
        <w:rPr>
          <w:rFonts w:eastAsiaTheme="minorEastAsia"/>
          <w:sz w:val="22"/>
          <w:szCs w:val="22"/>
          <w:lang w:eastAsia="zh-CN"/>
        </w:rPr>
      </w:pPr>
      <w:r w:rsidRPr="00480D37">
        <w:rPr>
          <w:sz w:val="20"/>
          <w:szCs w:val="20"/>
          <w:lang w:eastAsia="zh-CN"/>
        </w:rPr>
        <w:t>Table</w:t>
      </w:r>
      <w:r>
        <w:rPr>
          <w:sz w:val="20"/>
          <w:szCs w:val="20"/>
          <w:lang w:eastAsia="zh-CN"/>
        </w:rPr>
        <w:t>2</w:t>
      </w:r>
      <w:r w:rsidRPr="00480D37">
        <w:rPr>
          <w:sz w:val="20"/>
          <w:szCs w:val="20"/>
          <w:lang w:eastAsia="zh-CN"/>
        </w:rPr>
        <w:t xml:space="preserve">: </w:t>
      </w:r>
      <w:r w:rsidR="00483F2C">
        <w:rPr>
          <w:sz w:val="20"/>
          <w:szCs w:val="20"/>
          <w:lang w:eastAsia="zh-CN"/>
        </w:rPr>
        <w:t xml:space="preserve">Model </w:t>
      </w:r>
      <w:r w:rsidR="00AD67BD">
        <w:rPr>
          <w:sz w:val="20"/>
          <w:szCs w:val="20"/>
          <w:lang w:eastAsia="zh-CN"/>
        </w:rPr>
        <w:t xml:space="preserve">tuning </w:t>
      </w:r>
      <w:r w:rsidR="00483F2C">
        <w:rPr>
          <w:sz w:val="20"/>
          <w:szCs w:val="20"/>
          <w:lang w:eastAsia="zh-CN"/>
        </w:rPr>
        <w:t>results for maximum prediction</w:t>
      </w:r>
      <w:r w:rsidRPr="00CD0AE5">
        <w:rPr>
          <w:sz w:val="20"/>
          <w:szCs w:val="20"/>
          <w:lang w:eastAsia="zh-CN"/>
        </w:rPr>
        <w:t>.</w:t>
      </w:r>
    </w:p>
    <w:p w14:paraId="5A4E26F2" w14:textId="77777777" w:rsidR="00534FC1" w:rsidRDefault="00534FC1" w:rsidP="00AF3DC2">
      <w:pPr>
        <w:pStyle w:val="BodyText"/>
        <w:spacing w:line="276" w:lineRule="auto"/>
        <w:ind w:left="0"/>
        <w:jc w:val="both"/>
        <w:rPr>
          <w:rFonts w:eastAsiaTheme="minorEastAsia"/>
          <w:sz w:val="22"/>
          <w:szCs w:val="22"/>
          <w:lang w:eastAsia="zh-CN"/>
        </w:rPr>
      </w:pPr>
    </w:p>
    <w:p w14:paraId="7D85408F" w14:textId="51BD19CB" w:rsidR="00A65DF0" w:rsidRDefault="00534FC1" w:rsidP="00AF3DC2">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5E935FAE" wp14:editId="72F42D21">
            <wp:extent cx="6191250" cy="1548130"/>
            <wp:effectExtent l="0" t="0" r="6350" b="1270"/>
            <wp:docPr id="180549496" name="Picture 4"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496" name="Picture 4" descr="A table with numbers and a number of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E14358E" w14:textId="517AEF0F" w:rsidR="00483F2C" w:rsidRDefault="00483F2C" w:rsidP="00AF3DC2">
      <w:pPr>
        <w:pStyle w:val="BodyText"/>
        <w:spacing w:line="276" w:lineRule="auto"/>
        <w:ind w:left="0"/>
        <w:jc w:val="both"/>
        <w:rPr>
          <w:rFonts w:eastAsiaTheme="minorEastAsia"/>
          <w:sz w:val="22"/>
          <w:szCs w:val="22"/>
          <w:lang w:eastAsia="zh-CN"/>
        </w:rPr>
      </w:pPr>
      <w:r w:rsidRPr="00480D37">
        <w:rPr>
          <w:sz w:val="20"/>
          <w:szCs w:val="20"/>
          <w:lang w:eastAsia="zh-CN"/>
        </w:rPr>
        <w:t>Table</w:t>
      </w:r>
      <w:r>
        <w:rPr>
          <w:sz w:val="20"/>
          <w:szCs w:val="20"/>
          <w:lang w:eastAsia="zh-CN"/>
        </w:rPr>
        <w:t>3</w:t>
      </w:r>
      <w:r w:rsidRPr="00480D37">
        <w:rPr>
          <w:sz w:val="20"/>
          <w:szCs w:val="20"/>
          <w:lang w:eastAsia="zh-CN"/>
        </w:rPr>
        <w:t xml:space="preserve">: </w:t>
      </w:r>
      <w:r>
        <w:rPr>
          <w:sz w:val="20"/>
          <w:szCs w:val="20"/>
          <w:lang w:eastAsia="zh-CN"/>
        </w:rPr>
        <w:t xml:space="preserve">Model </w:t>
      </w:r>
      <w:r w:rsidR="00AD67BD">
        <w:rPr>
          <w:sz w:val="20"/>
          <w:szCs w:val="20"/>
          <w:lang w:eastAsia="zh-CN"/>
        </w:rPr>
        <w:t xml:space="preserve">tuning </w:t>
      </w:r>
      <w:r>
        <w:rPr>
          <w:sz w:val="20"/>
          <w:szCs w:val="20"/>
          <w:lang w:eastAsia="zh-CN"/>
        </w:rPr>
        <w:t>results for duration prediction</w:t>
      </w:r>
      <w:r w:rsidRPr="00CD0AE5">
        <w:rPr>
          <w:sz w:val="20"/>
          <w:szCs w:val="20"/>
          <w:lang w:eastAsia="zh-CN"/>
        </w:rPr>
        <w:t>.</w:t>
      </w:r>
    </w:p>
    <w:p w14:paraId="6E545C80" w14:textId="77777777" w:rsidR="00A72B60" w:rsidRDefault="00A72B60" w:rsidP="0047766B">
      <w:pPr>
        <w:rPr>
          <w:rFonts w:eastAsiaTheme="minorEastAsia"/>
          <w:sz w:val="20"/>
          <w:szCs w:val="20"/>
          <w:lang w:eastAsia="zh-CN"/>
        </w:rPr>
      </w:pPr>
    </w:p>
    <w:p w14:paraId="40F80C1B" w14:textId="77777777" w:rsidR="00065C4D" w:rsidRPr="00065C4D" w:rsidRDefault="00065C4D" w:rsidP="00065C4D">
      <w:pPr>
        <w:rPr>
          <w:rFonts w:eastAsiaTheme="minorEastAsia"/>
          <w:lang w:eastAsia="zh-CN"/>
        </w:rPr>
      </w:pPr>
      <w:r w:rsidRPr="00065C4D">
        <w:rPr>
          <w:rFonts w:eastAsiaTheme="minorEastAsia"/>
          <w:lang w:eastAsia="zh-CN"/>
        </w:rPr>
        <w:t>With the preferred configuration, the functional regression models were fitted based on the minimum mean 5-fold cross-validated RMSE. In total, three models were constructed for predicting the maximum domestic share and three for predicting the duration of variant circulation. The estimated functional coefficients for growth rate are shown in Figure 2 and Figure 3.</w:t>
      </w:r>
    </w:p>
    <w:p w14:paraId="06F5301E" w14:textId="77777777" w:rsidR="00065C4D" w:rsidRPr="00065C4D" w:rsidRDefault="00065C4D" w:rsidP="00065C4D">
      <w:pPr>
        <w:rPr>
          <w:rFonts w:eastAsiaTheme="minorEastAsia"/>
          <w:lang w:eastAsia="zh-CN"/>
        </w:rPr>
      </w:pPr>
    </w:p>
    <w:p w14:paraId="20043A36" w14:textId="77777777" w:rsidR="00065C4D" w:rsidRDefault="00065C4D" w:rsidP="00065C4D">
      <w:pPr>
        <w:rPr>
          <w:rFonts w:eastAsiaTheme="minorEastAsia"/>
          <w:lang w:eastAsia="zh-CN"/>
        </w:rPr>
      </w:pPr>
      <w:r w:rsidRPr="00065C4D">
        <w:rPr>
          <w:rFonts w:eastAsiaTheme="minorEastAsia"/>
          <w:lang w:eastAsia="zh-CN"/>
        </w:rPr>
        <w:t>For the maximum prediction models, the Before Vaccination and Vaccination Scaled Up groups exhibit similar patterns: growth rates between 0% and 20% are positively associated with the maximum domestic share of the variant. However, in the Vaccination Scaled Up group, growth rates exceeding 25% show a negative contribution. In contrast, the Vaccine Deployment group displays less consistent or interpretable patterns.</w:t>
      </w:r>
      <w:r>
        <w:rPr>
          <w:rFonts w:eastAsiaTheme="minorEastAsia"/>
          <w:lang w:eastAsia="zh-CN"/>
        </w:rPr>
        <w:t xml:space="preserve"> </w:t>
      </w:r>
    </w:p>
    <w:p w14:paraId="1B4D0A1C" w14:textId="77777777" w:rsidR="00065C4D" w:rsidRDefault="00065C4D" w:rsidP="00065C4D">
      <w:pPr>
        <w:rPr>
          <w:rFonts w:eastAsiaTheme="minorEastAsia"/>
          <w:lang w:eastAsia="zh-CN"/>
        </w:rPr>
      </w:pPr>
    </w:p>
    <w:p w14:paraId="572C4612" w14:textId="6D3B698C" w:rsidR="005D7B3B" w:rsidRDefault="00065C4D" w:rsidP="00065C4D">
      <w:pPr>
        <w:rPr>
          <w:rFonts w:eastAsiaTheme="minorEastAsia"/>
          <w:lang w:eastAsia="zh-CN"/>
        </w:rPr>
      </w:pPr>
      <w:r w:rsidRPr="00065C4D">
        <w:rPr>
          <w:rFonts w:eastAsiaTheme="minorEastAsia"/>
          <w:lang w:eastAsia="zh-CN"/>
        </w:rPr>
        <w:t>Regarding the duration prediction models, across all groups, growth rates above 25% are strongly negatively associated with variant duration, while moderate growth rates (0% to 20%) tend to have a slight positive effect.</w:t>
      </w:r>
    </w:p>
    <w:p w14:paraId="2A623CBC" w14:textId="2F232FBD" w:rsidR="006A11E4" w:rsidRDefault="0086306E" w:rsidP="0047766B">
      <w:pPr>
        <w:rPr>
          <w:rFonts w:eastAsiaTheme="minorEastAsia"/>
          <w:lang w:eastAsia="zh-CN"/>
        </w:rPr>
      </w:pPr>
      <w:r>
        <w:rPr>
          <w:rFonts w:eastAsiaTheme="minorEastAsia"/>
          <w:noProof/>
          <w:lang w:eastAsia="zh-CN"/>
          <w14:ligatures w14:val="standardContextual"/>
        </w:rPr>
        <w:drawing>
          <wp:inline distT="0" distB="0" distL="0" distR="0" wp14:anchorId="47EACC6B" wp14:editId="04ADA517">
            <wp:extent cx="2011680" cy="1341120"/>
            <wp:effectExtent l="0" t="0" r="0" b="5080"/>
            <wp:docPr id="58990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9749" name="Picture 5899097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409FD4B8" wp14:editId="2C95AA29">
            <wp:extent cx="2011680" cy="1341120"/>
            <wp:effectExtent l="0" t="0" r="0" b="5080"/>
            <wp:docPr id="173231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347" name="Picture 1732313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sidR="00BE7979">
        <w:rPr>
          <w:rFonts w:eastAsiaTheme="minorEastAsia"/>
          <w:noProof/>
          <w:lang w:eastAsia="zh-CN"/>
          <w14:ligatures w14:val="standardContextual"/>
        </w:rPr>
        <w:drawing>
          <wp:inline distT="0" distB="0" distL="0" distR="0" wp14:anchorId="73EB24F9" wp14:editId="5B3F75C3">
            <wp:extent cx="2011680" cy="1341120"/>
            <wp:effectExtent l="0" t="0" r="0" b="5080"/>
            <wp:docPr id="180182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20517" name="Picture 18018205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p>
    <w:p w14:paraId="01819444" w14:textId="1CE7F173" w:rsidR="005D7B3B" w:rsidRDefault="005D7B3B" w:rsidP="005D7B3B">
      <w:pPr>
        <w:jc w:val="center"/>
        <w:rPr>
          <w:sz w:val="20"/>
          <w:szCs w:val="20"/>
        </w:rPr>
      </w:pPr>
      <w:r w:rsidRPr="00CF2A22">
        <w:rPr>
          <w:sz w:val="20"/>
          <w:szCs w:val="20"/>
        </w:rPr>
        <w:t xml:space="preserve">Figure </w:t>
      </w:r>
      <w:r>
        <w:rPr>
          <w:sz w:val="20"/>
          <w:szCs w:val="20"/>
        </w:rPr>
        <w:t>2</w:t>
      </w:r>
      <w:r w:rsidRPr="00CF2A22">
        <w:rPr>
          <w:sz w:val="20"/>
          <w:szCs w:val="20"/>
        </w:rPr>
        <w:t xml:space="preserve">: Fitted 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Pr="00CF2A22">
        <w:rPr>
          <w:rFonts w:eastAsiaTheme="minorEastAsia"/>
          <w:sz w:val="20"/>
          <w:szCs w:val="20"/>
          <w:lang w:eastAsia="ko-KR"/>
        </w:rPr>
        <w:t xml:space="preserve"> </w:t>
      </w:r>
      <w:r w:rsidRPr="00CF2A22">
        <w:rPr>
          <w:sz w:val="20"/>
          <w:szCs w:val="20"/>
        </w:rPr>
        <w:t xml:space="preserve"> for maximum</w:t>
      </w:r>
      <w:r w:rsidR="00A35109">
        <w:rPr>
          <w:sz w:val="20"/>
          <w:szCs w:val="20"/>
        </w:rPr>
        <w:t xml:space="preserve"> models</w:t>
      </w:r>
    </w:p>
    <w:p w14:paraId="1E583134" w14:textId="77777777" w:rsidR="00150359" w:rsidRDefault="00150359" w:rsidP="005D7B3B">
      <w:pPr>
        <w:jc w:val="center"/>
        <w:rPr>
          <w:rFonts w:eastAsiaTheme="minorEastAsia"/>
          <w:lang w:eastAsia="zh-CN"/>
        </w:rPr>
      </w:pPr>
    </w:p>
    <w:p w14:paraId="67CB9197" w14:textId="41F4835E" w:rsidR="005D7B3B" w:rsidRDefault="00A35109" w:rsidP="0047766B">
      <w:pPr>
        <w:rPr>
          <w:rFonts w:eastAsiaTheme="minorEastAsia"/>
          <w:lang w:eastAsia="zh-CN"/>
        </w:rPr>
      </w:pPr>
      <w:r>
        <w:rPr>
          <w:rFonts w:eastAsiaTheme="minorEastAsia"/>
          <w:noProof/>
          <w:lang w:eastAsia="zh-CN"/>
          <w14:ligatures w14:val="standardContextual"/>
        </w:rPr>
        <w:lastRenderedPageBreak/>
        <w:drawing>
          <wp:inline distT="0" distB="0" distL="0" distR="0" wp14:anchorId="12038698" wp14:editId="4F207A01">
            <wp:extent cx="2011680" cy="1341120"/>
            <wp:effectExtent l="0" t="0" r="0" b="5080"/>
            <wp:docPr id="752162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2762" name="Picture 752162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5CA6C08F" wp14:editId="444611AA">
            <wp:extent cx="2011680" cy="1341120"/>
            <wp:effectExtent l="0" t="0" r="0" b="5080"/>
            <wp:docPr id="1300153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3129" name="Picture 13001531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5C607B72" wp14:editId="34D7578A">
            <wp:extent cx="2011680" cy="1341120"/>
            <wp:effectExtent l="0" t="0" r="0" b="5080"/>
            <wp:docPr id="299367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7095" name="Picture 2993670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p>
    <w:p w14:paraId="1E970B73" w14:textId="26020EFC" w:rsidR="00A35109" w:rsidRDefault="00A35109" w:rsidP="00A35109">
      <w:pPr>
        <w:jc w:val="center"/>
        <w:rPr>
          <w:rFonts w:eastAsiaTheme="minorEastAsia"/>
          <w:lang w:eastAsia="zh-CN"/>
        </w:rPr>
      </w:pPr>
      <w:r w:rsidRPr="00CF2A22">
        <w:rPr>
          <w:sz w:val="20"/>
          <w:szCs w:val="20"/>
        </w:rPr>
        <w:t xml:space="preserve">Figure </w:t>
      </w:r>
      <w:r>
        <w:rPr>
          <w:sz w:val="20"/>
          <w:szCs w:val="20"/>
        </w:rPr>
        <w:t>3</w:t>
      </w:r>
      <w:r w:rsidRPr="00CF2A22">
        <w:rPr>
          <w:sz w:val="20"/>
          <w:szCs w:val="20"/>
        </w:rPr>
        <w:t xml:space="preserve">: Fitted 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Pr="00CF2A22">
        <w:rPr>
          <w:rFonts w:eastAsiaTheme="minorEastAsia"/>
          <w:sz w:val="20"/>
          <w:szCs w:val="20"/>
          <w:lang w:eastAsia="ko-KR"/>
        </w:rPr>
        <w:t xml:space="preserve"> </w:t>
      </w:r>
      <w:r w:rsidRPr="00CF2A22">
        <w:rPr>
          <w:sz w:val="20"/>
          <w:szCs w:val="20"/>
        </w:rPr>
        <w:t xml:space="preserve"> for </w:t>
      </w:r>
      <w:r>
        <w:rPr>
          <w:sz w:val="20"/>
          <w:szCs w:val="20"/>
        </w:rPr>
        <w:t>duration models</w:t>
      </w:r>
    </w:p>
    <w:p w14:paraId="11BA9F7F" w14:textId="77777777" w:rsidR="006A11E4" w:rsidRDefault="006A11E4" w:rsidP="0047766B">
      <w:pPr>
        <w:rPr>
          <w:rFonts w:eastAsiaTheme="minorEastAsia"/>
          <w:sz w:val="20"/>
          <w:szCs w:val="20"/>
          <w:lang w:eastAsia="zh-CN"/>
        </w:rPr>
      </w:pPr>
    </w:p>
    <w:p w14:paraId="6E17CE52" w14:textId="77777777" w:rsidR="00A35109" w:rsidRDefault="00A35109" w:rsidP="0047766B">
      <w:pPr>
        <w:rPr>
          <w:rFonts w:eastAsiaTheme="minorEastAsia"/>
          <w:sz w:val="20"/>
          <w:szCs w:val="20"/>
          <w:lang w:eastAsia="zh-CN"/>
        </w:rPr>
      </w:pPr>
    </w:p>
    <w:p w14:paraId="6E2DAC28" w14:textId="77777777" w:rsidR="00A35109" w:rsidRDefault="00A35109" w:rsidP="0047766B">
      <w:pPr>
        <w:rPr>
          <w:rFonts w:eastAsiaTheme="minorEastAsia"/>
          <w:sz w:val="20"/>
          <w:szCs w:val="20"/>
          <w:lang w:eastAsia="zh-CN"/>
        </w:rPr>
      </w:pPr>
    </w:p>
    <w:p w14:paraId="377FBA29" w14:textId="77777777" w:rsidR="00A35109" w:rsidRDefault="00A35109" w:rsidP="0047766B">
      <w:pPr>
        <w:rPr>
          <w:rFonts w:eastAsiaTheme="minorEastAsia"/>
          <w:sz w:val="20"/>
          <w:szCs w:val="20"/>
          <w:lang w:eastAsia="zh-CN"/>
        </w:rPr>
      </w:pPr>
    </w:p>
    <w:p w14:paraId="4495452C" w14:textId="6202546C" w:rsidR="00615C42" w:rsidRDefault="00615C42" w:rsidP="00072F62">
      <w:pPr>
        <w:pStyle w:val="BodyText"/>
        <w:spacing w:line="276" w:lineRule="auto"/>
        <w:ind w:left="0"/>
        <w:jc w:val="both"/>
        <w:rPr>
          <w:rFonts w:eastAsiaTheme="minorEastAsia"/>
          <w:b/>
          <w:bCs/>
          <w:sz w:val="22"/>
          <w:szCs w:val="22"/>
          <w:lang w:eastAsia="ko-KR"/>
        </w:rPr>
      </w:pPr>
      <w:r>
        <w:rPr>
          <w:b/>
          <w:bCs/>
          <w:sz w:val="22"/>
          <w:szCs w:val="22"/>
        </w:rPr>
        <w:t>Appendix</w:t>
      </w:r>
    </w:p>
    <w:p w14:paraId="1D67F8B3" w14:textId="77777777" w:rsidR="00694AF3" w:rsidRDefault="00694AF3" w:rsidP="00072F62">
      <w:pPr>
        <w:pStyle w:val="BodyText"/>
        <w:spacing w:line="276" w:lineRule="auto"/>
        <w:ind w:left="0"/>
        <w:jc w:val="both"/>
        <w:rPr>
          <w:rFonts w:eastAsiaTheme="minorEastAsia"/>
          <w:b/>
          <w:bCs/>
          <w:sz w:val="22"/>
          <w:szCs w:val="22"/>
          <w:lang w:eastAsia="ko-KR"/>
        </w:rPr>
      </w:pPr>
    </w:p>
    <w:p w14:paraId="1830E275" w14:textId="77777777" w:rsidR="00694AF3" w:rsidRPr="00694AF3" w:rsidRDefault="00694AF3" w:rsidP="00072F62">
      <w:pPr>
        <w:pStyle w:val="BodyText"/>
        <w:spacing w:line="276" w:lineRule="auto"/>
        <w:ind w:left="0"/>
        <w:jc w:val="both"/>
        <w:rPr>
          <w:rFonts w:eastAsiaTheme="minorEastAsia"/>
          <w:b/>
          <w:bCs/>
          <w:sz w:val="22"/>
          <w:szCs w:val="22"/>
          <w:lang w:eastAsia="ko-KR"/>
        </w:rPr>
      </w:pPr>
    </w:p>
    <w:p w14:paraId="5FDCA5B1" w14:textId="0A23E67E" w:rsidR="00615C42" w:rsidRDefault="00385151" w:rsidP="00072F62">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1E4E1C95" wp14:editId="3AC6B380">
            <wp:extent cx="6191250" cy="4422140"/>
            <wp:effectExtent l="0" t="0" r="6350" b="0"/>
            <wp:docPr id="17486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8507" name="Picture 17486485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F19A7D0" w14:textId="45D37632" w:rsidR="0025108B" w:rsidRPr="00072F62" w:rsidRDefault="0025108B" w:rsidP="00072F62">
      <w:pPr>
        <w:pStyle w:val="BodyText"/>
        <w:spacing w:line="276" w:lineRule="auto"/>
        <w:ind w:left="0"/>
        <w:jc w:val="both"/>
        <w:rPr>
          <w:b/>
          <w:bCs/>
          <w:sz w:val="22"/>
          <w:szCs w:val="22"/>
          <w:lang w:eastAsia="zh-CN"/>
        </w:rPr>
      </w:pPr>
      <w:r>
        <w:rPr>
          <w:noProof/>
          <w:sz w:val="22"/>
          <w:szCs w:val="22"/>
          <w:lang w:eastAsia="zh-CN"/>
          <w14:ligatures w14:val="standardContextual"/>
        </w:rPr>
        <w:lastRenderedPageBreak/>
        <w:drawing>
          <wp:inline distT="0" distB="0" distL="0" distR="0" wp14:anchorId="5C6A3973" wp14:editId="572DFD9C">
            <wp:extent cx="6191250" cy="4422140"/>
            <wp:effectExtent l="0" t="0" r="6350" b="0"/>
            <wp:docPr id="139257833" name="Picture 1" descr="A group of graphs showing the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3630" name="Picture 1" descr="A group of graphs showing the number of countries/region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sectPr w:rsidR="0025108B" w:rsidRPr="00072F62"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5EDDD" w14:textId="77777777" w:rsidR="00C45CFD" w:rsidRDefault="00C45CFD" w:rsidP="00D3651D">
      <w:r>
        <w:separator/>
      </w:r>
    </w:p>
  </w:endnote>
  <w:endnote w:type="continuationSeparator" w:id="0">
    <w:p w14:paraId="0C0718FD" w14:textId="77777777" w:rsidR="00C45CFD" w:rsidRDefault="00C45CFD" w:rsidP="00D3651D">
      <w:r>
        <w:continuationSeparator/>
      </w:r>
    </w:p>
  </w:endnote>
  <w:endnote w:type="continuationNotice" w:id="1">
    <w:p w14:paraId="14C07808" w14:textId="77777777" w:rsidR="00C45CFD" w:rsidRDefault="00C45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3AEB" w14:textId="77777777" w:rsidR="00C45CFD" w:rsidRDefault="00C45CFD" w:rsidP="00D3651D">
      <w:r>
        <w:separator/>
      </w:r>
    </w:p>
  </w:footnote>
  <w:footnote w:type="continuationSeparator" w:id="0">
    <w:p w14:paraId="31609D21" w14:textId="77777777" w:rsidR="00C45CFD" w:rsidRDefault="00C45CFD" w:rsidP="00D3651D">
      <w:r>
        <w:continuationSeparator/>
      </w:r>
    </w:p>
  </w:footnote>
  <w:footnote w:type="continuationNotice" w:id="1">
    <w:p w14:paraId="50363E70" w14:textId="77777777" w:rsidR="00C45CFD" w:rsidRDefault="00C45C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gFAFxpGSY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53B5"/>
    <w:rsid w:val="00015853"/>
    <w:rsid w:val="00016151"/>
    <w:rsid w:val="000163E7"/>
    <w:rsid w:val="0002700B"/>
    <w:rsid w:val="00031BE9"/>
    <w:rsid w:val="000327AB"/>
    <w:rsid w:val="00035343"/>
    <w:rsid w:val="0003732D"/>
    <w:rsid w:val="000403BE"/>
    <w:rsid w:val="00044391"/>
    <w:rsid w:val="000504BA"/>
    <w:rsid w:val="00052C70"/>
    <w:rsid w:val="00055229"/>
    <w:rsid w:val="00056424"/>
    <w:rsid w:val="00056EB5"/>
    <w:rsid w:val="00061552"/>
    <w:rsid w:val="00063192"/>
    <w:rsid w:val="00064590"/>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1BDB"/>
    <w:rsid w:val="000A2145"/>
    <w:rsid w:val="000A2F62"/>
    <w:rsid w:val="000A3165"/>
    <w:rsid w:val="000A32B2"/>
    <w:rsid w:val="000A4626"/>
    <w:rsid w:val="000A5A36"/>
    <w:rsid w:val="000A5FCB"/>
    <w:rsid w:val="000A63AA"/>
    <w:rsid w:val="000A7226"/>
    <w:rsid w:val="000B4CFA"/>
    <w:rsid w:val="000B4F55"/>
    <w:rsid w:val="000B64A7"/>
    <w:rsid w:val="000B77D9"/>
    <w:rsid w:val="000C0869"/>
    <w:rsid w:val="000C1F96"/>
    <w:rsid w:val="000C3BDC"/>
    <w:rsid w:val="000C3D37"/>
    <w:rsid w:val="000C45FC"/>
    <w:rsid w:val="000C5051"/>
    <w:rsid w:val="000C7A50"/>
    <w:rsid w:val="000D0737"/>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101F"/>
    <w:rsid w:val="000F2973"/>
    <w:rsid w:val="000F39A6"/>
    <w:rsid w:val="000F4222"/>
    <w:rsid w:val="000F49A7"/>
    <w:rsid w:val="000F7068"/>
    <w:rsid w:val="000F7E0B"/>
    <w:rsid w:val="00101F2E"/>
    <w:rsid w:val="00102AB0"/>
    <w:rsid w:val="00103A85"/>
    <w:rsid w:val="00106AA9"/>
    <w:rsid w:val="00107495"/>
    <w:rsid w:val="0010784D"/>
    <w:rsid w:val="00107AC1"/>
    <w:rsid w:val="00107EC3"/>
    <w:rsid w:val="00110837"/>
    <w:rsid w:val="00110F40"/>
    <w:rsid w:val="001118CC"/>
    <w:rsid w:val="00111D49"/>
    <w:rsid w:val="00114477"/>
    <w:rsid w:val="00114BF9"/>
    <w:rsid w:val="00115A2D"/>
    <w:rsid w:val="00120FA2"/>
    <w:rsid w:val="0012182B"/>
    <w:rsid w:val="00121F51"/>
    <w:rsid w:val="00123090"/>
    <w:rsid w:val="00123098"/>
    <w:rsid w:val="00124879"/>
    <w:rsid w:val="001261A7"/>
    <w:rsid w:val="00126760"/>
    <w:rsid w:val="001279A1"/>
    <w:rsid w:val="001303D3"/>
    <w:rsid w:val="001305B3"/>
    <w:rsid w:val="00132071"/>
    <w:rsid w:val="001329AD"/>
    <w:rsid w:val="00132FFC"/>
    <w:rsid w:val="00133223"/>
    <w:rsid w:val="001335A5"/>
    <w:rsid w:val="001363CD"/>
    <w:rsid w:val="0014174E"/>
    <w:rsid w:val="00141E6F"/>
    <w:rsid w:val="00143368"/>
    <w:rsid w:val="00143948"/>
    <w:rsid w:val="00145879"/>
    <w:rsid w:val="00147C6C"/>
    <w:rsid w:val="0015016F"/>
    <w:rsid w:val="00150359"/>
    <w:rsid w:val="00150B56"/>
    <w:rsid w:val="001545F2"/>
    <w:rsid w:val="0015512C"/>
    <w:rsid w:val="001556DF"/>
    <w:rsid w:val="0015573B"/>
    <w:rsid w:val="00155A81"/>
    <w:rsid w:val="00156057"/>
    <w:rsid w:val="00157DA8"/>
    <w:rsid w:val="001603D3"/>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23BB"/>
    <w:rsid w:val="00182C4F"/>
    <w:rsid w:val="00183555"/>
    <w:rsid w:val="001847E3"/>
    <w:rsid w:val="00184C78"/>
    <w:rsid w:val="001867B5"/>
    <w:rsid w:val="00186965"/>
    <w:rsid w:val="00186FB1"/>
    <w:rsid w:val="00187104"/>
    <w:rsid w:val="0019248F"/>
    <w:rsid w:val="00192897"/>
    <w:rsid w:val="0019295C"/>
    <w:rsid w:val="00193073"/>
    <w:rsid w:val="00195BAA"/>
    <w:rsid w:val="00196BCC"/>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C2032"/>
    <w:rsid w:val="001C25BD"/>
    <w:rsid w:val="001C719D"/>
    <w:rsid w:val="001D07B1"/>
    <w:rsid w:val="001D0A47"/>
    <w:rsid w:val="001D0EDB"/>
    <w:rsid w:val="001D12D9"/>
    <w:rsid w:val="001D235D"/>
    <w:rsid w:val="001D2D50"/>
    <w:rsid w:val="001D5103"/>
    <w:rsid w:val="001D7471"/>
    <w:rsid w:val="001F14B9"/>
    <w:rsid w:val="001F1A57"/>
    <w:rsid w:val="001F2D1B"/>
    <w:rsid w:val="001F5972"/>
    <w:rsid w:val="001F5CCC"/>
    <w:rsid w:val="001F5E3E"/>
    <w:rsid w:val="001F7722"/>
    <w:rsid w:val="0020548E"/>
    <w:rsid w:val="0020770B"/>
    <w:rsid w:val="0021060E"/>
    <w:rsid w:val="0021246D"/>
    <w:rsid w:val="002130E0"/>
    <w:rsid w:val="00213C1F"/>
    <w:rsid w:val="002145D9"/>
    <w:rsid w:val="00216908"/>
    <w:rsid w:val="0021721F"/>
    <w:rsid w:val="00220517"/>
    <w:rsid w:val="00221611"/>
    <w:rsid w:val="00223903"/>
    <w:rsid w:val="00224C5A"/>
    <w:rsid w:val="00230D4D"/>
    <w:rsid w:val="0023173A"/>
    <w:rsid w:val="00231E9E"/>
    <w:rsid w:val="00232AA1"/>
    <w:rsid w:val="002331B2"/>
    <w:rsid w:val="00234576"/>
    <w:rsid w:val="00235AE2"/>
    <w:rsid w:val="002365BB"/>
    <w:rsid w:val="00236E45"/>
    <w:rsid w:val="0023792A"/>
    <w:rsid w:val="002405EA"/>
    <w:rsid w:val="00240B1B"/>
    <w:rsid w:val="00242024"/>
    <w:rsid w:val="0024398C"/>
    <w:rsid w:val="00243C9D"/>
    <w:rsid w:val="002454D0"/>
    <w:rsid w:val="00246996"/>
    <w:rsid w:val="00246C34"/>
    <w:rsid w:val="002470B5"/>
    <w:rsid w:val="00247FD7"/>
    <w:rsid w:val="0025108B"/>
    <w:rsid w:val="002512F8"/>
    <w:rsid w:val="002513B1"/>
    <w:rsid w:val="00251862"/>
    <w:rsid w:val="00252000"/>
    <w:rsid w:val="002533E9"/>
    <w:rsid w:val="00256C44"/>
    <w:rsid w:val="00261F5A"/>
    <w:rsid w:val="0026308F"/>
    <w:rsid w:val="00263691"/>
    <w:rsid w:val="002636AD"/>
    <w:rsid w:val="00263A6C"/>
    <w:rsid w:val="0026481E"/>
    <w:rsid w:val="002655EA"/>
    <w:rsid w:val="002656BC"/>
    <w:rsid w:val="00265E0F"/>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B8F"/>
    <w:rsid w:val="0029030A"/>
    <w:rsid w:val="00290D14"/>
    <w:rsid w:val="00290E19"/>
    <w:rsid w:val="00293B18"/>
    <w:rsid w:val="00294E1E"/>
    <w:rsid w:val="002953F6"/>
    <w:rsid w:val="0029786B"/>
    <w:rsid w:val="002A00E6"/>
    <w:rsid w:val="002A1CBF"/>
    <w:rsid w:val="002A2763"/>
    <w:rsid w:val="002A37BB"/>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1391"/>
    <w:rsid w:val="002C29D2"/>
    <w:rsid w:val="002C334B"/>
    <w:rsid w:val="002C3542"/>
    <w:rsid w:val="002C3E27"/>
    <w:rsid w:val="002C43AA"/>
    <w:rsid w:val="002C43D3"/>
    <w:rsid w:val="002C4B7C"/>
    <w:rsid w:val="002C6343"/>
    <w:rsid w:val="002C6F0C"/>
    <w:rsid w:val="002D01D4"/>
    <w:rsid w:val="002D0EBD"/>
    <w:rsid w:val="002D129A"/>
    <w:rsid w:val="002D196E"/>
    <w:rsid w:val="002D27A3"/>
    <w:rsid w:val="002D2F16"/>
    <w:rsid w:val="002D3384"/>
    <w:rsid w:val="002D48DB"/>
    <w:rsid w:val="002D6F81"/>
    <w:rsid w:val="002D7589"/>
    <w:rsid w:val="002D77BA"/>
    <w:rsid w:val="002E06DD"/>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AFF"/>
    <w:rsid w:val="00301E84"/>
    <w:rsid w:val="00303184"/>
    <w:rsid w:val="003036B0"/>
    <w:rsid w:val="0030421C"/>
    <w:rsid w:val="00311571"/>
    <w:rsid w:val="00313EFA"/>
    <w:rsid w:val="00317016"/>
    <w:rsid w:val="00323185"/>
    <w:rsid w:val="003234E7"/>
    <w:rsid w:val="00324E83"/>
    <w:rsid w:val="00325B7D"/>
    <w:rsid w:val="00326B4D"/>
    <w:rsid w:val="00330BCF"/>
    <w:rsid w:val="00332756"/>
    <w:rsid w:val="00337CD2"/>
    <w:rsid w:val="00340897"/>
    <w:rsid w:val="00342CA7"/>
    <w:rsid w:val="00344153"/>
    <w:rsid w:val="0034613C"/>
    <w:rsid w:val="003465FF"/>
    <w:rsid w:val="00350814"/>
    <w:rsid w:val="00352A5A"/>
    <w:rsid w:val="00352C35"/>
    <w:rsid w:val="00353751"/>
    <w:rsid w:val="00354098"/>
    <w:rsid w:val="00354EB3"/>
    <w:rsid w:val="00355977"/>
    <w:rsid w:val="00355C4A"/>
    <w:rsid w:val="00355DFC"/>
    <w:rsid w:val="0035724B"/>
    <w:rsid w:val="00360815"/>
    <w:rsid w:val="00361FF3"/>
    <w:rsid w:val="00362CE7"/>
    <w:rsid w:val="00362F40"/>
    <w:rsid w:val="003632B4"/>
    <w:rsid w:val="00363DC6"/>
    <w:rsid w:val="00365F91"/>
    <w:rsid w:val="003661E7"/>
    <w:rsid w:val="003671EC"/>
    <w:rsid w:val="0036748A"/>
    <w:rsid w:val="0037002D"/>
    <w:rsid w:val="00371C56"/>
    <w:rsid w:val="003723A5"/>
    <w:rsid w:val="00373DE4"/>
    <w:rsid w:val="003749F0"/>
    <w:rsid w:val="003762D1"/>
    <w:rsid w:val="00377FF6"/>
    <w:rsid w:val="00381385"/>
    <w:rsid w:val="00382154"/>
    <w:rsid w:val="00382677"/>
    <w:rsid w:val="00382752"/>
    <w:rsid w:val="00385151"/>
    <w:rsid w:val="00385C63"/>
    <w:rsid w:val="003860CC"/>
    <w:rsid w:val="003864F8"/>
    <w:rsid w:val="00387A87"/>
    <w:rsid w:val="00391116"/>
    <w:rsid w:val="00392E2B"/>
    <w:rsid w:val="0039391B"/>
    <w:rsid w:val="003946BD"/>
    <w:rsid w:val="00394B34"/>
    <w:rsid w:val="00396F53"/>
    <w:rsid w:val="00397A84"/>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5891"/>
    <w:rsid w:val="003C6993"/>
    <w:rsid w:val="003C6F00"/>
    <w:rsid w:val="003D092F"/>
    <w:rsid w:val="003D290A"/>
    <w:rsid w:val="003D2D12"/>
    <w:rsid w:val="003D4C66"/>
    <w:rsid w:val="003D4EFC"/>
    <w:rsid w:val="003D513E"/>
    <w:rsid w:val="003D5EE4"/>
    <w:rsid w:val="003E168E"/>
    <w:rsid w:val="003E19B5"/>
    <w:rsid w:val="003E2CF5"/>
    <w:rsid w:val="003E3B44"/>
    <w:rsid w:val="003E4D09"/>
    <w:rsid w:val="003E5DCC"/>
    <w:rsid w:val="003E7D75"/>
    <w:rsid w:val="003F18C8"/>
    <w:rsid w:val="003F2FAB"/>
    <w:rsid w:val="003F4E7F"/>
    <w:rsid w:val="003F5D49"/>
    <w:rsid w:val="003F7F46"/>
    <w:rsid w:val="003F7F48"/>
    <w:rsid w:val="00400DB8"/>
    <w:rsid w:val="004026AD"/>
    <w:rsid w:val="00403BBB"/>
    <w:rsid w:val="0040465B"/>
    <w:rsid w:val="00406147"/>
    <w:rsid w:val="00406FE2"/>
    <w:rsid w:val="00410703"/>
    <w:rsid w:val="00411D22"/>
    <w:rsid w:val="004141A6"/>
    <w:rsid w:val="00414941"/>
    <w:rsid w:val="00414ADF"/>
    <w:rsid w:val="00415AE6"/>
    <w:rsid w:val="004167DB"/>
    <w:rsid w:val="00417907"/>
    <w:rsid w:val="00420D2D"/>
    <w:rsid w:val="00420EBA"/>
    <w:rsid w:val="00423939"/>
    <w:rsid w:val="00424BD0"/>
    <w:rsid w:val="00424E8B"/>
    <w:rsid w:val="00427745"/>
    <w:rsid w:val="00427BF4"/>
    <w:rsid w:val="00427DD0"/>
    <w:rsid w:val="00432DD4"/>
    <w:rsid w:val="00433641"/>
    <w:rsid w:val="00434E58"/>
    <w:rsid w:val="00434FF5"/>
    <w:rsid w:val="004366F6"/>
    <w:rsid w:val="00436BAE"/>
    <w:rsid w:val="00442CEC"/>
    <w:rsid w:val="00445798"/>
    <w:rsid w:val="004457E3"/>
    <w:rsid w:val="00446CE8"/>
    <w:rsid w:val="004500DA"/>
    <w:rsid w:val="00452596"/>
    <w:rsid w:val="00452713"/>
    <w:rsid w:val="00452D0D"/>
    <w:rsid w:val="00453DCC"/>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6E46"/>
    <w:rsid w:val="00476F8E"/>
    <w:rsid w:val="0047766B"/>
    <w:rsid w:val="00480D37"/>
    <w:rsid w:val="004812BA"/>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6A7"/>
    <w:rsid w:val="004C28AB"/>
    <w:rsid w:val="004C39A8"/>
    <w:rsid w:val="004C51CF"/>
    <w:rsid w:val="004C5635"/>
    <w:rsid w:val="004D118C"/>
    <w:rsid w:val="004D3131"/>
    <w:rsid w:val="004D31F0"/>
    <w:rsid w:val="004D5584"/>
    <w:rsid w:val="004D592A"/>
    <w:rsid w:val="004D6B1E"/>
    <w:rsid w:val="004D72BB"/>
    <w:rsid w:val="004D75F6"/>
    <w:rsid w:val="004E087D"/>
    <w:rsid w:val="004E0885"/>
    <w:rsid w:val="004E16E2"/>
    <w:rsid w:val="004E1815"/>
    <w:rsid w:val="004E1940"/>
    <w:rsid w:val="004E1A91"/>
    <w:rsid w:val="004E3139"/>
    <w:rsid w:val="004E382B"/>
    <w:rsid w:val="004E4F4F"/>
    <w:rsid w:val="004E5C31"/>
    <w:rsid w:val="004E5F12"/>
    <w:rsid w:val="004E6258"/>
    <w:rsid w:val="004F6852"/>
    <w:rsid w:val="004F6A66"/>
    <w:rsid w:val="004F6D27"/>
    <w:rsid w:val="004F7D56"/>
    <w:rsid w:val="004F7FD4"/>
    <w:rsid w:val="0050006C"/>
    <w:rsid w:val="005018EF"/>
    <w:rsid w:val="00504D34"/>
    <w:rsid w:val="00510515"/>
    <w:rsid w:val="00510776"/>
    <w:rsid w:val="005113A3"/>
    <w:rsid w:val="00513BB3"/>
    <w:rsid w:val="00514A53"/>
    <w:rsid w:val="00516683"/>
    <w:rsid w:val="005166C0"/>
    <w:rsid w:val="00517755"/>
    <w:rsid w:val="00517BC0"/>
    <w:rsid w:val="0052192E"/>
    <w:rsid w:val="00522079"/>
    <w:rsid w:val="005223FC"/>
    <w:rsid w:val="00522A49"/>
    <w:rsid w:val="0052565C"/>
    <w:rsid w:val="00526753"/>
    <w:rsid w:val="00526F7E"/>
    <w:rsid w:val="005301A4"/>
    <w:rsid w:val="005306BE"/>
    <w:rsid w:val="00531CA6"/>
    <w:rsid w:val="00531D9A"/>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3EA8"/>
    <w:rsid w:val="00565335"/>
    <w:rsid w:val="0056606A"/>
    <w:rsid w:val="00566361"/>
    <w:rsid w:val="00570395"/>
    <w:rsid w:val="0057200F"/>
    <w:rsid w:val="00573686"/>
    <w:rsid w:val="00574936"/>
    <w:rsid w:val="00574942"/>
    <w:rsid w:val="00575388"/>
    <w:rsid w:val="005753D1"/>
    <w:rsid w:val="00575C18"/>
    <w:rsid w:val="00576EFE"/>
    <w:rsid w:val="005842FD"/>
    <w:rsid w:val="0059058B"/>
    <w:rsid w:val="00591AC7"/>
    <w:rsid w:val="00593BA1"/>
    <w:rsid w:val="0059710B"/>
    <w:rsid w:val="005A1BBB"/>
    <w:rsid w:val="005A210E"/>
    <w:rsid w:val="005A3146"/>
    <w:rsid w:val="005A5581"/>
    <w:rsid w:val="005A7F04"/>
    <w:rsid w:val="005B36E8"/>
    <w:rsid w:val="005B3FC5"/>
    <w:rsid w:val="005B612A"/>
    <w:rsid w:val="005B7F6E"/>
    <w:rsid w:val="005C1BCD"/>
    <w:rsid w:val="005C239B"/>
    <w:rsid w:val="005C42FA"/>
    <w:rsid w:val="005C4A55"/>
    <w:rsid w:val="005C4E26"/>
    <w:rsid w:val="005C5BA9"/>
    <w:rsid w:val="005C6ED5"/>
    <w:rsid w:val="005C7EB3"/>
    <w:rsid w:val="005D132A"/>
    <w:rsid w:val="005D6B60"/>
    <w:rsid w:val="005D72CC"/>
    <w:rsid w:val="005D738A"/>
    <w:rsid w:val="005D7A3D"/>
    <w:rsid w:val="005D7B3B"/>
    <w:rsid w:val="005E0133"/>
    <w:rsid w:val="005E1BA4"/>
    <w:rsid w:val="005E1D91"/>
    <w:rsid w:val="005E2608"/>
    <w:rsid w:val="005E3473"/>
    <w:rsid w:val="005E48FC"/>
    <w:rsid w:val="005E6E0F"/>
    <w:rsid w:val="005E742C"/>
    <w:rsid w:val="005E7942"/>
    <w:rsid w:val="005F14FE"/>
    <w:rsid w:val="005F3594"/>
    <w:rsid w:val="005F3CE7"/>
    <w:rsid w:val="005F4BEA"/>
    <w:rsid w:val="005F7B31"/>
    <w:rsid w:val="0060025F"/>
    <w:rsid w:val="00601DE0"/>
    <w:rsid w:val="006023ED"/>
    <w:rsid w:val="00602848"/>
    <w:rsid w:val="00602B58"/>
    <w:rsid w:val="006064A2"/>
    <w:rsid w:val="00611341"/>
    <w:rsid w:val="00611A3B"/>
    <w:rsid w:val="0061237A"/>
    <w:rsid w:val="0061577C"/>
    <w:rsid w:val="00615C42"/>
    <w:rsid w:val="00617F1F"/>
    <w:rsid w:val="006206DD"/>
    <w:rsid w:val="006208DF"/>
    <w:rsid w:val="006228B0"/>
    <w:rsid w:val="00623C0D"/>
    <w:rsid w:val="006243A4"/>
    <w:rsid w:val="006267BF"/>
    <w:rsid w:val="006311D8"/>
    <w:rsid w:val="006317FB"/>
    <w:rsid w:val="00631D3B"/>
    <w:rsid w:val="00636098"/>
    <w:rsid w:val="0063752D"/>
    <w:rsid w:val="00640A37"/>
    <w:rsid w:val="00641B2E"/>
    <w:rsid w:val="00642DD1"/>
    <w:rsid w:val="00644254"/>
    <w:rsid w:val="00645A14"/>
    <w:rsid w:val="00647CB5"/>
    <w:rsid w:val="006500D0"/>
    <w:rsid w:val="0065058D"/>
    <w:rsid w:val="00650E1C"/>
    <w:rsid w:val="006532D7"/>
    <w:rsid w:val="0066008C"/>
    <w:rsid w:val="00660D96"/>
    <w:rsid w:val="00661694"/>
    <w:rsid w:val="006644B1"/>
    <w:rsid w:val="0066524B"/>
    <w:rsid w:val="00666EF0"/>
    <w:rsid w:val="00667F47"/>
    <w:rsid w:val="00670A09"/>
    <w:rsid w:val="00674597"/>
    <w:rsid w:val="0067481B"/>
    <w:rsid w:val="00676E4E"/>
    <w:rsid w:val="00681211"/>
    <w:rsid w:val="006819EF"/>
    <w:rsid w:val="006821C4"/>
    <w:rsid w:val="00683109"/>
    <w:rsid w:val="00683607"/>
    <w:rsid w:val="0068774B"/>
    <w:rsid w:val="00690652"/>
    <w:rsid w:val="006928B8"/>
    <w:rsid w:val="00692FDA"/>
    <w:rsid w:val="006935A7"/>
    <w:rsid w:val="006946AE"/>
    <w:rsid w:val="00694AF3"/>
    <w:rsid w:val="00694FC1"/>
    <w:rsid w:val="00696693"/>
    <w:rsid w:val="006A08D9"/>
    <w:rsid w:val="006A11E4"/>
    <w:rsid w:val="006A124D"/>
    <w:rsid w:val="006A2552"/>
    <w:rsid w:val="006A269F"/>
    <w:rsid w:val="006A4BF1"/>
    <w:rsid w:val="006A5652"/>
    <w:rsid w:val="006A5700"/>
    <w:rsid w:val="006A628A"/>
    <w:rsid w:val="006B0D11"/>
    <w:rsid w:val="006B38F8"/>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D1062"/>
    <w:rsid w:val="006D271F"/>
    <w:rsid w:val="006D3AC9"/>
    <w:rsid w:val="006D5874"/>
    <w:rsid w:val="006D6499"/>
    <w:rsid w:val="006D7036"/>
    <w:rsid w:val="006E045C"/>
    <w:rsid w:val="006E2E1C"/>
    <w:rsid w:val="006E7F3D"/>
    <w:rsid w:val="006F1135"/>
    <w:rsid w:val="006F2837"/>
    <w:rsid w:val="006F3ADB"/>
    <w:rsid w:val="006F3B90"/>
    <w:rsid w:val="006F52EF"/>
    <w:rsid w:val="006F543F"/>
    <w:rsid w:val="006F66C7"/>
    <w:rsid w:val="006F6D85"/>
    <w:rsid w:val="00702362"/>
    <w:rsid w:val="007034C2"/>
    <w:rsid w:val="0070601E"/>
    <w:rsid w:val="00707039"/>
    <w:rsid w:val="007078A2"/>
    <w:rsid w:val="00707EE0"/>
    <w:rsid w:val="0071029E"/>
    <w:rsid w:val="00711ECD"/>
    <w:rsid w:val="00714ECA"/>
    <w:rsid w:val="00715BCE"/>
    <w:rsid w:val="00715D8D"/>
    <w:rsid w:val="00715F7C"/>
    <w:rsid w:val="0072734B"/>
    <w:rsid w:val="0072738F"/>
    <w:rsid w:val="00731BA6"/>
    <w:rsid w:val="00731E97"/>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1669"/>
    <w:rsid w:val="0075171F"/>
    <w:rsid w:val="00754A10"/>
    <w:rsid w:val="007568D0"/>
    <w:rsid w:val="007572F8"/>
    <w:rsid w:val="00757D34"/>
    <w:rsid w:val="00760687"/>
    <w:rsid w:val="00761D8E"/>
    <w:rsid w:val="00762C93"/>
    <w:rsid w:val="00763A70"/>
    <w:rsid w:val="00764455"/>
    <w:rsid w:val="00765064"/>
    <w:rsid w:val="00766CAA"/>
    <w:rsid w:val="00767470"/>
    <w:rsid w:val="00767B9C"/>
    <w:rsid w:val="007722E8"/>
    <w:rsid w:val="007744FE"/>
    <w:rsid w:val="00776B42"/>
    <w:rsid w:val="007772F3"/>
    <w:rsid w:val="00777679"/>
    <w:rsid w:val="0078148E"/>
    <w:rsid w:val="00784B3A"/>
    <w:rsid w:val="00785081"/>
    <w:rsid w:val="00786B0E"/>
    <w:rsid w:val="0078705F"/>
    <w:rsid w:val="00787F58"/>
    <w:rsid w:val="0079014B"/>
    <w:rsid w:val="007925ED"/>
    <w:rsid w:val="00793A5D"/>
    <w:rsid w:val="007978EA"/>
    <w:rsid w:val="007A0797"/>
    <w:rsid w:val="007A1CD7"/>
    <w:rsid w:val="007A2D8F"/>
    <w:rsid w:val="007A3A7C"/>
    <w:rsid w:val="007A3D51"/>
    <w:rsid w:val="007A54FF"/>
    <w:rsid w:val="007A5C98"/>
    <w:rsid w:val="007B13EA"/>
    <w:rsid w:val="007B177B"/>
    <w:rsid w:val="007B1B03"/>
    <w:rsid w:val="007B324F"/>
    <w:rsid w:val="007B4FC3"/>
    <w:rsid w:val="007B70CE"/>
    <w:rsid w:val="007C1009"/>
    <w:rsid w:val="007C2070"/>
    <w:rsid w:val="007C2579"/>
    <w:rsid w:val="007C268B"/>
    <w:rsid w:val="007C2810"/>
    <w:rsid w:val="007C2988"/>
    <w:rsid w:val="007C4A56"/>
    <w:rsid w:val="007C52A5"/>
    <w:rsid w:val="007C5CAB"/>
    <w:rsid w:val="007C5F1F"/>
    <w:rsid w:val="007C6237"/>
    <w:rsid w:val="007C6646"/>
    <w:rsid w:val="007C6842"/>
    <w:rsid w:val="007C6B67"/>
    <w:rsid w:val="007C741D"/>
    <w:rsid w:val="007D0C5A"/>
    <w:rsid w:val="007D20D9"/>
    <w:rsid w:val="007D2BD0"/>
    <w:rsid w:val="007D39CC"/>
    <w:rsid w:val="007D4587"/>
    <w:rsid w:val="007D4A34"/>
    <w:rsid w:val="007D4D74"/>
    <w:rsid w:val="007E196E"/>
    <w:rsid w:val="007E1A03"/>
    <w:rsid w:val="007E46EA"/>
    <w:rsid w:val="007E4721"/>
    <w:rsid w:val="007E6683"/>
    <w:rsid w:val="007E67BF"/>
    <w:rsid w:val="007F03F8"/>
    <w:rsid w:val="007F064D"/>
    <w:rsid w:val="007F0C91"/>
    <w:rsid w:val="007F15B8"/>
    <w:rsid w:val="007F5360"/>
    <w:rsid w:val="007F618F"/>
    <w:rsid w:val="008005FF"/>
    <w:rsid w:val="0080072C"/>
    <w:rsid w:val="008008FB"/>
    <w:rsid w:val="008068D5"/>
    <w:rsid w:val="00807059"/>
    <w:rsid w:val="00810007"/>
    <w:rsid w:val="00810F47"/>
    <w:rsid w:val="008143E3"/>
    <w:rsid w:val="008171AE"/>
    <w:rsid w:val="00820EBA"/>
    <w:rsid w:val="0082111B"/>
    <w:rsid w:val="008277AA"/>
    <w:rsid w:val="00827AA8"/>
    <w:rsid w:val="00834D86"/>
    <w:rsid w:val="0083502C"/>
    <w:rsid w:val="00836DF9"/>
    <w:rsid w:val="00841FDB"/>
    <w:rsid w:val="0084519A"/>
    <w:rsid w:val="00845750"/>
    <w:rsid w:val="008466CB"/>
    <w:rsid w:val="00852BDC"/>
    <w:rsid w:val="0085481F"/>
    <w:rsid w:val="008561C3"/>
    <w:rsid w:val="00856875"/>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2470"/>
    <w:rsid w:val="00884482"/>
    <w:rsid w:val="00884A1A"/>
    <w:rsid w:val="00886C05"/>
    <w:rsid w:val="0088764F"/>
    <w:rsid w:val="0089048B"/>
    <w:rsid w:val="0089195C"/>
    <w:rsid w:val="00892081"/>
    <w:rsid w:val="008920CA"/>
    <w:rsid w:val="008936AB"/>
    <w:rsid w:val="008966AF"/>
    <w:rsid w:val="00896C34"/>
    <w:rsid w:val="008A2B0E"/>
    <w:rsid w:val="008A3BB1"/>
    <w:rsid w:val="008A43BA"/>
    <w:rsid w:val="008A48ED"/>
    <w:rsid w:val="008A6D2E"/>
    <w:rsid w:val="008B3373"/>
    <w:rsid w:val="008B69E7"/>
    <w:rsid w:val="008B7B1F"/>
    <w:rsid w:val="008C393D"/>
    <w:rsid w:val="008D0179"/>
    <w:rsid w:val="008D184F"/>
    <w:rsid w:val="008D1AEA"/>
    <w:rsid w:val="008D460F"/>
    <w:rsid w:val="008D4D0F"/>
    <w:rsid w:val="008D5959"/>
    <w:rsid w:val="008D5C18"/>
    <w:rsid w:val="008D64BA"/>
    <w:rsid w:val="008E0F0E"/>
    <w:rsid w:val="008E3801"/>
    <w:rsid w:val="008E55C0"/>
    <w:rsid w:val="008F074D"/>
    <w:rsid w:val="008F1E37"/>
    <w:rsid w:val="008F3103"/>
    <w:rsid w:val="008F3F91"/>
    <w:rsid w:val="008F43F0"/>
    <w:rsid w:val="008F5DD1"/>
    <w:rsid w:val="008F7D75"/>
    <w:rsid w:val="008F7E7A"/>
    <w:rsid w:val="00901120"/>
    <w:rsid w:val="00902018"/>
    <w:rsid w:val="00903367"/>
    <w:rsid w:val="0090700F"/>
    <w:rsid w:val="00910970"/>
    <w:rsid w:val="009116FA"/>
    <w:rsid w:val="0091173C"/>
    <w:rsid w:val="0091234B"/>
    <w:rsid w:val="00914515"/>
    <w:rsid w:val="009149D9"/>
    <w:rsid w:val="00915F98"/>
    <w:rsid w:val="009206CF"/>
    <w:rsid w:val="009223A3"/>
    <w:rsid w:val="00922F3A"/>
    <w:rsid w:val="0092388D"/>
    <w:rsid w:val="00923F27"/>
    <w:rsid w:val="0092582B"/>
    <w:rsid w:val="0092694C"/>
    <w:rsid w:val="009356E5"/>
    <w:rsid w:val="00936CA8"/>
    <w:rsid w:val="009378FF"/>
    <w:rsid w:val="00937ED7"/>
    <w:rsid w:val="00942976"/>
    <w:rsid w:val="00943CEC"/>
    <w:rsid w:val="009445D2"/>
    <w:rsid w:val="009468B5"/>
    <w:rsid w:val="00947609"/>
    <w:rsid w:val="009500A1"/>
    <w:rsid w:val="00950989"/>
    <w:rsid w:val="00952291"/>
    <w:rsid w:val="009527B3"/>
    <w:rsid w:val="009529AD"/>
    <w:rsid w:val="009549BE"/>
    <w:rsid w:val="00956385"/>
    <w:rsid w:val="0095676F"/>
    <w:rsid w:val="00957041"/>
    <w:rsid w:val="00957D36"/>
    <w:rsid w:val="0096021B"/>
    <w:rsid w:val="009607EA"/>
    <w:rsid w:val="00960A1D"/>
    <w:rsid w:val="00960A65"/>
    <w:rsid w:val="00960E34"/>
    <w:rsid w:val="00961687"/>
    <w:rsid w:val="00962684"/>
    <w:rsid w:val="00962FEE"/>
    <w:rsid w:val="009634B8"/>
    <w:rsid w:val="00963F77"/>
    <w:rsid w:val="00967D36"/>
    <w:rsid w:val="00967FC0"/>
    <w:rsid w:val="00970393"/>
    <w:rsid w:val="00970A5C"/>
    <w:rsid w:val="009732E2"/>
    <w:rsid w:val="009738BB"/>
    <w:rsid w:val="009756B3"/>
    <w:rsid w:val="009767D4"/>
    <w:rsid w:val="00976DDF"/>
    <w:rsid w:val="00977021"/>
    <w:rsid w:val="009770EC"/>
    <w:rsid w:val="00977852"/>
    <w:rsid w:val="00982BE5"/>
    <w:rsid w:val="00985400"/>
    <w:rsid w:val="00985998"/>
    <w:rsid w:val="00986B62"/>
    <w:rsid w:val="00987FDD"/>
    <w:rsid w:val="00990F37"/>
    <w:rsid w:val="00991F15"/>
    <w:rsid w:val="00992DD5"/>
    <w:rsid w:val="00994E67"/>
    <w:rsid w:val="009951A5"/>
    <w:rsid w:val="00997234"/>
    <w:rsid w:val="00997D3F"/>
    <w:rsid w:val="009A0DF7"/>
    <w:rsid w:val="009A2F5B"/>
    <w:rsid w:val="009A41A3"/>
    <w:rsid w:val="009A4689"/>
    <w:rsid w:val="009A529F"/>
    <w:rsid w:val="009B0BA8"/>
    <w:rsid w:val="009B17E0"/>
    <w:rsid w:val="009B22E2"/>
    <w:rsid w:val="009B33E0"/>
    <w:rsid w:val="009B374A"/>
    <w:rsid w:val="009B3A5F"/>
    <w:rsid w:val="009B3C87"/>
    <w:rsid w:val="009B43E6"/>
    <w:rsid w:val="009B5FE5"/>
    <w:rsid w:val="009B6516"/>
    <w:rsid w:val="009C6E3B"/>
    <w:rsid w:val="009C6EF7"/>
    <w:rsid w:val="009D0503"/>
    <w:rsid w:val="009D2CEB"/>
    <w:rsid w:val="009D403A"/>
    <w:rsid w:val="009D546C"/>
    <w:rsid w:val="009D6666"/>
    <w:rsid w:val="009D66F9"/>
    <w:rsid w:val="009D787E"/>
    <w:rsid w:val="009E6050"/>
    <w:rsid w:val="009E7B71"/>
    <w:rsid w:val="009F008C"/>
    <w:rsid w:val="009F0303"/>
    <w:rsid w:val="009F2BFF"/>
    <w:rsid w:val="009F3515"/>
    <w:rsid w:val="009F5C98"/>
    <w:rsid w:val="009F78DF"/>
    <w:rsid w:val="009F7E18"/>
    <w:rsid w:val="00A00DEA"/>
    <w:rsid w:val="00A00E3F"/>
    <w:rsid w:val="00A04B29"/>
    <w:rsid w:val="00A0702B"/>
    <w:rsid w:val="00A10BFF"/>
    <w:rsid w:val="00A11B4F"/>
    <w:rsid w:val="00A12FA2"/>
    <w:rsid w:val="00A136CE"/>
    <w:rsid w:val="00A13957"/>
    <w:rsid w:val="00A150A5"/>
    <w:rsid w:val="00A16CEF"/>
    <w:rsid w:val="00A178E2"/>
    <w:rsid w:val="00A2060A"/>
    <w:rsid w:val="00A20B29"/>
    <w:rsid w:val="00A2168C"/>
    <w:rsid w:val="00A2237C"/>
    <w:rsid w:val="00A2369E"/>
    <w:rsid w:val="00A2687D"/>
    <w:rsid w:val="00A26E54"/>
    <w:rsid w:val="00A26F7E"/>
    <w:rsid w:val="00A30454"/>
    <w:rsid w:val="00A33504"/>
    <w:rsid w:val="00A33F8C"/>
    <w:rsid w:val="00A34C54"/>
    <w:rsid w:val="00A35109"/>
    <w:rsid w:val="00A418A9"/>
    <w:rsid w:val="00A4248B"/>
    <w:rsid w:val="00A42CCC"/>
    <w:rsid w:val="00A4322C"/>
    <w:rsid w:val="00A45B7B"/>
    <w:rsid w:val="00A47146"/>
    <w:rsid w:val="00A471F9"/>
    <w:rsid w:val="00A47268"/>
    <w:rsid w:val="00A5049D"/>
    <w:rsid w:val="00A5050C"/>
    <w:rsid w:val="00A50855"/>
    <w:rsid w:val="00A51DA8"/>
    <w:rsid w:val="00A52AEE"/>
    <w:rsid w:val="00A5310F"/>
    <w:rsid w:val="00A5673C"/>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32E"/>
    <w:rsid w:val="00A74A5A"/>
    <w:rsid w:val="00A80D37"/>
    <w:rsid w:val="00A82429"/>
    <w:rsid w:val="00A829A1"/>
    <w:rsid w:val="00A8313F"/>
    <w:rsid w:val="00A83728"/>
    <w:rsid w:val="00A843F8"/>
    <w:rsid w:val="00A85477"/>
    <w:rsid w:val="00A8758A"/>
    <w:rsid w:val="00A91C6E"/>
    <w:rsid w:val="00A94966"/>
    <w:rsid w:val="00A9578E"/>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793"/>
    <w:rsid w:val="00AC6A28"/>
    <w:rsid w:val="00AD0318"/>
    <w:rsid w:val="00AD0E99"/>
    <w:rsid w:val="00AD1CBC"/>
    <w:rsid w:val="00AD2D6F"/>
    <w:rsid w:val="00AD3921"/>
    <w:rsid w:val="00AD3D31"/>
    <w:rsid w:val="00AD67BD"/>
    <w:rsid w:val="00AD6DE1"/>
    <w:rsid w:val="00AE157C"/>
    <w:rsid w:val="00AE219D"/>
    <w:rsid w:val="00AE3047"/>
    <w:rsid w:val="00AE4E5A"/>
    <w:rsid w:val="00AE5C8F"/>
    <w:rsid w:val="00AE6A5E"/>
    <w:rsid w:val="00AF0C60"/>
    <w:rsid w:val="00AF3586"/>
    <w:rsid w:val="00AF3DC2"/>
    <w:rsid w:val="00AF4800"/>
    <w:rsid w:val="00AF4B73"/>
    <w:rsid w:val="00AF57FA"/>
    <w:rsid w:val="00B0214B"/>
    <w:rsid w:val="00B03294"/>
    <w:rsid w:val="00B038A0"/>
    <w:rsid w:val="00B04736"/>
    <w:rsid w:val="00B060EE"/>
    <w:rsid w:val="00B100B3"/>
    <w:rsid w:val="00B102AA"/>
    <w:rsid w:val="00B12E2B"/>
    <w:rsid w:val="00B13BB1"/>
    <w:rsid w:val="00B16ACE"/>
    <w:rsid w:val="00B17DFC"/>
    <w:rsid w:val="00B2077A"/>
    <w:rsid w:val="00B21274"/>
    <w:rsid w:val="00B21D9A"/>
    <w:rsid w:val="00B22FE8"/>
    <w:rsid w:val="00B24706"/>
    <w:rsid w:val="00B2573D"/>
    <w:rsid w:val="00B30E82"/>
    <w:rsid w:val="00B3190F"/>
    <w:rsid w:val="00B31A3F"/>
    <w:rsid w:val="00B352C4"/>
    <w:rsid w:val="00B3651A"/>
    <w:rsid w:val="00B36B7C"/>
    <w:rsid w:val="00B36C55"/>
    <w:rsid w:val="00B373A8"/>
    <w:rsid w:val="00B40370"/>
    <w:rsid w:val="00B408ED"/>
    <w:rsid w:val="00B432A3"/>
    <w:rsid w:val="00B46097"/>
    <w:rsid w:val="00B478D4"/>
    <w:rsid w:val="00B47DD5"/>
    <w:rsid w:val="00B51431"/>
    <w:rsid w:val="00B52C20"/>
    <w:rsid w:val="00B53B3B"/>
    <w:rsid w:val="00B53DB3"/>
    <w:rsid w:val="00B547D9"/>
    <w:rsid w:val="00B5541D"/>
    <w:rsid w:val="00B55812"/>
    <w:rsid w:val="00B55D03"/>
    <w:rsid w:val="00B55D68"/>
    <w:rsid w:val="00B5609A"/>
    <w:rsid w:val="00B603E8"/>
    <w:rsid w:val="00B6107B"/>
    <w:rsid w:val="00B61119"/>
    <w:rsid w:val="00B62AD3"/>
    <w:rsid w:val="00B63F4C"/>
    <w:rsid w:val="00B64830"/>
    <w:rsid w:val="00B66237"/>
    <w:rsid w:val="00B66931"/>
    <w:rsid w:val="00B671CA"/>
    <w:rsid w:val="00B7010D"/>
    <w:rsid w:val="00B7390E"/>
    <w:rsid w:val="00B73E9A"/>
    <w:rsid w:val="00B74EF8"/>
    <w:rsid w:val="00B751DF"/>
    <w:rsid w:val="00B7682C"/>
    <w:rsid w:val="00B7689E"/>
    <w:rsid w:val="00B81B0B"/>
    <w:rsid w:val="00B828F1"/>
    <w:rsid w:val="00B8340E"/>
    <w:rsid w:val="00B83C31"/>
    <w:rsid w:val="00B8445C"/>
    <w:rsid w:val="00B85898"/>
    <w:rsid w:val="00B900F8"/>
    <w:rsid w:val="00B92D5C"/>
    <w:rsid w:val="00B94146"/>
    <w:rsid w:val="00B96411"/>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B91"/>
    <w:rsid w:val="00BB2BB5"/>
    <w:rsid w:val="00BB49FF"/>
    <w:rsid w:val="00BB4EA0"/>
    <w:rsid w:val="00BB58C9"/>
    <w:rsid w:val="00BB5D40"/>
    <w:rsid w:val="00BB5ED4"/>
    <w:rsid w:val="00BB66B8"/>
    <w:rsid w:val="00BB7CA4"/>
    <w:rsid w:val="00BC0C64"/>
    <w:rsid w:val="00BC20D7"/>
    <w:rsid w:val="00BC3C2A"/>
    <w:rsid w:val="00BC4898"/>
    <w:rsid w:val="00BC5365"/>
    <w:rsid w:val="00BC56EF"/>
    <w:rsid w:val="00BC63FF"/>
    <w:rsid w:val="00BC79A3"/>
    <w:rsid w:val="00BC7B5E"/>
    <w:rsid w:val="00BD1A5C"/>
    <w:rsid w:val="00BD2561"/>
    <w:rsid w:val="00BD359C"/>
    <w:rsid w:val="00BD3A2A"/>
    <w:rsid w:val="00BD4A38"/>
    <w:rsid w:val="00BD4D37"/>
    <w:rsid w:val="00BD5F5C"/>
    <w:rsid w:val="00BD751D"/>
    <w:rsid w:val="00BD7835"/>
    <w:rsid w:val="00BE097F"/>
    <w:rsid w:val="00BE1984"/>
    <w:rsid w:val="00BE28D7"/>
    <w:rsid w:val="00BE2CDC"/>
    <w:rsid w:val="00BE2EF3"/>
    <w:rsid w:val="00BE3A9B"/>
    <w:rsid w:val="00BE50A3"/>
    <w:rsid w:val="00BE630E"/>
    <w:rsid w:val="00BE7979"/>
    <w:rsid w:val="00BF106B"/>
    <w:rsid w:val="00BF4C1D"/>
    <w:rsid w:val="00BF4E63"/>
    <w:rsid w:val="00BF54EA"/>
    <w:rsid w:val="00C013D3"/>
    <w:rsid w:val="00C0224E"/>
    <w:rsid w:val="00C02920"/>
    <w:rsid w:val="00C02B94"/>
    <w:rsid w:val="00C0460F"/>
    <w:rsid w:val="00C051F3"/>
    <w:rsid w:val="00C06C01"/>
    <w:rsid w:val="00C10CFB"/>
    <w:rsid w:val="00C11433"/>
    <w:rsid w:val="00C1433E"/>
    <w:rsid w:val="00C1484B"/>
    <w:rsid w:val="00C15B66"/>
    <w:rsid w:val="00C1611B"/>
    <w:rsid w:val="00C208AE"/>
    <w:rsid w:val="00C213B2"/>
    <w:rsid w:val="00C222A5"/>
    <w:rsid w:val="00C224CA"/>
    <w:rsid w:val="00C23393"/>
    <w:rsid w:val="00C237B6"/>
    <w:rsid w:val="00C2443A"/>
    <w:rsid w:val="00C2585A"/>
    <w:rsid w:val="00C26037"/>
    <w:rsid w:val="00C266F3"/>
    <w:rsid w:val="00C31152"/>
    <w:rsid w:val="00C319AC"/>
    <w:rsid w:val="00C31FED"/>
    <w:rsid w:val="00C3372B"/>
    <w:rsid w:val="00C365C1"/>
    <w:rsid w:val="00C3789B"/>
    <w:rsid w:val="00C43328"/>
    <w:rsid w:val="00C452BF"/>
    <w:rsid w:val="00C4583D"/>
    <w:rsid w:val="00C45CFD"/>
    <w:rsid w:val="00C4760A"/>
    <w:rsid w:val="00C47FF5"/>
    <w:rsid w:val="00C50C09"/>
    <w:rsid w:val="00C5192E"/>
    <w:rsid w:val="00C546A6"/>
    <w:rsid w:val="00C54FBA"/>
    <w:rsid w:val="00C555E3"/>
    <w:rsid w:val="00C570FF"/>
    <w:rsid w:val="00C57E5A"/>
    <w:rsid w:val="00C61CC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BDE"/>
    <w:rsid w:val="00C92C7B"/>
    <w:rsid w:val="00C94074"/>
    <w:rsid w:val="00C94D5C"/>
    <w:rsid w:val="00C9745D"/>
    <w:rsid w:val="00CA0B44"/>
    <w:rsid w:val="00CA1386"/>
    <w:rsid w:val="00CA19F0"/>
    <w:rsid w:val="00CA23C0"/>
    <w:rsid w:val="00CA429D"/>
    <w:rsid w:val="00CA51AD"/>
    <w:rsid w:val="00CB1739"/>
    <w:rsid w:val="00CB2F15"/>
    <w:rsid w:val="00CB603B"/>
    <w:rsid w:val="00CC03CC"/>
    <w:rsid w:val="00CC18C2"/>
    <w:rsid w:val="00CC50CF"/>
    <w:rsid w:val="00CC6665"/>
    <w:rsid w:val="00CC6E1A"/>
    <w:rsid w:val="00CD0829"/>
    <w:rsid w:val="00CD09DC"/>
    <w:rsid w:val="00CD0AE5"/>
    <w:rsid w:val="00CD2F24"/>
    <w:rsid w:val="00CD3A19"/>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7C0"/>
    <w:rsid w:val="00CF4E7F"/>
    <w:rsid w:val="00CF5B0B"/>
    <w:rsid w:val="00CF5BAC"/>
    <w:rsid w:val="00CF7D6D"/>
    <w:rsid w:val="00D0236F"/>
    <w:rsid w:val="00D03D9C"/>
    <w:rsid w:val="00D042B0"/>
    <w:rsid w:val="00D076F9"/>
    <w:rsid w:val="00D079E1"/>
    <w:rsid w:val="00D10C05"/>
    <w:rsid w:val="00D114D9"/>
    <w:rsid w:val="00D11DE4"/>
    <w:rsid w:val="00D135C8"/>
    <w:rsid w:val="00D14263"/>
    <w:rsid w:val="00D14276"/>
    <w:rsid w:val="00D14D04"/>
    <w:rsid w:val="00D151F0"/>
    <w:rsid w:val="00D15278"/>
    <w:rsid w:val="00D1694D"/>
    <w:rsid w:val="00D209B1"/>
    <w:rsid w:val="00D20A5C"/>
    <w:rsid w:val="00D21846"/>
    <w:rsid w:val="00D239E0"/>
    <w:rsid w:val="00D264FC"/>
    <w:rsid w:val="00D2659A"/>
    <w:rsid w:val="00D2783E"/>
    <w:rsid w:val="00D32178"/>
    <w:rsid w:val="00D32313"/>
    <w:rsid w:val="00D348B0"/>
    <w:rsid w:val="00D3599B"/>
    <w:rsid w:val="00D3651D"/>
    <w:rsid w:val="00D37ED3"/>
    <w:rsid w:val="00D405E3"/>
    <w:rsid w:val="00D44EB0"/>
    <w:rsid w:val="00D44EF5"/>
    <w:rsid w:val="00D450DD"/>
    <w:rsid w:val="00D45D8D"/>
    <w:rsid w:val="00D466C6"/>
    <w:rsid w:val="00D46A30"/>
    <w:rsid w:val="00D50964"/>
    <w:rsid w:val="00D52F71"/>
    <w:rsid w:val="00D536EF"/>
    <w:rsid w:val="00D53E6A"/>
    <w:rsid w:val="00D54634"/>
    <w:rsid w:val="00D563AC"/>
    <w:rsid w:val="00D5658E"/>
    <w:rsid w:val="00D568A2"/>
    <w:rsid w:val="00D57254"/>
    <w:rsid w:val="00D5728E"/>
    <w:rsid w:val="00D600BF"/>
    <w:rsid w:val="00D62FEB"/>
    <w:rsid w:val="00D631BA"/>
    <w:rsid w:val="00D64D42"/>
    <w:rsid w:val="00D6547A"/>
    <w:rsid w:val="00D662CD"/>
    <w:rsid w:val="00D665FA"/>
    <w:rsid w:val="00D67BFA"/>
    <w:rsid w:val="00D67DAE"/>
    <w:rsid w:val="00D724A5"/>
    <w:rsid w:val="00D80917"/>
    <w:rsid w:val="00D81FAC"/>
    <w:rsid w:val="00D83092"/>
    <w:rsid w:val="00D85F29"/>
    <w:rsid w:val="00D86C03"/>
    <w:rsid w:val="00D86CB3"/>
    <w:rsid w:val="00D87ABE"/>
    <w:rsid w:val="00D9358C"/>
    <w:rsid w:val="00D94F20"/>
    <w:rsid w:val="00D97490"/>
    <w:rsid w:val="00DA0744"/>
    <w:rsid w:val="00DA0EAD"/>
    <w:rsid w:val="00DA20F2"/>
    <w:rsid w:val="00DA2186"/>
    <w:rsid w:val="00DA2280"/>
    <w:rsid w:val="00DA4D68"/>
    <w:rsid w:val="00DA6844"/>
    <w:rsid w:val="00DA78E3"/>
    <w:rsid w:val="00DB03F8"/>
    <w:rsid w:val="00DB23C0"/>
    <w:rsid w:val="00DB2DEF"/>
    <w:rsid w:val="00DB3BA6"/>
    <w:rsid w:val="00DB6572"/>
    <w:rsid w:val="00DB7C99"/>
    <w:rsid w:val="00DC2AA8"/>
    <w:rsid w:val="00DC3D9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D1F"/>
    <w:rsid w:val="00DE1EC2"/>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87A"/>
    <w:rsid w:val="00E05F3B"/>
    <w:rsid w:val="00E07017"/>
    <w:rsid w:val="00E0735F"/>
    <w:rsid w:val="00E07FDD"/>
    <w:rsid w:val="00E108BE"/>
    <w:rsid w:val="00E10C42"/>
    <w:rsid w:val="00E12320"/>
    <w:rsid w:val="00E1239A"/>
    <w:rsid w:val="00E123FA"/>
    <w:rsid w:val="00E12495"/>
    <w:rsid w:val="00E12CA1"/>
    <w:rsid w:val="00E13F24"/>
    <w:rsid w:val="00E15377"/>
    <w:rsid w:val="00E1541D"/>
    <w:rsid w:val="00E2144F"/>
    <w:rsid w:val="00E2196F"/>
    <w:rsid w:val="00E2284B"/>
    <w:rsid w:val="00E23253"/>
    <w:rsid w:val="00E24EA8"/>
    <w:rsid w:val="00E25160"/>
    <w:rsid w:val="00E2625C"/>
    <w:rsid w:val="00E26B14"/>
    <w:rsid w:val="00E278D8"/>
    <w:rsid w:val="00E27E12"/>
    <w:rsid w:val="00E30DDD"/>
    <w:rsid w:val="00E30E33"/>
    <w:rsid w:val="00E32CBF"/>
    <w:rsid w:val="00E3374B"/>
    <w:rsid w:val="00E35D16"/>
    <w:rsid w:val="00E36784"/>
    <w:rsid w:val="00E36F08"/>
    <w:rsid w:val="00E400D3"/>
    <w:rsid w:val="00E411C7"/>
    <w:rsid w:val="00E42177"/>
    <w:rsid w:val="00E42C8D"/>
    <w:rsid w:val="00E439B3"/>
    <w:rsid w:val="00E45B77"/>
    <w:rsid w:val="00E461A1"/>
    <w:rsid w:val="00E464ED"/>
    <w:rsid w:val="00E46596"/>
    <w:rsid w:val="00E46869"/>
    <w:rsid w:val="00E46923"/>
    <w:rsid w:val="00E51A63"/>
    <w:rsid w:val="00E51D35"/>
    <w:rsid w:val="00E52DE2"/>
    <w:rsid w:val="00E552D0"/>
    <w:rsid w:val="00E5589F"/>
    <w:rsid w:val="00E55AA3"/>
    <w:rsid w:val="00E55E85"/>
    <w:rsid w:val="00E6010B"/>
    <w:rsid w:val="00E60E5D"/>
    <w:rsid w:val="00E61467"/>
    <w:rsid w:val="00E627F9"/>
    <w:rsid w:val="00E63F5E"/>
    <w:rsid w:val="00E66D42"/>
    <w:rsid w:val="00E71B84"/>
    <w:rsid w:val="00E71CAE"/>
    <w:rsid w:val="00E74379"/>
    <w:rsid w:val="00E745D8"/>
    <w:rsid w:val="00E75AB8"/>
    <w:rsid w:val="00E7623B"/>
    <w:rsid w:val="00E777A7"/>
    <w:rsid w:val="00E77DFE"/>
    <w:rsid w:val="00E81FDC"/>
    <w:rsid w:val="00E827F6"/>
    <w:rsid w:val="00E82940"/>
    <w:rsid w:val="00E84F8E"/>
    <w:rsid w:val="00E85EE4"/>
    <w:rsid w:val="00E86D82"/>
    <w:rsid w:val="00E90B88"/>
    <w:rsid w:val="00E917EC"/>
    <w:rsid w:val="00E91825"/>
    <w:rsid w:val="00E93236"/>
    <w:rsid w:val="00E944AD"/>
    <w:rsid w:val="00E95EF0"/>
    <w:rsid w:val="00E97F7E"/>
    <w:rsid w:val="00EA4A19"/>
    <w:rsid w:val="00EA4D06"/>
    <w:rsid w:val="00EA4FDE"/>
    <w:rsid w:val="00EA5404"/>
    <w:rsid w:val="00EA59BC"/>
    <w:rsid w:val="00EA7465"/>
    <w:rsid w:val="00EB00C2"/>
    <w:rsid w:val="00EB06DF"/>
    <w:rsid w:val="00EB1092"/>
    <w:rsid w:val="00EB20DA"/>
    <w:rsid w:val="00EB68C2"/>
    <w:rsid w:val="00EB7371"/>
    <w:rsid w:val="00EC001C"/>
    <w:rsid w:val="00EC0944"/>
    <w:rsid w:val="00EC1596"/>
    <w:rsid w:val="00EC226C"/>
    <w:rsid w:val="00EC3827"/>
    <w:rsid w:val="00EC79CC"/>
    <w:rsid w:val="00ED1E37"/>
    <w:rsid w:val="00ED4E00"/>
    <w:rsid w:val="00ED7B47"/>
    <w:rsid w:val="00EE0346"/>
    <w:rsid w:val="00EE131C"/>
    <w:rsid w:val="00EE2185"/>
    <w:rsid w:val="00EE37BB"/>
    <w:rsid w:val="00EE4A11"/>
    <w:rsid w:val="00EF1DAE"/>
    <w:rsid w:val="00EF4464"/>
    <w:rsid w:val="00EF4B5B"/>
    <w:rsid w:val="00EF5112"/>
    <w:rsid w:val="00F009B6"/>
    <w:rsid w:val="00F03FBD"/>
    <w:rsid w:val="00F04CCF"/>
    <w:rsid w:val="00F05266"/>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10E3"/>
    <w:rsid w:val="00F91499"/>
    <w:rsid w:val="00F9283C"/>
    <w:rsid w:val="00F935B7"/>
    <w:rsid w:val="00FA06FD"/>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E07"/>
    <w:rsid w:val="00FD26AB"/>
    <w:rsid w:val="00FD28EA"/>
    <w:rsid w:val="00FD4CF0"/>
    <w:rsid w:val="00FD6096"/>
    <w:rsid w:val="00FD745F"/>
    <w:rsid w:val="00FE04BA"/>
    <w:rsid w:val="00FE0BEB"/>
    <w:rsid w:val="00FE461B"/>
    <w:rsid w:val="00FE6BA9"/>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8</Pages>
  <Words>2290</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509</cp:revision>
  <dcterms:created xsi:type="dcterms:W3CDTF">2025-03-28T21:17:00Z</dcterms:created>
  <dcterms:modified xsi:type="dcterms:W3CDTF">2025-06-13T20:49:00Z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