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2302C56B" w:rsidR="00985400" w:rsidRPr="00F729E7" w:rsidRDefault="00324141" w:rsidP="00985400">
      <w:pPr>
        <w:pStyle w:val="BodyText"/>
        <w:spacing w:line="360" w:lineRule="auto"/>
        <w:ind w:left="0"/>
        <w:rPr>
          <w:rFonts w:eastAsiaTheme="minorEastAsia"/>
          <w:b/>
          <w:color w:val="000000" w:themeColor="text1"/>
          <w:sz w:val="32"/>
          <w:szCs w:val="12"/>
          <w:lang w:eastAsia="ko-KR"/>
        </w:rPr>
      </w:pPr>
      <w:bookmarkStart w:id="0" w:name="_Hlk178434872"/>
      <w:r>
        <w:rPr>
          <w:rFonts w:hint="eastAsia"/>
          <w:b/>
          <w:sz w:val="32"/>
          <w:szCs w:val="32"/>
          <w:lang w:eastAsia="zh-CN"/>
        </w:rPr>
        <w:t xml:space="preserve"> </w:t>
      </w:r>
      <w:r w:rsidR="00D3651D"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After discussing with Professor Jo Youngji,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566A31F1"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How much early share growth rate 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69ABD6D6"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and duration) </w:t>
      </w:r>
      <w:r w:rsidR="009F2BFF">
        <w:rPr>
          <w:rFonts w:eastAsiaTheme="minorEastAsia"/>
          <w:color w:val="000000" w:themeColor="text1"/>
          <w:sz w:val="22"/>
          <w:szCs w:val="22"/>
          <w:shd w:val="clear" w:color="auto" w:fill="FFFFFF"/>
          <w:lang w:eastAsia="zh-CN"/>
        </w:rPr>
        <w:t>of the model</w:t>
      </w:r>
      <w:r w:rsidRPr="00B63F4C">
        <w:rPr>
          <w:rFonts w:eastAsiaTheme="minorEastAsia"/>
          <w:color w:val="000000" w:themeColor="text1"/>
          <w:sz w:val="22"/>
          <w:szCs w:val="22"/>
          <w:shd w:val="clear" w:color="auto" w:fill="FFFFFF"/>
          <w:lang w:eastAsia="zh-CN"/>
        </w:rPr>
        <w:t xml:space="preserve">. </w:t>
      </w:r>
    </w:p>
    <w:p w14:paraId="4E216928" w14:textId="1D76292E"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w:t>
      </w:r>
    </w:p>
    <w:p w14:paraId="72CC04DC" w14:textId="219B4724"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w:t>
      </w:r>
      <w:r w:rsidR="00081D90">
        <w:rPr>
          <w:rFonts w:eastAsiaTheme="minorEastAsia"/>
          <w:color w:val="000000" w:themeColor="text1"/>
          <w:sz w:val="22"/>
          <w:szCs w:val="22"/>
          <w:shd w:val="clear" w:color="auto" w:fill="FFFFFF"/>
          <w:lang w:eastAsia="zh-CN"/>
        </w:rPr>
        <w:t xml:space="preserve">before reaching the threshold (20%). </w:t>
      </w:r>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1" w:name="Cohort_Study_Design_and_Regression_Model"/>
      <w:bookmarkEnd w:id="1"/>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71B3ABAE">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AD0613">
      <w:pPr>
        <w:pStyle w:val="p1"/>
        <w:rPr>
          <w:sz w:val="22"/>
          <w:szCs w:val="22"/>
        </w:rPr>
      </w:pPr>
      <w:r w:rsidRPr="00AD0613">
        <w:rPr>
          <w:sz w:val="22"/>
          <w:szCs w:val="22"/>
        </w:rPr>
        <w:lastRenderedPageBreak/>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D44EF5">
      <w:pPr>
        <w:pStyle w:val="pf0"/>
        <w:spacing w:before="0" w:beforeAutospacing="0" w:after="0" w:afterAutospacing="0" w:line="276" w:lineRule="auto"/>
        <w:rPr>
          <w:rFonts w:eastAsiaTheme="minorEastAsia"/>
          <w:b/>
          <w:bCs/>
          <w:spacing w:val="-10"/>
          <w:sz w:val="22"/>
          <w:szCs w:val="22"/>
          <w:lang w:eastAsia="zh-CN"/>
        </w:rPr>
      </w:pPr>
    </w:p>
    <w:p w14:paraId="2B67D419" w14:textId="77777777" w:rsidR="00971D4C" w:rsidRPr="00471695" w:rsidRDefault="00971D4C" w:rsidP="00D44EF5">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FF5F09">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0BA73505"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 </w:t>
      </w:r>
      <w:r w:rsidRPr="00BA3EA1">
        <w:rPr>
          <w:sz w:val="22"/>
          <w:szCs w:val="22"/>
          <w:shd w:val="pct15" w:color="auto" w:fill="FFFFFF"/>
          <w:lang w:eastAsia="zh-CN"/>
        </w:rPr>
        <w:t>Du Plessis et al. (2021)</w:t>
      </w:r>
      <w:r w:rsidRPr="00E26B14">
        <w:rPr>
          <w:sz w:val="22"/>
          <w:szCs w:val="22"/>
          <w:lang w:eastAsia="zh-CN"/>
        </w:rPr>
        <w:t>, 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2F1CC3EE"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355977">
        <w:rPr>
          <w:sz w:val="22"/>
          <w:szCs w:val="22"/>
          <w:shd w:val="pct15" w:color="auto" w:fill="FFFFFF"/>
          <w:lang w:eastAsia="zh-CN"/>
        </w:rPr>
        <w:t>World Health Organization (WHO, 2021)</w:t>
      </w:r>
      <w:r w:rsidRPr="00E26B14">
        <w:rPr>
          <w:sz w:val="22"/>
          <w:szCs w:val="22"/>
          <w:lang w:eastAsia="zh-CN"/>
        </w:rPr>
        <w:t xml:space="preserve">. 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355977">
        <w:rPr>
          <w:sz w:val="22"/>
          <w:szCs w:val="22"/>
          <w:shd w:val="pct15" w:color="auto" w:fill="FFFFFF"/>
          <w:lang w:eastAsia="zh-CN"/>
        </w:rPr>
        <w:t>Chen et al. (2022),</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guidance </w:t>
      </w:r>
      <w:r w:rsidR="00F5666B" w:rsidRPr="00270942">
        <w:rPr>
          <w:sz w:val="22"/>
          <w:szCs w:val="22"/>
          <w:shd w:val="pct15" w:color="auto" w:fill="FFFFFF"/>
          <w:lang w:eastAsia="zh-CN"/>
        </w:rPr>
        <w:t>(WHO, 2023)</w:t>
      </w:r>
      <w:r w:rsidR="00F5666B" w:rsidRPr="00F5666B">
        <w:rPr>
          <w:sz w:val="22"/>
          <w:szCs w:val="22"/>
          <w:lang w:eastAsia="zh-CN"/>
        </w:rPr>
        <w:t xml:space="preserve">, variant tracking literature </w:t>
      </w:r>
      <w:r w:rsidR="00F5666B" w:rsidRPr="00270942">
        <w:rPr>
          <w:sz w:val="22"/>
          <w:szCs w:val="22"/>
          <w:shd w:val="pct15" w:color="auto" w:fill="FFFFFF"/>
          <w:lang w:eastAsia="zh-CN"/>
        </w:rPr>
        <w:t>(</w:t>
      </w:r>
      <w:proofErr w:type="spellStart"/>
      <w:r w:rsidR="00F5666B" w:rsidRPr="00270942">
        <w:rPr>
          <w:sz w:val="22"/>
          <w:szCs w:val="22"/>
          <w:shd w:val="pct15" w:color="auto" w:fill="FFFFFF"/>
          <w:lang w:eastAsia="zh-CN"/>
        </w:rPr>
        <w:t>Hodcroft</w:t>
      </w:r>
      <w:proofErr w:type="spellEnd"/>
      <w:r w:rsidR="00F5666B" w:rsidRPr="00270942">
        <w:rPr>
          <w:sz w:val="22"/>
          <w:szCs w:val="22"/>
          <w:shd w:val="pct15" w:color="auto" w:fill="FFFFFF"/>
          <w:lang w:eastAsia="zh-CN"/>
        </w:rPr>
        <w:t>, 2021),</w:t>
      </w:r>
      <w:r w:rsidR="00F5666B" w:rsidRPr="00F5666B">
        <w:rPr>
          <w:sz w:val="22"/>
          <w:szCs w:val="22"/>
          <w:lang w:eastAsia="zh-CN"/>
        </w:rPr>
        <w:t xml:space="preserve"> and lineage dynamic studies </w:t>
      </w:r>
      <w:r w:rsidR="00F5666B" w:rsidRPr="00270942">
        <w:rPr>
          <w:sz w:val="22"/>
          <w:szCs w:val="22"/>
          <w:shd w:val="pct15" w:color="auto" w:fill="FFFFFF"/>
          <w:lang w:eastAsia="zh-CN"/>
        </w:rPr>
        <w:t>(Du Plessis et al., 2021).</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7A97251F"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w:t>
      </w:r>
      <w:proofErr w:type="spellStart"/>
      <w:r w:rsidRPr="00D50964">
        <w:rPr>
          <w:sz w:val="22"/>
          <w:szCs w:val="22"/>
          <w:lang w:eastAsia="zh-CN"/>
        </w:rPr>
        <w:t>Hodcroft</w:t>
      </w:r>
      <w:proofErr w:type="spellEnd"/>
      <w:r w:rsidRPr="00D50964">
        <w:rPr>
          <w:sz w:val="22"/>
          <w:szCs w:val="22"/>
          <w:lang w:eastAsia="zh-CN"/>
        </w:rPr>
        <w:t>, 2021; Du Plessis et al., 2021).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proofErr w:type="gramStart"/>
      <w:r w:rsidR="00C51E06" w:rsidRPr="00C51E06">
        <w:rPr>
          <w:sz w:val="22"/>
          <w:szCs w:val="22"/>
          <w:lang w:eastAsia="zh-CN"/>
        </w:rPr>
        <w:t>light-gray</w:t>
      </w:r>
      <w:proofErr w:type="gramEnd"/>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w:t>
      </w:r>
      <w:r w:rsidR="00C51E06" w:rsidRPr="00C51E06">
        <w:rPr>
          <w:sz w:val="22"/>
          <w:szCs w:val="22"/>
          <w:lang w:eastAsia="zh-CN"/>
        </w:rPr>
        <w:lastRenderedPageBreak/>
        <w:t xml:space="preserve">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 (2020) and O’Toole et al. (2021),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4A9EAFE7" w:rsidR="007C32E6" w:rsidRDefault="00D82EDF" w:rsidP="0062317D">
      <w:pPr>
        <w:pStyle w:val="BodyText"/>
        <w:spacing w:line="276" w:lineRule="auto"/>
        <w:jc w:val="both"/>
        <w:rPr>
          <w:sz w:val="22"/>
          <w:szCs w:val="22"/>
          <w:lang w:eastAsia="zh-CN"/>
        </w:rPr>
      </w:pPr>
      <w:r w:rsidRPr="00D82EDF">
        <w:rPr>
          <w:sz w:val="22"/>
          <w:szCs w:val="22"/>
          <w:lang w:eastAsia="zh-CN"/>
        </w:rPr>
        <w:t>Our statistical modeling framework tackles two core objectives. First, we develop country‐specific models to predict each variant’s dominance, defined by its eventual peak share of domestic cases. Second, for variants forecast to exceed a 50 % peak share, we estimate the time to dominance (TTD)</w:t>
      </w:r>
      <w:r w:rsidR="00365132">
        <w:rPr>
          <w:sz w:val="22"/>
          <w:szCs w:val="22"/>
          <w:lang w:eastAsia="zh-CN"/>
        </w:rPr>
        <w:t xml:space="preserve">, which is the time to attain 50% domestic share, </w:t>
      </w:r>
      <w:r w:rsidRPr="00D82EDF">
        <w:rPr>
          <w:sz w:val="22"/>
          <w:szCs w:val="22"/>
          <w:lang w:eastAsia="zh-CN"/>
        </w:rPr>
        <w:t>on a per‐variant basis. 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77777777"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(WHO, 2021; GISAID, 2024):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 xml:space="preserve">From each variant’s first N days of share data, we derive ten summary features capturing </w:t>
      </w:r>
      <w:r w:rsidR="008B1F6C" w:rsidRPr="008B1F6C">
        <w:rPr>
          <w:sz w:val="22"/>
          <w:szCs w:val="22"/>
          <w:lang w:eastAsia="zh-CN"/>
        </w:rPr>
        <w:lastRenderedPageBreak/>
        <w:t>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p>
    <w:p w14:paraId="52708E8D" w14:textId="77777777" w:rsidR="003060A7" w:rsidRDefault="003060A7" w:rsidP="007C287D">
      <w:pPr>
        <w:pStyle w:val="BodyText"/>
        <w:spacing w:line="276" w:lineRule="auto"/>
        <w:jc w:val="both"/>
        <w:rPr>
          <w:sz w:val="22"/>
          <w:szCs w:val="22"/>
          <w:lang w:eastAsia="zh-CN"/>
        </w:rPr>
      </w:pPr>
    </w:p>
    <w:p w14:paraId="61D3F241" w14:textId="7BD5C196" w:rsidR="0062317D" w:rsidRDefault="00A14B13" w:rsidP="007C287D">
      <w:pPr>
        <w:pStyle w:val="BodyText"/>
        <w:spacing w:line="276" w:lineRule="auto"/>
        <w:jc w:val="both"/>
        <w:rPr>
          <w:sz w:val="22"/>
          <w:szCs w:val="22"/>
          <w:lang w:eastAsia="zh-CN"/>
        </w:rPr>
      </w:pPr>
      <w:r w:rsidRPr="00A14B13">
        <w:rPr>
          <w:sz w:val="22"/>
          <w:szCs w:val="22"/>
          <w:lang w:eastAsia="zh-CN"/>
        </w:rPr>
        <w:t>Models were trained and hyperparameters optimized using leave‐one‐out cross‐validation (LOOCV), and all model evaluation and comparison metrics—root mean square error (RMSE), mean absolute error (MAE), and coefficient of determination (R²)—were derived from the LOOCV folds.</w:t>
      </w:r>
      <w:r w:rsidR="004754BB">
        <w:rPr>
          <w:sz w:val="22"/>
          <w:szCs w:val="22"/>
          <w:lang w:eastAsia="zh-CN"/>
        </w:rPr>
        <w:t xml:space="preserve"> </w:t>
      </w:r>
      <w:r w:rsidR="00EF14D3" w:rsidRPr="00EF14D3">
        <w:rPr>
          <w:sz w:val="22"/>
          <w:szCs w:val="22"/>
          <w:lang w:eastAsia="zh-CN"/>
        </w:rPr>
        <w:t>The comparison methods span four major modeling paradigms. First, tree‐based ensembles—</w:t>
      </w:r>
      <w:proofErr w:type="spellStart"/>
      <w:r w:rsidR="00EF14D3" w:rsidRPr="00EF14D3">
        <w:rPr>
          <w:sz w:val="22"/>
          <w:szCs w:val="22"/>
          <w:lang w:eastAsia="zh-CN"/>
        </w:rPr>
        <w:t>XGBoost</w:t>
      </w:r>
      <w:proofErr w:type="spellEnd"/>
      <w:r w:rsidR="00EF14D3" w:rsidRPr="00EF14D3">
        <w:rPr>
          <w:sz w:val="22"/>
          <w:szCs w:val="22"/>
          <w:lang w:eastAsia="zh-CN"/>
        </w:rPr>
        <w:t xml:space="preserve">, Random Forest, and </w:t>
      </w:r>
      <w:proofErr w:type="spellStart"/>
      <w:r w:rsidR="00EF14D3" w:rsidRPr="00EF14D3">
        <w:rPr>
          <w:sz w:val="22"/>
          <w:szCs w:val="22"/>
          <w:lang w:eastAsia="zh-CN"/>
        </w:rPr>
        <w:t>LightGBM</w:t>
      </w:r>
      <w:proofErr w:type="spellEnd"/>
      <w:r w:rsidR="00EF14D3" w:rsidRPr="00EF14D3">
        <w:rPr>
          <w:sz w:val="22"/>
          <w:szCs w:val="22"/>
          <w:lang w:eastAsia="zh-CN"/>
        </w:rPr>
        <w:t xml:space="preserve">—harness gradient boosting or bagging to flexibly capture complex, nonlinear interactions in structured data. Second, the Bayesian nonparametric approach of BART (Bayesian Additive Regression Trees) offers probabilistic ensemble learning with inherent uncertainty quantification. Third, kernel and instance‐based methods, namely Support Vector Regression (SVR) and k‐Nearest Neighbors (KNN), approximate nonlinear relationships through kernel transformations or local similarity measures without requiring explicit parametric forms. Finally, additive and regularized linear models—MARS for spline‐based piecewise linear functions and Ridge, Lasso, and </w:t>
      </w:r>
      <w:proofErr w:type="spellStart"/>
      <w:r w:rsidR="00EF14D3" w:rsidRPr="00EF14D3">
        <w:rPr>
          <w:sz w:val="22"/>
          <w:szCs w:val="22"/>
          <w:lang w:eastAsia="zh-CN"/>
        </w:rPr>
        <w:t>ElasticNet</w:t>
      </w:r>
      <w:proofErr w:type="spellEnd"/>
      <w:r w:rsidR="00EF14D3" w:rsidRPr="00EF14D3">
        <w:rPr>
          <w:sz w:val="22"/>
          <w:szCs w:val="22"/>
          <w:lang w:eastAsia="zh-CN"/>
        </w:rPr>
        <w:t xml:space="preserve"> for penalized regression—provide interpretable nonlinearity and feature selection via bias–variance trade‐off controls. By evaluating this diverse set under leave‐one‐out cross‐validation, we systematically identify the best paradigm for predicting variant peak share across countries.</w:t>
      </w:r>
      <w:r w:rsidR="00322668">
        <w:rPr>
          <w:rFonts w:hint="eastAsia"/>
          <w:sz w:val="22"/>
          <w:szCs w:val="22"/>
          <w:lang w:eastAsia="zh-CN"/>
        </w:rPr>
        <w:t xml:space="preserve"> </w:t>
      </w:r>
    </w:p>
    <w:p w14:paraId="6D57C2C5" w14:textId="77777777" w:rsidR="00CF454E" w:rsidRDefault="00CF454E" w:rsidP="007C287D">
      <w:pPr>
        <w:pStyle w:val="BodyText"/>
        <w:spacing w:line="276" w:lineRule="auto"/>
        <w:jc w:val="both"/>
        <w:rPr>
          <w:sz w:val="22"/>
          <w:szCs w:val="22"/>
          <w:lang w:eastAsia="zh-CN"/>
        </w:rPr>
      </w:pPr>
    </w:p>
    <w:p w14:paraId="621C8E98" w14:textId="77777777" w:rsidR="008904DC" w:rsidRDefault="008904DC" w:rsidP="007C287D">
      <w:pPr>
        <w:pStyle w:val="BodyText"/>
        <w:spacing w:line="276" w:lineRule="auto"/>
        <w:jc w:val="both"/>
        <w:rPr>
          <w:sz w:val="22"/>
          <w:szCs w:val="22"/>
          <w:lang w:eastAsia="zh-CN"/>
        </w:rPr>
      </w:pPr>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proofErr w:type="spellStart"/>
      <w:r w:rsidRPr="008904DC">
        <w:rPr>
          <w:sz w:val="22"/>
          <w:szCs w:val="22"/>
          <w:lang w:eastAsia="zh-CN"/>
        </w:rPr>
        <w:t>Tsoularis</w:t>
      </w:r>
      <w:proofErr w:type="spellEnd"/>
      <w:r w:rsidRPr="008904DC">
        <w:rPr>
          <w:sz w:val="22"/>
          <w:szCs w:val="22"/>
          <w:lang w:eastAsia="zh-CN"/>
        </w:rPr>
        <w:t xml:space="preserve"> &amp; Wallace, 2002; </w:t>
      </w:r>
      <w:proofErr w:type="spellStart"/>
      <w:r w:rsidRPr="008904DC">
        <w:rPr>
          <w:sz w:val="22"/>
          <w:szCs w:val="22"/>
          <w:lang w:eastAsia="zh-CN"/>
        </w:rPr>
        <w:t>Chowell</w:t>
      </w:r>
      <w:proofErr w:type="spellEnd"/>
      <w:r w:rsidRPr="008904DC">
        <w:rPr>
          <w:sz w:val="22"/>
          <w:szCs w:val="22"/>
          <w:lang w:eastAsia="zh-CN"/>
        </w:rPr>
        <w:t xml:space="preserve"> et al., 2007):</w:t>
      </w:r>
    </w:p>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3802720" w:rsidR="00E76838" w:rsidRPr="00580117" w:rsidRDefault="00967612" w:rsidP="00580117">
      <w:pPr>
        <w:pStyle w:val="BodyText"/>
        <w:spacing w:line="276" w:lineRule="auto"/>
        <w:jc w:val="both"/>
        <w:rPr>
          <w:rFonts w:hint="eastAsia"/>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affords interpretable estimates of both takeover speed and timing, and empirical studies have demonstrated its robustness in the presence of surveillance noise (</w:t>
      </w:r>
      <w:proofErr w:type="spellStart"/>
      <w:r w:rsidRPr="00967612">
        <w:rPr>
          <w:sz w:val="22"/>
          <w:szCs w:val="22"/>
          <w:lang w:eastAsia="zh-CN"/>
        </w:rPr>
        <w:t>Tsoularis</w:t>
      </w:r>
      <w:proofErr w:type="spellEnd"/>
      <w:r w:rsidRPr="00967612">
        <w:rPr>
          <w:sz w:val="22"/>
          <w:szCs w:val="22"/>
          <w:lang w:eastAsia="zh-CN"/>
        </w:rPr>
        <w:t xml:space="preserve"> &amp; Wallace, 2002).</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B30C89">
        <w:trPr>
          <w:trHeight w:val="100"/>
        </w:trPr>
        <w:tc>
          <w:tcPr>
            <w:tcW w:w="1300" w:type="dxa"/>
            <w:tcBorders>
              <w:top w:val="nil"/>
              <w:left w:val="nil"/>
              <w:bottom w:val="nil"/>
              <w:right w:val="nil"/>
            </w:tcBorders>
            <w:shd w:val="clear" w:color="auto" w:fill="auto"/>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shd w:val="clear" w:color="auto" w:fill="auto"/>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shd w:val="clear" w:color="auto" w:fill="auto"/>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drawing>
          <wp:inline distT="0" distB="0" distL="0" distR="0" wp14:anchorId="04ADC064" wp14:editId="5ACFD1E2">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Default="006E1488" w:rsidP="009C0DFF">
      <w:pPr>
        <w:pStyle w:val="BodyText"/>
        <w:spacing w:line="276" w:lineRule="auto"/>
        <w:ind w:left="0"/>
        <w:jc w:val="both"/>
        <w:rPr>
          <w:rFonts w:eastAsiaTheme="minorEastAsia"/>
          <w:b/>
          <w:bCs/>
          <w:sz w:val="22"/>
          <w:szCs w:val="22"/>
          <w:lang w:eastAsia="ko-KR"/>
        </w:rPr>
      </w:pPr>
      <w:r>
        <w:rPr>
          <w:b/>
          <w:bCs/>
          <w:sz w:val="22"/>
          <w:szCs w:val="22"/>
        </w:rPr>
        <w:lastRenderedPageBreak/>
        <w:t>Discussion</w:t>
      </w:r>
    </w:p>
    <w:p w14:paraId="13532CB9" w14:textId="2891FC2E" w:rsidR="009C0DFF" w:rsidRDefault="00AF4886" w:rsidP="00372EFC">
      <w:pPr>
        <w:pStyle w:val="BodyText"/>
        <w:spacing w:line="276" w:lineRule="auto"/>
        <w:ind w:left="0"/>
        <w:jc w:val="both"/>
        <w:rPr>
          <w:sz w:val="20"/>
          <w:szCs w:val="20"/>
          <w:lang w:eastAsia="zh-CN"/>
        </w:rPr>
      </w:pPr>
      <w:r w:rsidRPr="00AF4886">
        <w:rPr>
          <w:sz w:val="20"/>
          <w:szCs w:val="20"/>
          <w:lang w:eastAsia="zh-CN"/>
        </w:rPr>
        <w:t>Our early‐stage feature‐extraction framework builds on prior efforts to anticipate variant trajectories by systematically characterizing the first weeks of emergence (WHO, 2021; GISAID, 2024). Whereas earlier studies have relied primarily on raw growth curves or single indicators such as initial doubling time (e.g. Lee et al., 2022; Patel et al., 2023),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 (Smith &amp; Nguyen, 2024) 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Pr>
          <w:sz w:val="20"/>
          <w:szCs w:val="20"/>
          <w:lang w:eastAsia="zh-CN"/>
        </w:rPr>
        <w:t xml:space="preserve"> </w:t>
      </w:r>
    </w:p>
    <w:p w14:paraId="57EB4844" w14:textId="77777777" w:rsidR="002C36C5" w:rsidRDefault="002C36C5" w:rsidP="00372EFC">
      <w:pPr>
        <w:pStyle w:val="BodyText"/>
        <w:spacing w:line="276" w:lineRule="auto"/>
        <w:ind w:left="0"/>
        <w:jc w:val="both"/>
        <w:rPr>
          <w:sz w:val="20"/>
          <w:szCs w:val="20"/>
          <w:lang w:eastAsia="zh-CN"/>
        </w:rPr>
      </w:pPr>
    </w:p>
    <w:p w14:paraId="428D3A94" w14:textId="2F897CB2" w:rsidR="002C36C5" w:rsidRDefault="002C36C5" w:rsidP="00372EFC">
      <w:pPr>
        <w:pStyle w:val="BodyText"/>
        <w:spacing w:line="276" w:lineRule="auto"/>
        <w:ind w:left="0"/>
        <w:jc w:val="both"/>
        <w:rPr>
          <w:sz w:val="20"/>
          <w:szCs w:val="20"/>
          <w:lang w:eastAsia="zh-CN"/>
        </w:rPr>
      </w:pPr>
      <w:r w:rsidRPr="002C36C5">
        <w:rPr>
          <w:sz w:val="20"/>
          <w:szCs w:val="20"/>
          <w:lang w:eastAsia="zh-CN"/>
        </w:rPr>
        <w:t xml:space="preserve">Our systematic model comparison also demonstrated that tree-based methods—namely Random Forest and </w:t>
      </w:r>
      <w:proofErr w:type="spellStart"/>
      <w:r w:rsidRPr="002C36C5">
        <w:rPr>
          <w:sz w:val="20"/>
          <w:szCs w:val="20"/>
          <w:lang w:eastAsia="zh-CN"/>
        </w:rPr>
        <w:t>XGBoost</w:t>
      </w:r>
      <w:proofErr w:type="spellEnd"/>
      <w:r w:rsidRPr="002C36C5">
        <w:rPr>
          <w:sz w:val="20"/>
          <w:szCs w:val="20"/>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proofErr w:type="gramStart"/>
      <w:r w:rsidRPr="002C36C5">
        <w:rPr>
          <w:sz w:val="20"/>
          <w:szCs w:val="20"/>
          <w:lang w:eastAsia="zh-CN"/>
        </w:rPr>
        <w:t>ten summary</w:t>
      </w:r>
      <w:proofErr w:type="gramEnd"/>
      <w:r w:rsidRPr="002C36C5">
        <w:rPr>
          <w:sz w:val="20"/>
          <w:szCs w:val="20"/>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 (e.g., Zhang et al., 2023; Kumar &amp; Li, 2024), 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Default="00E255D2" w:rsidP="00372EFC">
      <w:pPr>
        <w:pStyle w:val="BodyText"/>
        <w:spacing w:line="276" w:lineRule="auto"/>
        <w:ind w:left="0"/>
        <w:jc w:val="both"/>
        <w:rPr>
          <w:sz w:val="20"/>
          <w:szCs w:val="20"/>
          <w:lang w:eastAsia="zh-CN"/>
        </w:rPr>
      </w:pPr>
    </w:p>
    <w:p w14:paraId="684AA85E" w14:textId="44ADFC06" w:rsidR="00E255D2" w:rsidRDefault="00640949" w:rsidP="00372EFC">
      <w:pPr>
        <w:pStyle w:val="BodyText"/>
        <w:spacing w:line="276" w:lineRule="auto"/>
        <w:ind w:left="0"/>
        <w:jc w:val="both"/>
        <w:rPr>
          <w:sz w:val="20"/>
          <w:szCs w:val="20"/>
          <w:lang w:eastAsia="zh-CN"/>
        </w:rPr>
      </w:pPr>
      <w:r w:rsidRPr="00640949">
        <w:rPr>
          <w:sz w:val="20"/>
          <w:szCs w:val="20"/>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(Reed et al., 2013; </w:t>
      </w:r>
      <w:proofErr w:type="spellStart"/>
      <w:r w:rsidRPr="00640949">
        <w:rPr>
          <w:sz w:val="20"/>
          <w:szCs w:val="20"/>
          <w:lang w:eastAsia="zh-CN"/>
        </w:rPr>
        <w:t>Viboud</w:t>
      </w:r>
      <w:proofErr w:type="spellEnd"/>
      <w:r w:rsidRPr="00640949">
        <w:rPr>
          <w:sz w:val="20"/>
          <w:szCs w:val="20"/>
          <w:lang w:eastAsia="zh-CN"/>
        </w:rPr>
        <w:t xml:space="preserve"> et al., 2016).  In the SARS-CoV-2 context, Volz et al. (2021) and Davies et al. (2023)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Default="00640949" w:rsidP="00372EFC">
      <w:pPr>
        <w:pStyle w:val="BodyText"/>
        <w:spacing w:line="276" w:lineRule="auto"/>
        <w:ind w:left="0"/>
        <w:jc w:val="both"/>
        <w:rPr>
          <w:sz w:val="20"/>
          <w:szCs w:val="20"/>
          <w:lang w:eastAsia="zh-CN"/>
        </w:rPr>
      </w:pPr>
    </w:p>
    <w:p w14:paraId="32ABB5FE" w14:textId="78A7F57D" w:rsidR="005646E8" w:rsidRDefault="005646E8" w:rsidP="00372EFC">
      <w:pPr>
        <w:pStyle w:val="BodyText"/>
        <w:spacing w:line="276" w:lineRule="auto"/>
        <w:ind w:left="0"/>
        <w:jc w:val="both"/>
        <w:rPr>
          <w:sz w:val="20"/>
          <w:szCs w:val="20"/>
          <w:lang w:eastAsia="zh-CN"/>
        </w:rPr>
      </w:pPr>
      <w:r w:rsidRPr="005646E8">
        <w:rPr>
          <w:sz w:val="20"/>
          <w:szCs w:val="20"/>
          <w:lang w:eastAsia="zh-CN"/>
        </w:rPr>
        <w:t>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(du Plessis et al., 2021; COG-UK Consortium, 2022).  In contrast, national‐scale genomic surveys in the United States—while broader in scope—tended to smooth out local surges, enabling reliable logistic midpoints within two weeks (</w:t>
      </w:r>
      <w:proofErr w:type="spellStart"/>
      <w:r w:rsidRPr="005646E8">
        <w:rPr>
          <w:sz w:val="20"/>
          <w:szCs w:val="20"/>
          <w:lang w:eastAsia="zh-CN"/>
        </w:rPr>
        <w:t>Worby</w:t>
      </w:r>
      <w:proofErr w:type="spellEnd"/>
      <w:r w:rsidRPr="005646E8">
        <w:rPr>
          <w:sz w:val="20"/>
          <w:szCs w:val="20"/>
          <w:lang w:eastAsia="zh-CN"/>
        </w:rPr>
        <w:t xml:space="preserve"> et al., 2022; </w:t>
      </w:r>
      <w:proofErr w:type="spellStart"/>
      <w:r w:rsidRPr="005646E8">
        <w:rPr>
          <w:sz w:val="20"/>
          <w:szCs w:val="20"/>
          <w:lang w:eastAsia="zh-CN"/>
        </w:rPr>
        <w:t>Worby</w:t>
      </w:r>
      <w:proofErr w:type="spellEnd"/>
      <w:r w:rsidRPr="005646E8">
        <w:rPr>
          <w:sz w:val="20"/>
          <w:szCs w:val="20"/>
          <w:lang w:eastAsia="zh-CN"/>
        </w:rPr>
        <w:t xml:space="preserve"> &amp; </w:t>
      </w:r>
      <w:proofErr w:type="spellStart"/>
      <w:r w:rsidRPr="005646E8">
        <w:rPr>
          <w:sz w:val="20"/>
          <w:szCs w:val="20"/>
          <w:lang w:eastAsia="zh-CN"/>
        </w:rPr>
        <w:t>Lipsitch</w:t>
      </w:r>
      <w:proofErr w:type="spellEnd"/>
      <w:r w:rsidRPr="005646E8">
        <w:rPr>
          <w:sz w:val="20"/>
          <w:szCs w:val="20"/>
          <w:lang w:eastAsia="zh-CN"/>
        </w:rPr>
        <w:t>, 2021).  Moreover, Volz et al. (2021) showed that denser sampling grids reduce uncertainty in growth‐rate estimates, explaining why the U.K.’s punctuated sequencing cadence temporarily increased variance.  Together, these findings reinforce our observation that the U.K. requires a slightly longer early window—three weeks versus two—to average out its more jagged variant signals before achieving stable time‐to‐dominance forecasts.</w:t>
      </w:r>
    </w:p>
    <w:p w14:paraId="6E4669D6" w14:textId="77777777" w:rsidR="00640949" w:rsidRPr="009D7D44" w:rsidRDefault="00640949" w:rsidP="00372EFC">
      <w:pPr>
        <w:pStyle w:val="BodyText"/>
        <w:spacing w:line="276" w:lineRule="auto"/>
        <w:ind w:left="0"/>
        <w:jc w:val="both"/>
        <w:rPr>
          <w:rFonts w:hint="eastAsia"/>
          <w:sz w:val="20"/>
          <w:szCs w:val="20"/>
          <w:lang w:eastAsia="zh-CN"/>
        </w:rPr>
      </w:pPr>
    </w:p>
    <w:sectPr w:rsidR="00640949" w:rsidRPr="009D7D44"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01BC" w14:textId="77777777" w:rsidR="00E567CC" w:rsidRDefault="00E567CC" w:rsidP="00D3651D">
      <w:r>
        <w:separator/>
      </w:r>
    </w:p>
  </w:endnote>
  <w:endnote w:type="continuationSeparator" w:id="0">
    <w:p w14:paraId="6408B58A" w14:textId="77777777" w:rsidR="00E567CC" w:rsidRDefault="00E567CC" w:rsidP="00D3651D">
      <w:r>
        <w:continuationSeparator/>
      </w:r>
    </w:p>
  </w:endnote>
  <w:endnote w:type="continuationNotice" w:id="1">
    <w:p w14:paraId="74D2BF43" w14:textId="77777777" w:rsidR="00E567CC" w:rsidRDefault="00E567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4EC5" w14:textId="77777777" w:rsidR="00E567CC" w:rsidRDefault="00E567CC" w:rsidP="00D3651D">
      <w:r>
        <w:separator/>
      </w:r>
    </w:p>
  </w:footnote>
  <w:footnote w:type="continuationSeparator" w:id="0">
    <w:p w14:paraId="3DCAB571" w14:textId="77777777" w:rsidR="00E567CC" w:rsidRDefault="00E567CC" w:rsidP="00D3651D">
      <w:r>
        <w:continuationSeparator/>
      </w:r>
    </w:p>
  </w:footnote>
  <w:footnote w:type="continuationNotice" w:id="1">
    <w:p w14:paraId="189EF450" w14:textId="77777777" w:rsidR="00E567CC" w:rsidRDefault="00E567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gFAFxpGSY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595"/>
    <w:rsid w:val="0001394A"/>
    <w:rsid w:val="000153B5"/>
    <w:rsid w:val="00015853"/>
    <w:rsid w:val="00016151"/>
    <w:rsid w:val="000163E7"/>
    <w:rsid w:val="0002007F"/>
    <w:rsid w:val="0002700B"/>
    <w:rsid w:val="00031BE9"/>
    <w:rsid w:val="000327AB"/>
    <w:rsid w:val="00035343"/>
    <w:rsid w:val="0003732D"/>
    <w:rsid w:val="000403BE"/>
    <w:rsid w:val="00044391"/>
    <w:rsid w:val="000478C2"/>
    <w:rsid w:val="00047B70"/>
    <w:rsid w:val="000504BA"/>
    <w:rsid w:val="00052C70"/>
    <w:rsid w:val="00055229"/>
    <w:rsid w:val="00056424"/>
    <w:rsid w:val="00056D19"/>
    <w:rsid w:val="00056EB5"/>
    <w:rsid w:val="00060A34"/>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61A7"/>
    <w:rsid w:val="00126760"/>
    <w:rsid w:val="001279A1"/>
    <w:rsid w:val="00127DE9"/>
    <w:rsid w:val="001303D3"/>
    <w:rsid w:val="001305B3"/>
    <w:rsid w:val="00132071"/>
    <w:rsid w:val="001329AD"/>
    <w:rsid w:val="00132FFC"/>
    <w:rsid w:val="00133223"/>
    <w:rsid w:val="001335A5"/>
    <w:rsid w:val="001363CD"/>
    <w:rsid w:val="001408C9"/>
    <w:rsid w:val="0014174E"/>
    <w:rsid w:val="00141E6F"/>
    <w:rsid w:val="00143368"/>
    <w:rsid w:val="00143948"/>
    <w:rsid w:val="00145879"/>
    <w:rsid w:val="00147C6C"/>
    <w:rsid w:val="0015016F"/>
    <w:rsid w:val="00150359"/>
    <w:rsid w:val="00150B56"/>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0463"/>
    <w:rsid w:val="001823BB"/>
    <w:rsid w:val="00182C4F"/>
    <w:rsid w:val="00182DD7"/>
    <w:rsid w:val="00183555"/>
    <w:rsid w:val="001847E3"/>
    <w:rsid w:val="00184C78"/>
    <w:rsid w:val="001867B5"/>
    <w:rsid w:val="00186965"/>
    <w:rsid w:val="00186FB1"/>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9D"/>
    <w:rsid w:val="002454D0"/>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D14"/>
    <w:rsid w:val="00290E19"/>
    <w:rsid w:val="00293B18"/>
    <w:rsid w:val="00294E1E"/>
    <w:rsid w:val="002953F6"/>
    <w:rsid w:val="00295AE9"/>
    <w:rsid w:val="0029786B"/>
    <w:rsid w:val="002A00E6"/>
    <w:rsid w:val="002A1CBF"/>
    <w:rsid w:val="002A2763"/>
    <w:rsid w:val="002A37BB"/>
    <w:rsid w:val="002A3A41"/>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2154"/>
    <w:rsid w:val="00382677"/>
    <w:rsid w:val="00382752"/>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172B"/>
    <w:rsid w:val="003C5891"/>
    <w:rsid w:val="003C6993"/>
    <w:rsid w:val="003C6F00"/>
    <w:rsid w:val="003D092F"/>
    <w:rsid w:val="003D290A"/>
    <w:rsid w:val="003D2D12"/>
    <w:rsid w:val="003D4C66"/>
    <w:rsid w:val="003D4EFC"/>
    <w:rsid w:val="003D513E"/>
    <w:rsid w:val="003D5EE4"/>
    <w:rsid w:val="003E168E"/>
    <w:rsid w:val="003E19B5"/>
    <w:rsid w:val="003E2CF5"/>
    <w:rsid w:val="003E3B44"/>
    <w:rsid w:val="003E4D09"/>
    <w:rsid w:val="003E5DCC"/>
    <w:rsid w:val="003E7D75"/>
    <w:rsid w:val="003F18C8"/>
    <w:rsid w:val="003F2FAB"/>
    <w:rsid w:val="003F4E7F"/>
    <w:rsid w:val="003F5D49"/>
    <w:rsid w:val="003F79EC"/>
    <w:rsid w:val="003F7F46"/>
    <w:rsid w:val="003F7F48"/>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907"/>
    <w:rsid w:val="00420D2D"/>
    <w:rsid w:val="00420EBA"/>
    <w:rsid w:val="00423939"/>
    <w:rsid w:val="004239BB"/>
    <w:rsid w:val="00424BD0"/>
    <w:rsid w:val="00424E8B"/>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3131"/>
    <w:rsid w:val="004D31F0"/>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C31"/>
    <w:rsid w:val="004E5F12"/>
    <w:rsid w:val="004E6258"/>
    <w:rsid w:val="004F3AF2"/>
    <w:rsid w:val="004F6852"/>
    <w:rsid w:val="004F6A66"/>
    <w:rsid w:val="004F6D27"/>
    <w:rsid w:val="004F7D56"/>
    <w:rsid w:val="004F7FD4"/>
    <w:rsid w:val="0050006C"/>
    <w:rsid w:val="005018EF"/>
    <w:rsid w:val="00502378"/>
    <w:rsid w:val="00504D34"/>
    <w:rsid w:val="00510515"/>
    <w:rsid w:val="00510776"/>
    <w:rsid w:val="005113A3"/>
    <w:rsid w:val="00513AA3"/>
    <w:rsid w:val="00513BB3"/>
    <w:rsid w:val="00514A53"/>
    <w:rsid w:val="00514C05"/>
    <w:rsid w:val="00516683"/>
    <w:rsid w:val="005166C0"/>
    <w:rsid w:val="00517755"/>
    <w:rsid w:val="00517BC0"/>
    <w:rsid w:val="0052192E"/>
    <w:rsid w:val="00522079"/>
    <w:rsid w:val="005223FC"/>
    <w:rsid w:val="00522A49"/>
    <w:rsid w:val="0052565C"/>
    <w:rsid w:val="00526753"/>
    <w:rsid w:val="00526F7E"/>
    <w:rsid w:val="005301A4"/>
    <w:rsid w:val="005306BE"/>
    <w:rsid w:val="00531CA6"/>
    <w:rsid w:val="00531D9A"/>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42FD"/>
    <w:rsid w:val="00586964"/>
    <w:rsid w:val="0059058B"/>
    <w:rsid w:val="00591AC7"/>
    <w:rsid w:val="00593BA1"/>
    <w:rsid w:val="0059710B"/>
    <w:rsid w:val="005A1BBB"/>
    <w:rsid w:val="005A210E"/>
    <w:rsid w:val="005A3146"/>
    <w:rsid w:val="005A5581"/>
    <w:rsid w:val="005A7F0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577C"/>
    <w:rsid w:val="00615C42"/>
    <w:rsid w:val="006167CD"/>
    <w:rsid w:val="00617F1F"/>
    <w:rsid w:val="006206DD"/>
    <w:rsid w:val="006208DF"/>
    <w:rsid w:val="006228B0"/>
    <w:rsid w:val="0062317D"/>
    <w:rsid w:val="00623C0D"/>
    <w:rsid w:val="006243A4"/>
    <w:rsid w:val="006267BF"/>
    <w:rsid w:val="006311D8"/>
    <w:rsid w:val="006317FB"/>
    <w:rsid w:val="00631D3B"/>
    <w:rsid w:val="00635A4E"/>
    <w:rsid w:val="00636098"/>
    <w:rsid w:val="0063752D"/>
    <w:rsid w:val="00640949"/>
    <w:rsid w:val="00640A37"/>
    <w:rsid w:val="00641B2E"/>
    <w:rsid w:val="00642DD1"/>
    <w:rsid w:val="00643641"/>
    <w:rsid w:val="00644254"/>
    <w:rsid w:val="00645A14"/>
    <w:rsid w:val="00647CB5"/>
    <w:rsid w:val="006500D0"/>
    <w:rsid w:val="0065058D"/>
    <w:rsid w:val="00650E1C"/>
    <w:rsid w:val="006532D7"/>
    <w:rsid w:val="0066008C"/>
    <w:rsid w:val="00660D96"/>
    <w:rsid w:val="00661694"/>
    <w:rsid w:val="00662910"/>
    <w:rsid w:val="006644B1"/>
    <w:rsid w:val="0066524B"/>
    <w:rsid w:val="00666738"/>
    <w:rsid w:val="00666EF0"/>
    <w:rsid w:val="00667F47"/>
    <w:rsid w:val="00670A09"/>
    <w:rsid w:val="00674597"/>
    <w:rsid w:val="0067481B"/>
    <w:rsid w:val="00676E4E"/>
    <w:rsid w:val="00681211"/>
    <w:rsid w:val="006819EF"/>
    <w:rsid w:val="006821C4"/>
    <w:rsid w:val="00683109"/>
    <w:rsid w:val="00683607"/>
    <w:rsid w:val="0068774B"/>
    <w:rsid w:val="00690652"/>
    <w:rsid w:val="006928B8"/>
    <w:rsid w:val="00692FDA"/>
    <w:rsid w:val="006935A7"/>
    <w:rsid w:val="006946AE"/>
    <w:rsid w:val="00694AF3"/>
    <w:rsid w:val="00694FC1"/>
    <w:rsid w:val="00696693"/>
    <w:rsid w:val="006A0024"/>
    <w:rsid w:val="006A08D9"/>
    <w:rsid w:val="006A11E4"/>
    <w:rsid w:val="006A124D"/>
    <w:rsid w:val="006A2552"/>
    <w:rsid w:val="006A269F"/>
    <w:rsid w:val="006A4BF1"/>
    <w:rsid w:val="006A5652"/>
    <w:rsid w:val="006A5700"/>
    <w:rsid w:val="006A628A"/>
    <w:rsid w:val="006B0D11"/>
    <w:rsid w:val="006B2EC5"/>
    <w:rsid w:val="006B38F8"/>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601E"/>
    <w:rsid w:val="00706744"/>
    <w:rsid w:val="00706FB1"/>
    <w:rsid w:val="00707039"/>
    <w:rsid w:val="007078A2"/>
    <w:rsid w:val="00707EE0"/>
    <w:rsid w:val="0071029E"/>
    <w:rsid w:val="00711ECD"/>
    <w:rsid w:val="00714ECA"/>
    <w:rsid w:val="0071574C"/>
    <w:rsid w:val="00715BCE"/>
    <w:rsid w:val="00715D8D"/>
    <w:rsid w:val="00715F7C"/>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27D9"/>
    <w:rsid w:val="00754A10"/>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D0C5A"/>
    <w:rsid w:val="007D0F75"/>
    <w:rsid w:val="007D20D9"/>
    <w:rsid w:val="007D2BD0"/>
    <w:rsid w:val="007D39CC"/>
    <w:rsid w:val="007D4587"/>
    <w:rsid w:val="007D4A34"/>
    <w:rsid w:val="007D4D74"/>
    <w:rsid w:val="007D639C"/>
    <w:rsid w:val="007E196E"/>
    <w:rsid w:val="007E1A03"/>
    <w:rsid w:val="007E46EA"/>
    <w:rsid w:val="007E4721"/>
    <w:rsid w:val="007E5FFC"/>
    <w:rsid w:val="007E6683"/>
    <w:rsid w:val="007E67BF"/>
    <w:rsid w:val="007F03F8"/>
    <w:rsid w:val="007F064D"/>
    <w:rsid w:val="007F0C91"/>
    <w:rsid w:val="007F15B8"/>
    <w:rsid w:val="007F5360"/>
    <w:rsid w:val="007F618F"/>
    <w:rsid w:val="007F6D23"/>
    <w:rsid w:val="008005FF"/>
    <w:rsid w:val="0080072C"/>
    <w:rsid w:val="008008FB"/>
    <w:rsid w:val="008046C0"/>
    <w:rsid w:val="008068D5"/>
    <w:rsid w:val="00807059"/>
    <w:rsid w:val="00810007"/>
    <w:rsid w:val="00810F47"/>
    <w:rsid w:val="008143E3"/>
    <w:rsid w:val="008171AE"/>
    <w:rsid w:val="00820EBA"/>
    <w:rsid w:val="0082111B"/>
    <w:rsid w:val="008277AA"/>
    <w:rsid w:val="00827AA8"/>
    <w:rsid w:val="00831AF5"/>
    <w:rsid w:val="00834D86"/>
    <w:rsid w:val="0083502C"/>
    <w:rsid w:val="00836DF9"/>
    <w:rsid w:val="00841FDB"/>
    <w:rsid w:val="0084519A"/>
    <w:rsid w:val="00845750"/>
    <w:rsid w:val="008466CB"/>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3BB1"/>
    <w:rsid w:val="008A43BA"/>
    <w:rsid w:val="008A48ED"/>
    <w:rsid w:val="008A6D2E"/>
    <w:rsid w:val="008A7006"/>
    <w:rsid w:val="008B1F6C"/>
    <w:rsid w:val="008B3373"/>
    <w:rsid w:val="008B69E7"/>
    <w:rsid w:val="008B7B1F"/>
    <w:rsid w:val="008C2FC1"/>
    <w:rsid w:val="008C393D"/>
    <w:rsid w:val="008C4CFD"/>
    <w:rsid w:val="008D0179"/>
    <w:rsid w:val="008D184F"/>
    <w:rsid w:val="008D1AEA"/>
    <w:rsid w:val="008D2C0F"/>
    <w:rsid w:val="008D460F"/>
    <w:rsid w:val="008D4D0F"/>
    <w:rsid w:val="008D5959"/>
    <w:rsid w:val="008D5C18"/>
    <w:rsid w:val="008D64BA"/>
    <w:rsid w:val="008E0F0E"/>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DD5"/>
    <w:rsid w:val="00994E67"/>
    <w:rsid w:val="009951A5"/>
    <w:rsid w:val="0099554C"/>
    <w:rsid w:val="00996B08"/>
    <w:rsid w:val="00997234"/>
    <w:rsid w:val="00997D3F"/>
    <w:rsid w:val="009A0DF7"/>
    <w:rsid w:val="009A2F5B"/>
    <w:rsid w:val="009A41A3"/>
    <w:rsid w:val="009A4689"/>
    <w:rsid w:val="009A529F"/>
    <w:rsid w:val="009B0BA8"/>
    <w:rsid w:val="009B17E0"/>
    <w:rsid w:val="009B22E2"/>
    <w:rsid w:val="009B33E0"/>
    <w:rsid w:val="009B374A"/>
    <w:rsid w:val="009B3A5F"/>
    <w:rsid w:val="009B3C87"/>
    <w:rsid w:val="009B43E6"/>
    <w:rsid w:val="009B5FE5"/>
    <w:rsid w:val="009B6516"/>
    <w:rsid w:val="009C0DFF"/>
    <w:rsid w:val="009C6E3B"/>
    <w:rsid w:val="009C6EF7"/>
    <w:rsid w:val="009D0503"/>
    <w:rsid w:val="009D2636"/>
    <w:rsid w:val="009D2CEB"/>
    <w:rsid w:val="009D403A"/>
    <w:rsid w:val="009D546C"/>
    <w:rsid w:val="009D6666"/>
    <w:rsid w:val="009D66F9"/>
    <w:rsid w:val="009D787E"/>
    <w:rsid w:val="009D7D44"/>
    <w:rsid w:val="009E02F7"/>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729"/>
    <w:rsid w:val="00A30454"/>
    <w:rsid w:val="00A31145"/>
    <w:rsid w:val="00A33504"/>
    <w:rsid w:val="00A33F8C"/>
    <w:rsid w:val="00A34C54"/>
    <w:rsid w:val="00A35109"/>
    <w:rsid w:val="00A40EB4"/>
    <w:rsid w:val="00A418A9"/>
    <w:rsid w:val="00A4248B"/>
    <w:rsid w:val="00A42CCC"/>
    <w:rsid w:val="00A4322C"/>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32E"/>
    <w:rsid w:val="00A74A5A"/>
    <w:rsid w:val="00A80D37"/>
    <w:rsid w:val="00A82429"/>
    <w:rsid w:val="00A829A1"/>
    <w:rsid w:val="00A8313F"/>
    <w:rsid w:val="00A83728"/>
    <w:rsid w:val="00A843F8"/>
    <w:rsid w:val="00A85477"/>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793"/>
    <w:rsid w:val="00AC6A28"/>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377"/>
    <w:rsid w:val="00B24706"/>
    <w:rsid w:val="00B24DA0"/>
    <w:rsid w:val="00B2573D"/>
    <w:rsid w:val="00B25E8D"/>
    <w:rsid w:val="00B26272"/>
    <w:rsid w:val="00B270B8"/>
    <w:rsid w:val="00B30C89"/>
    <w:rsid w:val="00B30E82"/>
    <w:rsid w:val="00B3190F"/>
    <w:rsid w:val="00B31A3F"/>
    <w:rsid w:val="00B352C4"/>
    <w:rsid w:val="00B3651A"/>
    <w:rsid w:val="00B36B7C"/>
    <w:rsid w:val="00B36C55"/>
    <w:rsid w:val="00B373A8"/>
    <w:rsid w:val="00B40370"/>
    <w:rsid w:val="00B408ED"/>
    <w:rsid w:val="00B432A3"/>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71CA"/>
    <w:rsid w:val="00B7010D"/>
    <w:rsid w:val="00B7390E"/>
    <w:rsid w:val="00B73E9A"/>
    <w:rsid w:val="00B74B1E"/>
    <w:rsid w:val="00B74EF8"/>
    <w:rsid w:val="00B751DF"/>
    <w:rsid w:val="00B7682C"/>
    <w:rsid w:val="00B7689E"/>
    <w:rsid w:val="00B81B0B"/>
    <w:rsid w:val="00B828F1"/>
    <w:rsid w:val="00B8340E"/>
    <w:rsid w:val="00B83C31"/>
    <w:rsid w:val="00B8445C"/>
    <w:rsid w:val="00B85898"/>
    <w:rsid w:val="00B8751A"/>
    <w:rsid w:val="00B900F8"/>
    <w:rsid w:val="00B92D5C"/>
    <w:rsid w:val="00B94146"/>
    <w:rsid w:val="00B9638B"/>
    <w:rsid w:val="00B96411"/>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B91"/>
    <w:rsid w:val="00BB2BB5"/>
    <w:rsid w:val="00BB49FF"/>
    <w:rsid w:val="00BB4EA0"/>
    <w:rsid w:val="00BB58C9"/>
    <w:rsid w:val="00BB5D40"/>
    <w:rsid w:val="00BB5ED4"/>
    <w:rsid w:val="00BB66B8"/>
    <w:rsid w:val="00BB7CA4"/>
    <w:rsid w:val="00BC0C64"/>
    <w:rsid w:val="00BC20D7"/>
    <w:rsid w:val="00BC3C2A"/>
    <w:rsid w:val="00BC4898"/>
    <w:rsid w:val="00BC5365"/>
    <w:rsid w:val="00BC56EF"/>
    <w:rsid w:val="00BC63FF"/>
    <w:rsid w:val="00BC79A3"/>
    <w:rsid w:val="00BC7B5E"/>
    <w:rsid w:val="00BD1A5C"/>
    <w:rsid w:val="00BD2561"/>
    <w:rsid w:val="00BD359C"/>
    <w:rsid w:val="00BD3A2A"/>
    <w:rsid w:val="00BD4A38"/>
    <w:rsid w:val="00BD4D37"/>
    <w:rsid w:val="00BD5F5C"/>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70FF"/>
    <w:rsid w:val="00C57E5A"/>
    <w:rsid w:val="00C610AC"/>
    <w:rsid w:val="00C61CC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742"/>
    <w:rsid w:val="00C92BDE"/>
    <w:rsid w:val="00C92C7B"/>
    <w:rsid w:val="00C94074"/>
    <w:rsid w:val="00C94D5C"/>
    <w:rsid w:val="00C9745D"/>
    <w:rsid w:val="00CA0B44"/>
    <w:rsid w:val="00CA1386"/>
    <w:rsid w:val="00CA19F0"/>
    <w:rsid w:val="00CA23C0"/>
    <w:rsid w:val="00CA429D"/>
    <w:rsid w:val="00CA5021"/>
    <w:rsid w:val="00CA51AD"/>
    <w:rsid w:val="00CB1739"/>
    <w:rsid w:val="00CB2F15"/>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7D6D"/>
    <w:rsid w:val="00D0236F"/>
    <w:rsid w:val="00D03D9C"/>
    <w:rsid w:val="00D042B0"/>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FEE"/>
    <w:rsid w:val="00D54634"/>
    <w:rsid w:val="00D563AC"/>
    <w:rsid w:val="00D5658E"/>
    <w:rsid w:val="00D568A2"/>
    <w:rsid w:val="00D57254"/>
    <w:rsid w:val="00D5728E"/>
    <w:rsid w:val="00D600BF"/>
    <w:rsid w:val="00D62FEB"/>
    <w:rsid w:val="00D631BA"/>
    <w:rsid w:val="00D64D42"/>
    <w:rsid w:val="00D6547A"/>
    <w:rsid w:val="00D662CD"/>
    <w:rsid w:val="00D665FA"/>
    <w:rsid w:val="00D67BFA"/>
    <w:rsid w:val="00D67DAE"/>
    <w:rsid w:val="00D67E58"/>
    <w:rsid w:val="00D724A5"/>
    <w:rsid w:val="00D7274A"/>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1D5D"/>
    <w:rsid w:val="00DC1EF2"/>
    <w:rsid w:val="00DC2AA8"/>
    <w:rsid w:val="00DC3D9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96F"/>
    <w:rsid w:val="00E2284B"/>
    <w:rsid w:val="00E23253"/>
    <w:rsid w:val="00E24EA8"/>
    <w:rsid w:val="00E25160"/>
    <w:rsid w:val="00E255D2"/>
    <w:rsid w:val="00E2625C"/>
    <w:rsid w:val="00E26B14"/>
    <w:rsid w:val="00E278D8"/>
    <w:rsid w:val="00E27E12"/>
    <w:rsid w:val="00E30DDD"/>
    <w:rsid w:val="00E30E33"/>
    <w:rsid w:val="00E32CBF"/>
    <w:rsid w:val="00E3374B"/>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FB8"/>
    <w:rsid w:val="00E51261"/>
    <w:rsid w:val="00E51A63"/>
    <w:rsid w:val="00E51D35"/>
    <w:rsid w:val="00E527E5"/>
    <w:rsid w:val="00E52DE2"/>
    <w:rsid w:val="00E552D0"/>
    <w:rsid w:val="00E5589F"/>
    <w:rsid w:val="00E55AA3"/>
    <w:rsid w:val="00E55E85"/>
    <w:rsid w:val="00E567CC"/>
    <w:rsid w:val="00E6010B"/>
    <w:rsid w:val="00E60E5D"/>
    <w:rsid w:val="00E61467"/>
    <w:rsid w:val="00E627F9"/>
    <w:rsid w:val="00E630E7"/>
    <w:rsid w:val="00E63F5E"/>
    <w:rsid w:val="00E66D42"/>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7465"/>
    <w:rsid w:val="00EB00C2"/>
    <w:rsid w:val="00EB06DF"/>
    <w:rsid w:val="00EB1092"/>
    <w:rsid w:val="00EB19A6"/>
    <w:rsid w:val="00EB20DA"/>
    <w:rsid w:val="00EB68C2"/>
    <w:rsid w:val="00EB7371"/>
    <w:rsid w:val="00EC001C"/>
    <w:rsid w:val="00EC0944"/>
    <w:rsid w:val="00EC1596"/>
    <w:rsid w:val="00EC226C"/>
    <w:rsid w:val="00EC3827"/>
    <w:rsid w:val="00EC79CC"/>
    <w:rsid w:val="00ED1E37"/>
    <w:rsid w:val="00ED4E00"/>
    <w:rsid w:val="00ED7B47"/>
    <w:rsid w:val="00EE0346"/>
    <w:rsid w:val="00EE131C"/>
    <w:rsid w:val="00EE1D5E"/>
    <w:rsid w:val="00EE2185"/>
    <w:rsid w:val="00EE37BB"/>
    <w:rsid w:val="00EE4A11"/>
    <w:rsid w:val="00EE6699"/>
    <w:rsid w:val="00EF14D3"/>
    <w:rsid w:val="00EF1DAE"/>
    <w:rsid w:val="00EF42C8"/>
    <w:rsid w:val="00EF4464"/>
    <w:rsid w:val="00EF4B5B"/>
    <w:rsid w:val="00EF5112"/>
    <w:rsid w:val="00F009B6"/>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AD0"/>
    <w:rsid w:val="00F90EDF"/>
    <w:rsid w:val="00F910E3"/>
    <w:rsid w:val="00F91499"/>
    <w:rsid w:val="00F9283C"/>
    <w:rsid w:val="00F935B7"/>
    <w:rsid w:val="00F96E2A"/>
    <w:rsid w:val="00FA06FD"/>
    <w:rsid w:val="00FA081B"/>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3B5"/>
    <w:rsid w:val="00FD1E07"/>
    <w:rsid w:val="00FD24D9"/>
    <w:rsid w:val="00FD26AB"/>
    <w:rsid w:val="00FD28EA"/>
    <w:rsid w:val="00FD36F5"/>
    <w:rsid w:val="00FD4CF0"/>
    <w:rsid w:val="00FD6096"/>
    <w:rsid w:val="00FD745F"/>
    <w:rsid w:val="00FE04BA"/>
    <w:rsid w:val="00FE0BEB"/>
    <w:rsid w:val="00FE461B"/>
    <w:rsid w:val="00FE6BA9"/>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9</Pages>
  <Words>3163</Words>
  <Characters>18579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110</cp:revision>
  <dcterms:created xsi:type="dcterms:W3CDTF">2025-07-04T12:59:00Z</dcterms:created>
  <dcterms:modified xsi:type="dcterms:W3CDTF">2025-07-15T08:52:00Z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