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B317FB" w14:textId="77777777" w:rsidR="0084125A" w:rsidRPr="00327F3B" w:rsidRDefault="0084125A" w:rsidP="0084125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27F3B">
        <w:rPr>
          <w:rFonts w:ascii="Times New Roman" w:eastAsia="Times New Roman" w:hAnsi="Times New Roman" w:cs="Times New Roman"/>
          <w:b/>
          <w:bCs/>
          <w:kern w:val="0"/>
          <w14:ligatures w14:val="none"/>
        </w:rPr>
        <w:t>Dominant Variant Replacement and Genetic Distance</w:t>
      </w:r>
      <w:r w:rsidRPr="00327F3B">
        <w:rPr>
          <w:rFonts w:ascii="Times New Roman" w:eastAsia="Times New Roman" w:hAnsi="Times New Roman" w:cs="Times New Roman"/>
          <w:kern w:val="0"/>
          <w14:ligatures w14:val="none"/>
        </w:rPr>
        <w:t xml:space="preserve">: </w:t>
      </w:r>
    </w:p>
    <w:p w14:paraId="32ABCBE1" w14:textId="77777777" w:rsidR="0084125A" w:rsidRPr="00327F3B" w:rsidRDefault="0084125A" w:rsidP="0084125A">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327F3B">
        <w:rPr>
          <w:rFonts w:ascii="Times New Roman" w:eastAsia="Times New Roman" w:hAnsi="Times New Roman" w:cs="Times New Roman"/>
          <w:kern w:val="0"/>
          <w14:ligatures w14:val="none"/>
        </w:rPr>
        <w:t xml:space="preserve">Studies consistently show that SARS-CoV-2 epidemic waves are driven by the replacement of one dominant variant with another, characterized by significant genetic distances (e.g., Jaccard or </w:t>
      </w:r>
      <w:proofErr w:type="spellStart"/>
      <w:r w:rsidRPr="00327F3B">
        <w:rPr>
          <w:rFonts w:ascii="Times New Roman" w:eastAsia="Times New Roman" w:hAnsi="Times New Roman" w:cs="Times New Roman"/>
          <w:kern w:val="0"/>
          <w14:ligatures w14:val="none"/>
        </w:rPr>
        <w:t>Levenshtein</w:t>
      </w:r>
      <w:proofErr w:type="spellEnd"/>
      <w:r w:rsidRPr="00327F3B">
        <w:rPr>
          <w:rFonts w:ascii="Times New Roman" w:eastAsia="Times New Roman" w:hAnsi="Times New Roman" w:cs="Times New Roman"/>
          <w:kern w:val="0"/>
          <w14:ligatures w14:val="none"/>
        </w:rPr>
        <w:t xml:space="preserve"> metrics) between incoming and outgoing lineages (Levi et al.; De Hofer et al.). For example, Alpha and Delta were identified as emerging variants with distinct spike protein mutations, leading to new waves in countries like the UK, South Africa, India, and the US.</w:t>
      </w:r>
    </w:p>
    <w:p w14:paraId="03B94C76" w14:textId="77777777" w:rsidR="0084125A" w:rsidRPr="00327F3B" w:rsidRDefault="0084125A" w:rsidP="0084125A">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327F3B">
        <w:rPr>
          <w:rFonts w:ascii="Times New Roman" w:eastAsia="Times New Roman" w:hAnsi="Times New Roman" w:cs="Times New Roman"/>
          <w:kern w:val="0"/>
          <w14:ligatures w14:val="none"/>
        </w:rPr>
        <w:t>Variants with higher transmissibility (e.g., Alpha: 49% faster, Delta: 73% faster than prior strains) or immune evasion (e.g., Delta, Omicron) tend to dominate, often within weeks of reaching low prevalence thresholds (1–3%) (Levi et al.; De Hofer et al.; Sah et al.).</w:t>
      </w:r>
    </w:p>
    <w:p w14:paraId="76B6F68C" w14:textId="77777777" w:rsidR="0084125A" w:rsidRPr="00327F3B" w:rsidRDefault="0084125A" w:rsidP="0084125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27F3B">
        <w:rPr>
          <w:rFonts w:ascii="Times New Roman" w:eastAsia="Times New Roman" w:hAnsi="Times New Roman" w:cs="Times New Roman"/>
          <w:b/>
          <w:bCs/>
          <w:kern w:val="0"/>
          <w14:ligatures w14:val="none"/>
        </w:rPr>
        <w:t>Early Detection and Lead Time</w:t>
      </w:r>
      <w:r w:rsidRPr="00327F3B">
        <w:rPr>
          <w:rFonts w:ascii="Times New Roman" w:eastAsia="Times New Roman" w:hAnsi="Times New Roman" w:cs="Times New Roman"/>
          <w:kern w:val="0"/>
          <w14:ligatures w14:val="none"/>
        </w:rPr>
        <w:t xml:space="preserve">: </w:t>
      </w:r>
    </w:p>
    <w:p w14:paraId="641D5517" w14:textId="77777777" w:rsidR="0084125A" w:rsidRPr="00327F3B" w:rsidRDefault="0084125A" w:rsidP="0084125A">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327F3B">
        <w:rPr>
          <w:rFonts w:ascii="Times New Roman" w:eastAsia="Times New Roman" w:hAnsi="Times New Roman" w:cs="Times New Roman"/>
          <w:kern w:val="0"/>
          <w14:ligatures w14:val="none"/>
        </w:rPr>
        <w:t xml:space="preserve">Early warning systems can detect potentially dominant variants when they reach ~1% of weekly sequences, providing lead times of 4–17 weeks before dominance (≥10% prevalence) (De Hofer et al.; </w:t>
      </w:r>
      <w:proofErr w:type="spellStart"/>
      <w:r w:rsidRPr="00327F3B">
        <w:rPr>
          <w:rFonts w:ascii="Times New Roman" w:eastAsia="Times New Roman" w:hAnsi="Times New Roman" w:cs="Times New Roman"/>
          <w:kern w:val="0"/>
          <w14:ligatures w14:val="none"/>
        </w:rPr>
        <w:t>DeepAutoCoV</w:t>
      </w:r>
      <w:proofErr w:type="spellEnd"/>
      <w:r w:rsidRPr="00327F3B">
        <w:rPr>
          <w:rFonts w:ascii="Times New Roman" w:eastAsia="Times New Roman" w:hAnsi="Times New Roman" w:cs="Times New Roman"/>
          <w:kern w:val="0"/>
          <w14:ligatures w14:val="none"/>
        </w:rPr>
        <w:t>). For instance, Alpha was flagged 6 weeks before its WHO Variant of Concern designation, and AY.4.2 (Delta Plus) was identified weeks before media coverage.</w:t>
      </w:r>
    </w:p>
    <w:p w14:paraId="5456337D" w14:textId="77777777" w:rsidR="0084125A" w:rsidRPr="00327F3B" w:rsidRDefault="0084125A" w:rsidP="0084125A">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327F3B">
        <w:rPr>
          <w:rFonts w:ascii="Times New Roman" w:eastAsia="Times New Roman" w:hAnsi="Times New Roman" w:cs="Times New Roman"/>
          <w:kern w:val="0"/>
          <w14:ligatures w14:val="none"/>
        </w:rPr>
        <w:t>DeepAutoCoV’s</w:t>
      </w:r>
      <w:proofErr w:type="spellEnd"/>
      <w:r w:rsidRPr="00327F3B">
        <w:rPr>
          <w:rFonts w:ascii="Times New Roman" w:eastAsia="Times New Roman" w:hAnsi="Times New Roman" w:cs="Times New Roman"/>
          <w:kern w:val="0"/>
          <w14:ligatures w14:val="none"/>
        </w:rPr>
        <w:t xml:space="preserve"> unsupervised approach achieved a median lead time of 4–17 weeks across global and national datasets, with positive predictive values of 0.30–0.57, highlighting the feasibility of detecting future dominant lineages (FDLs) while they are rare (0.01–3%).</w:t>
      </w:r>
    </w:p>
    <w:p w14:paraId="0A021DFA" w14:textId="77777777" w:rsidR="0084125A" w:rsidRPr="00327F3B" w:rsidRDefault="0084125A" w:rsidP="0084125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27F3B">
        <w:rPr>
          <w:rFonts w:ascii="Times New Roman" w:eastAsia="Times New Roman" w:hAnsi="Times New Roman" w:cs="Times New Roman"/>
          <w:b/>
          <w:bCs/>
          <w:kern w:val="0"/>
          <w14:ligatures w14:val="none"/>
        </w:rPr>
        <w:t>Impact of Sequencing Intensity</w:t>
      </w:r>
      <w:r w:rsidRPr="00327F3B">
        <w:rPr>
          <w:rFonts w:ascii="Times New Roman" w:eastAsia="Times New Roman" w:hAnsi="Times New Roman" w:cs="Times New Roman"/>
          <w:kern w:val="0"/>
          <w14:ligatures w14:val="none"/>
        </w:rPr>
        <w:t xml:space="preserve">: </w:t>
      </w:r>
    </w:p>
    <w:p w14:paraId="0E44B1F3" w14:textId="77777777" w:rsidR="0084125A" w:rsidRPr="00327F3B" w:rsidRDefault="0084125A" w:rsidP="0084125A">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327F3B">
        <w:rPr>
          <w:rFonts w:ascii="Times New Roman" w:eastAsia="Times New Roman" w:hAnsi="Times New Roman" w:cs="Times New Roman"/>
          <w:kern w:val="0"/>
          <w14:ligatures w14:val="none"/>
        </w:rPr>
        <w:t xml:space="preserve">Sequencing depth significantly correlates with forecasting accuracy. </w:t>
      </w:r>
      <w:proofErr w:type="spellStart"/>
      <w:r w:rsidRPr="00327F3B">
        <w:rPr>
          <w:rFonts w:ascii="Times New Roman" w:eastAsia="Times New Roman" w:hAnsi="Times New Roman" w:cs="Times New Roman"/>
          <w:kern w:val="0"/>
          <w14:ligatures w14:val="none"/>
        </w:rPr>
        <w:t>Abousamra</w:t>
      </w:r>
      <w:proofErr w:type="spellEnd"/>
      <w:r w:rsidRPr="00327F3B">
        <w:rPr>
          <w:rFonts w:ascii="Times New Roman" w:eastAsia="Times New Roman" w:hAnsi="Times New Roman" w:cs="Times New Roman"/>
          <w:kern w:val="0"/>
          <w14:ligatures w14:val="none"/>
        </w:rPr>
        <w:t xml:space="preserve"> et al. found that ~1,000 sequences per week are sufficient for robust short-term forecasts, with diminishing returns beyond this threshold. Raharinirina et al. noted that even ~100 sequences per week can suffice for immune-landscape models, making some approaches feasible in lower-resource settings.</w:t>
      </w:r>
    </w:p>
    <w:p w14:paraId="7C6B7E9B" w14:textId="77777777" w:rsidR="0084125A" w:rsidRPr="00327F3B" w:rsidRDefault="0084125A" w:rsidP="0084125A">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327F3B">
        <w:rPr>
          <w:rFonts w:ascii="Times New Roman" w:eastAsia="Times New Roman" w:hAnsi="Times New Roman" w:cs="Times New Roman"/>
          <w:kern w:val="0"/>
          <w14:ligatures w14:val="none"/>
        </w:rPr>
        <w:t>Countries with high sequencing coverage (e.g., UK, Denmark) exhibit lower forecast errors, while those with sparse data (e.g., Brazil, South Africa) show higher errors (</w:t>
      </w:r>
      <w:proofErr w:type="spellStart"/>
      <w:r w:rsidRPr="00327F3B">
        <w:rPr>
          <w:rFonts w:ascii="Times New Roman" w:eastAsia="Times New Roman" w:hAnsi="Times New Roman" w:cs="Times New Roman"/>
          <w:kern w:val="0"/>
          <w14:ligatures w14:val="none"/>
        </w:rPr>
        <w:t>Abousamra</w:t>
      </w:r>
      <w:proofErr w:type="spellEnd"/>
      <w:r w:rsidRPr="00327F3B">
        <w:rPr>
          <w:rFonts w:ascii="Times New Roman" w:eastAsia="Times New Roman" w:hAnsi="Times New Roman" w:cs="Times New Roman"/>
          <w:kern w:val="0"/>
          <w14:ligatures w14:val="none"/>
        </w:rPr>
        <w:t xml:space="preserve"> et al.).</w:t>
      </w:r>
    </w:p>
    <w:p w14:paraId="42E4FD84" w14:textId="77777777" w:rsidR="0084125A" w:rsidRPr="00327F3B" w:rsidRDefault="0084125A" w:rsidP="0084125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27F3B">
        <w:rPr>
          <w:rFonts w:ascii="Times New Roman" w:eastAsia="Times New Roman" w:hAnsi="Times New Roman" w:cs="Times New Roman"/>
          <w:b/>
          <w:bCs/>
          <w:kern w:val="0"/>
          <w14:ligatures w14:val="none"/>
        </w:rPr>
        <w:t>Role of Spike Mutations and Epidemiological Signals</w:t>
      </w:r>
      <w:r w:rsidRPr="00327F3B">
        <w:rPr>
          <w:rFonts w:ascii="Times New Roman" w:eastAsia="Times New Roman" w:hAnsi="Times New Roman" w:cs="Times New Roman"/>
          <w:kern w:val="0"/>
          <w14:ligatures w14:val="none"/>
        </w:rPr>
        <w:t xml:space="preserve">: </w:t>
      </w:r>
    </w:p>
    <w:p w14:paraId="65DE7882" w14:textId="77777777" w:rsidR="0084125A" w:rsidRPr="00327F3B" w:rsidRDefault="0084125A" w:rsidP="0084125A">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327F3B">
        <w:rPr>
          <w:rFonts w:ascii="Times New Roman" w:eastAsia="Times New Roman" w:hAnsi="Times New Roman" w:cs="Times New Roman"/>
          <w:kern w:val="0"/>
          <w14:ligatures w14:val="none"/>
        </w:rPr>
        <w:t xml:space="preserve">Spike protein mutations are key predictors of variant fitness. Models like </w:t>
      </w:r>
      <w:proofErr w:type="spellStart"/>
      <w:r w:rsidRPr="00327F3B">
        <w:rPr>
          <w:rFonts w:ascii="Times New Roman" w:eastAsia="Times New Roman" w:hAnsi="Times New Roman" w:cs="Times New Roman"/>
          <w:kern w:val="0"/>
          <w14:ligatures w14:val="none"/>
        </w:rPr>
        <w:t>DeepAutoCoV</w:t>
      </w:r>
      <w:proofErr w:type="spellEnd"/>
      <w:r w:rsidRPr="00327F3B">
        <w:rPr>
          <w:rFonts w:ascii="Times New Roman" w:eastAsia="Times New Roman" w:hAnsi="Times New Roman" w:cs="Times New Roman"/>
          <w:kern w:val="0"/>
          <w14:ligatures w14:val="none"/>
        </w:rPr>
        <w:t xml:space="preserve"> pinpoint specific mutations (e.g., P681R in Delta, Y505H in Omicron BA.2) driving dominance, while Levi et al. emphasize spike mutation counts and genetic distance from prior variants as top features.</w:t>
      </w:r>
    </w:p>
    <w:p w14:paraId="22C1FEFA" w14:textId="77777777" w:rsidR="0084125A" w:rsidRPr="00327F3B" w:rsidRDefault="0084125A" w:rsidP="0084125A">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327F3B">
        <w:rPr>
          <w:rFonts w:ascii="Times New Roman" w:eastAsia="Times New Roman" w:hAnsi="Times New Roman" w:cs="Times New Roman"/>
          <w:kern w:val="0"/>
          <w14:ligatures w14:val="none"/>
        </w:rPr>
        <w:t>Early epidemiological signals, such as case counts and lineage share within 1–2 weeks, are critical for predicting dominance, with Levi et al.’s model achieving AUCs of 86% (1 week) and 91% (2 weeks).</w:t>
      </w:r>
    </w:p>
    <w:p w14:paraId="075F77F1" w14:textId="77777777" w:rsidR="0084125A" w:rsidRPr="00327F3B" w:rsidRDefault="0084125A" w:rsidP="0084125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27F3B">
        <w:rPr>
          <w:rFonts w:ascii="Times New Roman" w:eastAsia="Times New Roman" w:hAnsi="Times New Roman" w:cs="Times New Roman"/>
          <w:b/>
          <w:bCs/>
          <w:kern w:val="0"/>
          <w14:ligatures w14:val="none"/>
        </w:rPr>
        <w:t>Country-Specific Dynamics</w:t>
      </w:r>
      <w:r w:rsidRPr="00327F3B">
        <w:rPr>
          <w:rFonts w:ascii="Times New Roman" w:eastAsia="Times New Roman" w:hAnsi="Times New Roman" w:cs="Times New Roman"/>
          <w:kern w:val="0"/>
          <w14:ligatures w14:val="none"/>
        </w:rPr>
        <w:t xml:space="preserve">: </w:t>
      </w:r>
    </w:p>
    <w:p w14:paraId="74891816" w14:textId="77777777" w:rsidR="0084125A" w:rsidRPr="00327F3B" w:rsidRDefault="0084125A" w:rsidP="0084125A">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327F3B">
        <w:rPr>
          <w:rFonts w:ascii="Times New Roman" w:eastAsia="Times New Roman" w:hAnsi="Times New Roman" w:cs="Times New Roman"/>
          <w:kern w:val="0"/>
          <w14:ligatures w14:val="none"/>
        </w:rPr>
        <w:t xml:space="preserve">Variant dominance varies by country due to differences in immunity profiles, mitigation measures, and travel patterns. Raharinirina et al.’s immune-landscape model accurately predicted BA.2.86/JN.1’s rise in the US by accounting for population susceptibility, while Al </w:t>
      </w:r>
      <w:proofErr w:type="spellStart"/>
      <w:r w:rsidRPr="00327F3B">
        <w:rPr>
          <w:rFonts w:ascii="Times New Roman" w:eastAsia="Times New Roman" w:hAnsi="Times New Roman" w:cs="Times New Roman"/>
          <w:kern w:val="0"/>
          <w14:ligatures w14:val="none"/>
        </w:rPr>
        <w:t>Aawar</w:t>
      </w:r>
      <w:proofErr w:type="spellEnd"/>
      <w:r w:rsidRPr="00327F3B">
        <w:rPr>
          <w:rFonts w:ascii="Times New Roman" w:eastAsia="Times New Roman" w:hAnsi="Times New Roman" w:cs="Times New Roman"/>
          <w:kern w:val="0"/>
          <w14:ligatures w14:val="none"/>
        </w:rPr>
        <w:t xml:space="preserve"> et al.’s graph neural network (GNN) predicted variant arrival times with a median error of 1.29 weeks across 87 countries.</w:t>
      </w:r>
    </w:p>
    <w:p w14:paraId="4A6E0565" w14:textId="77777777" w:rsidR="0084125A" w:rsidRPr="00327F3B" w:rsidRDefault="0084125A" w:rsidP="0084125A">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327F3B">
        <w:rPr>
          <w:rFonts w:ascii="Times New Roman" w:eastAsia="Times New Roman" w:hAnsi="Times New Roman" w:cs="Times New Roman"/>
          <w:b/>
          <w:bCs/>
          <w:kern w:val="0"/>
          <w14:ligatures w14:val="none"/>
        </w:rPr>
        <w:t>Impact of Vaccination and Mitigation</w:t>
      </w:r>
      <w:r w:rsidRPr="00327F3B">
        <w:rPr>
          <w:rFonts w:ascii="Times New Roman" w:eastAsia="Times New Roman" w:hAnsi="Times New Roman" w:cs="Times New Roman"/>
          <w:kern w:val="0"/>
          <w14:ligatures w14:val="none"/>
        </w:rPr>
        <w:t xml:space="preserve">: </w:t>
      </w:r>
    </w:p>
    <w:p w14:paraId="79D1C1D7" w14:textId="77777777" w:rsidR="0084125A" w:rsidRPr="00327F3B" w:rsidRDefault="0084125A" w:rsidP="0084125A">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327F3B">
        <w:rPr>
          <w:rFonts w:ascii="Times New Roman" w:eastAsia="Times New Roman" w:hAnsi="Times New Roman" w:cs="Times New Roman"/>
          <w:kern w:val="0"/>
          <w14:ligatures w14:val="none"/>
        </w:rPr>
        <w:lastRenderedPageBreak/>
        <w:t>Vaccination rollouts and non-pharmaceutical interventions (NPIs) influence variant dynamics. Sah et al. showed that Delta’s dominance in the US was exacerbated by a ≥20% drop in vaccine efficacy or a ~10% transmission advantage. Levi et al. incorporated country-level mitigation measures into their model, improving predictive accuracy.</w:t>
      </w:r>
    </w:p>
    <w:p w14:paraId="7F064040" w14:textId="77777777" w:rsidR="0084125A" w:rsidRDefault="0084125A" w:rsidP="0084125A"/>
    <w:p w14:paraId="3AD22F60" w14:textId="77777777" w:rsidR="00BC6478" w:rsidRDefault="00BC6478" w:rsidP="00BC6478">
      <w:pPr>
        <w:pStyle w:val="Default"/>
      </w:pPr>
    </w:p>
    <w:p w14:paraId="40B9CB10" w14:textId="2C703EB5" w:rsidR="00BC6478" w:rsidRDefault="00BC6478" w:rsidP="00BC6478">
      <w:r>
        <w:t xml:space="preserve"> </w:t>
      </w:r>
      <w:r>
        <w:rPr>
          <w:b/>
          <w:bCs/>
          <w:sz w:val="36"/>
          <w:szCs w:val="36"/>
        </w:rPr>
        <w:t xml:space="preserve">Predicting the spread of SARS-CoV-2 variants: An artificial intelligence enabled early detection </w:t>
      </w:r>
    </w:p>
    <w:p w14:paraId="5126E4FF" w14:textId="68207873" w:rsidR="0073762E" w:rsidRDefault="00C54255">
      <w:r>
        <w:t>Levi</w:t>
      </w:r>
      <w:r>
        <w:rPr>
          <w:rFonts w:ascii="Arial" w:hAnsi="Arial" w:cs="Arial"/>
        </w:rPr>
        <w:t> </w:t>
      </w:r>
      <w:r>
        <w:t>et</w:t>
      </w:r>
      <w:r>
        <w:rPr>
          <w:rFonts w:ascii="Arial" w:hAnsi="Arial" w:cs="Arial"/>
        </w:rPr>
        <w:t> </w:t>
      </w:r>
      <w:r>
        <w:t>al. develop an AI</w:t>
      </w:r>
      <w:r>
        <w:noBreakHyphen/>
        <w:t>enabled early</w:t>
      </w:r>
      <w:r>
        <w:noBreakHyphen/>
        <w:t>warning framework that predicts, within one</w:t>
      </w:r>
      <w:r>
        <w:rPr>
          <w:rFonts w:ascii="Arial" w:hAnsi="Arial" w:cs="Arial"/>
        </w:rPr>
        <w:t> </w:t>
      </w:r>
      <w:r>
        <w:t>week of first detection, which newly observed SARS</w:t>
      </w:r>
      <w:r>
        <w:noBreakHyphen/>
        <w:t>CoV</w:t>
      </w:r>
      <w:r>
        <w:noBreakHyphen/>
        <w:t xml:space="preserve">2 variants are likely to drive large infection waves </w:t>
      </w:r>
      <w:proofErr w:type="gramStart"/>
      <w:r>
        <w:t>in a given</w:t>
      </w:r>
      <w:proofErr w:type="gramEnd"/>
      <w:r>
        <w:t xml:space="preserve"> country. Using </w:t>
      </w:r>
      <w:r>
        <w:rPr>
          <w:rStyle w:val="Strong"/>
        </w:rPr>
        <w:t>9</w:t>
      </w:r>
      <w:r>
        <w:rPr>
          <w:rStyle w:val="Strong"/>
          <w:rFonts w:ascii="Arial" w:hAnsi="Arial" w:cs="Arial"/>
        </w:rPr>
        <w:t> </w:t>
      </w:r>
      <w:r>
        <w:rPr>
          <w:rStyle w:val="Strong"/>
        </w:rPr>
        <w:t>million viral genomes from 30 highly sequenced countries (2020</w:t>
      </w:r>
      <w:r>
        <w:rPr>
          <w:rStyle w:val="Strong"/>
        </w:rPr>
        <w:noBreakHyphen/>
        <w:t>2024)</w:t>
      </w:r>
      <w:r>
        <w:t>, the authors first quantify “infection</w:t>
      </w:r>
      <w:r>
        <w:noBreakHyphen/>
        <w:t>wave signatures”: (</w:t>
      </w:r>
      <w:proofErr w:type="spellStart"/>
      <w:r>
        <w:t>i</w:t>
      </w:r>
      <w:proofErr w:type="spellEnd"/>
      <w:r>
        <w:t>) dominant</w:t>
      </w:r>
      <w:r>
        <w:noBreakHyphen/>
        <w:t>variant replacement between successive waves, (ii) large genetic distances (Jaccard metric) between incoming and outgoing dominant lineages, and (iii) shifting within</w:t>
      </w:r>
      <w:r>
        <w:noBreakHyphen/>
        <w:t>wave diversity patterns linked to vaccination roll</w:t>
      </w:r>
      <w:r>
        <w:noBreakHyphen/>
        <w:t xml:space="preserve">outs. These descriptive insights inform a </w:t>
      </w:r>
      <w:r>
        <w:rPr>
          <w:rStyle w:val="Strong"/>
        </w:rPr>
        <w:t>gradient</w:t>
      </w:r>
      <w:r>
        <w:rPr>
          <w:rStyle w:val="Strong"/>
        </w:rPr>
        <w:noBreakHyphen/>
        <w:t>boosted tree model</w:t>
      </w:r>
      <w:r>
        <w:t xml:space="preserve"> that combines early epidemiological signals (case counts and lineage share during the first 1–2</w:t>
      </w:r>
      <w:r>
        <w:rPr>
          <w:rFonts w:ascii="Arial" w:hAnsi="Arial" w:cs="Arial"/>
        </w:rPr>
        <w:t> </w:t>
      </w:r>
      <w:r>
        <w:t>weeks) with genetic features (spike</w:t>
      </w:r>
      <w:r>
        <w:noBreakHyphen/>
        <w:t>mutation counts, distance from prior dominant variant) and country</w:t>
      </w:r>
      <w:r>
        <w:noBreakHyphen/>
        <w:t xml:space="preserve">level mitigation measures. </w:t>
      </w:r>
      <w:r w:rsidRPr="004B7646">
        <w:rPr>
          <w:highlight w:val="yellow"/>
        </w:rPr>
        <w:t>Out</w:t>
      </w:r>
      <w:r w:rsidRPr="004B7646">
        <w:rPr>
          <w:highlight w:val="yellow"/>
        </w:rPr>
        <w:noBreakHyphen/>
        <w:t>of</w:t>
      </w:r>
      <w:r w:rsidRPr="004B7646">
        <w:rPr>
          <w:highlight w:val="yellow"/>
        </w:rPr>
        <w:noBreakHyphen/>
        <w:t xml:space="preserve">sample performance is strong: </w:t>
      </w:r>
      <w:r w:rsidRPr="004B7646">
        <w:rPr>
          <w:rStyle w:val="Strong"/>
          <w:highlight w:val="yellow"/>
        </w:rPr>
        <w:t>AUC</w:t>
      </w:r>
      <w:r w:rsidRPr="004B7646">
        <w:rPr>
          <w:rStyle w:val="Strong"/>
          <w:rFonts w:ascii="Arial" w:hAnsi="Arial" w:cs="Arial"/>
          <w:highlight w:val="yellow"/>
        </w:rPr>
        <w:t> </w:t>
      </w:r>
      <w:r w:rsidRPr="004B7646">
        <w:rPr>
          <w:rStyle w:val="Strong"/>
          <w:highlight w:val="yellow"/>
        </w:rPr>
        <w:t>=</w:t>
      </w:r>
      <w:r w:rsidRPr="004B7646">
        <w:rPr>
          <w:rStyle w:val="Strong"/>
          <w:rFonts w:ascii="Arial" w:hAnsi="Arial" w:cs="Arial"/>
          <w:highlight w:val="yellow"/>
        </w:rPr>
        <w:t> </w:t>
      </w:r>
      <w:r w:rsidRPr="004B7646">
        <w:rPr>
          <w:rStyle w:val="Strong"/>
          <w:highlight w:val="yellow"/>
        </w:rPr>
        <w:t>86</w:t>
      </w:r>
      <w:r w:rsidRPr="004B7646">
        <w:rPr>
          <w:rStyle w:val="Strong"/>
          <w:rFonts w:ascii="Arial" w:hAnsi="Arial" w:cs="Arial"/>
          <w:highlight w:val="yellow"/>
        </w:rPr>
        <w:t> </w:t>
      </w:r>
      <w:r w:rsidRPr="004B7646">
        <w:rPr>
          <w:rStyle w:val="Strong"/>
          <w:highlight w:val="yellow"/>
        </w:rPr>
        <w:t>% with one</w:t>
      </w:r>
      <w:r w:rsidRPr="004B7646">
        <w:rPr>
          <w:rStyle w:val="Strong"/>
          <w:highlight w:val="yellow"/>
        </w:rPr>
        <w:noBreakHyphen/>
        <w:t>week data, rising to 91</w:t>
      </w:r>
      <w:r w:rsidRPr="004B7646">
        <w:rPr>
          <w:rStyle w:val="Strong"/>
          <w:rFonts w:ascii="Arial" w:hAnsi="Arial" w:cs="Arial"/>
          <w:highlight w:val="yellow"/>
        </w:rPr>
        <w:t> </w:t>
      </w:r>
      <w:r w:rsidRPr="004B7646">
        <w:rPr>
          <w:rStyle w:val="Strong"/>
          <w:highlight w:val="yellow"/>
        </w:rPr>
        <w:t>% with two</w:t>
      </w:r>
      <w:r w:rsidRPr="004B7646">
        <w:rPr>
          <w:rStyle w:val="Strong"/>
          <w:highlight w:val="yellow"/>
        </w:rPr>
        <w:noBreakHyphen/>
        <w:t>weeks; sensitivity 73</w:t>
      </w:r>
      <w:r w:rsidRPr="004B7646">
        <w:rPr>
          <w:rStyle w:val="Strong"/>
          <w:rFonts w:ascii="Aptos" w:hAnsi="Aptos" w:cs="Aptos"/>
          <w:highlight w:val="yellow"/>
        </w:rPr>
        <w:t>–</w:t>
      </w:r>
      <w:r w:rsidRPr="004B7646">
        <w:rPr>
          <w:rStyle w:val="Strong"/>
          <w:highlight w:val="yellow"/>
        </w:rPr>
        <w:t>80</w:t>
      </w:r>
      <w:r w:rsidRPr="004B7646">
        <w:rPr>
          <w:rStyle w:val="Strong"/>
          <w:rFonts w:ascii="Arial" w:hAnsi="Arial" w:cs="Arial"/>
          <w:highlight w:val="yellow"/>
        </w:rPr>
        <w:t> </w:t>
      </w:r>
      <w:r w:rsidRPr="004B7646">
        <w:rPr>
          <w:rStyle w:val="Strong"/>
          <w:highlight w:val="yellow"/>
        </w:rPr>
        <w:t xml:space="preserve">% while maintaining </w:t>
      </w:r>
      <w:r w:rsidRPr="004B7646">
        <w:rPr>
          <w:rStyle w:val="Strong"/>
          <w:rFonts w:ascii="Aptos" w:hAnsi="Aptos" w:cs="Aptos"/>
          <w:highlight w:val="yellow"/>
        </w:rPr>
        <w:t>≥</w:t>
      </w:r>
      <w:r w:rsidRPr="004B7646">
        <w:rPr>
          <w:rStyle w:val="Strong"/>
          <w:highlight w:val="yellow"/>
        </w:rPr>
        <w:t>82</w:t>
      </w:r>
      <w:r w:rsidRPr="004B7646">
        <w:rPr>
          <w:rStyle w:val="Strong"/>
          <w:rFonts w:ascii="Arial" w:hAnsi="Arial" w:cs="Arial"/>
          <w:highlight w:val="yellow"/>
        </w:rPr>
        <w:t> </w:t>
      </w:r>
      <w:r w:rsidRPr="004B7646">
        <w:rPr>
          <w:rStyle w:val="Strong"/>
          <w:highlight w:val="yellow"/>
        </w:rPr>
        <w:t>% specificity</w:t>
      </w:r>
      <w:r w:rsidRPr="004B7646">
        <w:rPr>
          <w:highlight w:val="yellow"/>
        </w:rPr>
        <w:t>.</w:t>
      </w:r>
      <w:r>
        <w:t xml:space="preserve"> The approach outperforms trajectory</w:t>
      </w:r>
      <w:r>
        <w:noBreakHyphen/>
        <w:t>only baselines and highlights spike mutations and early lineage dominance as the top predictive drivers, offering a template for genomic</w:t>
      </w:r>
      <w:r>
        <w:noBreakHyphen/>
        <w:t>surveillance–based forecasting of future respiratory pathogens.</w:t>
      </w:r>
    </w:p>
    <w:p w14:paraId="32057494" w14:textId="0AB67221" w:rsidR="00BC6478" w:rsidRPr="006E0A6B" w:rsidRDefault="00BC6478" w:rsidP="006E0A6B">
      <w:pPr>
        <w:autoSpaceDE w:val="0"/>
        <w:autoSpaceDN w:val="0"/>
        <w:adjustRightInd w:val="0"/>
        <w:spacing w:after="0" w:line="240" w:lineRule="auto"/>
        <w:rPr>
          <w:sz w:val="16"/>
          <w:szCs w:val="16"/>
        </w:rPr>
      </w:pPr>
      <w:r w:rsidRPr="006E0A6B">
        <w:rPr>
          <w:rFonts w:ascii="Roboto-Regular" w:hAnsi="Roboto-Regular" w:cs="Roboto-Regular"/>
          <w:kern w:val="0"/>
          <w:sz w:val="32"/>
          <w:szCs w:val="32"/>
        </w:rPr>
        <w:t>Predicting Variant-Driven Multi-Wave Pattern of</w:t>
      </w:r>
      <w:r w:rsidR="006E0A6B" w:rsidRPr="006E0A6B">
        <w:rPr>
          <w:rFonts w:ascii="Roboto-Regular" w:hAnsi="Roboto-Regular" w:cs="Roboto-Regular" w:hint="eastAsia"/>
          <w:kern w:val="0"/>
          <w:sz w:val="32"/>
          <w:szCs w:val="32"/>
        </w:rPr>
        <w:t xml:space="preserve"> </w:t>
      </w:r>
      <w:r w:rsidRPr="006E0A6B">
        <w:rPr>
          <w:rFonts w:ascii="Roboto-Regular" w:hAnsi="Roboto-Regular" w:cs="Roboto-Regular"/>
          <w:kern w:val="0"/>
          <w:sz w:val="32"/>
          <w:szCs w:val="32"/>
        </w:rPr>
        <w:t>COVID-19 via a Machine Learning Analysis of Spike</w:t>
      </w:r>
      <w:r w:rsidR="006E0A6B" w:rsidRPr="006E0A6B">
        <w:rPr>
          <w:rFonts w:ascii="Roboto-Regular" w:hAnsi="Roboto-Regular" w:cs="Roboto-Regular" w:hint="eastAsia"/>
          <w:kern w:val="0"/>
          <w:sz w:val="32"/>
          <w:szCs w:val="32"/>
        </w:rPr>
        <w:t xml:space="preserve"> </w:t>
      </w:r>
      <w:r w:rsidRPr="006E0A6B">
        <w:rPr>
          <w:rFonts w:ascii="Roboto-Regular" w:hAnsi="Roboto-Regular" w:cs="Roboto-Regular"/>
          <w:kern w:val="0"/>
          <w:sz w:val="32"/>
          <w:szCs w:val="32"/>
        </w:rPr>
        <w:t>Protein Mutations</w:t>
      </w:r>
    </w:p>
    <w:p w14:paraId="463B82DB" w14:textId="77777777" w:rsidR="00BC6478" w:rsidRDefault="00BC6478" w:rsidP="00BC6478">
      <w:pPr>
        <w:pStyle w:val="NormalWeb"/>
        <w:rPr>
          <w:rFonts w:eastAsiaTheme="minorEastAsia"/>
        </w:rPr>
      </w:pPr>
      <w:r>
        <w:t>The authors present a machine</w:t>
      </w:r>
      <w:r>
        <w:noBreakHyphen/>
        <w:t>learning framework that mines</w:t>
      </w:r>
      <w:r>
        <w:rPr>
          <w:rFonts w:ascii="Arial" w:hAnsi="Arial" w:cs="Arial"/>
        </w:rPr>
        <w:t> </w:t>
      </w:r>
      <w:r>
        <w:t>&gt;9</w:t>
      </w:r>
      <w:r>
        <w:rPr>
          <w:rFonts w:ascii="Arial" w:hAnsi="Arial" w:cs="Arial"/>
        </w:rPr>
        <w:t> </w:t>
      </w:r>
      <w:r>
        <w:t>million SARS</w:t>
      </w:r>
      <w:r>
        <w:noBreakHyphen/>
        <w:t>CoV</w:t>
      </w:r>
      <w:r>
        <w:noBreakHyphen/>
        <w:t>2 spike</w:t>
      </w:r>
      <w:r>
        <w:noBreakHyphen/>
        <w:t xml:space="preserve">protein sequences to predict which emerging lineages will drive new infection waves. Using </w:t>
      </w:r>
      <w:proofErr w:type="spellStart"/>
      <w:r>
        <w:t>Levenshtein</w:t>
      </w:r>
      <w:proofErr w:type="spellEnd"/>
      <w:r>
        <w:t xml:space="preserve"> distance, they cluster spike sequences month</w:t>
      </w:r>
      <w:r>
        <w:noBreakHyphen/>
        <w:t>by</w:t>
      </w:r>
      <w:r>
        <w:noBreakHyphen/>
        <w:t xml:space="preserve">month, link clusters that persist for at least </w:t>
      </w:r>
      <w:proofErr w:type="gramStart"/>
      <w:r>
        <w:t>three time</w:t>
      </w:r>
      <w:proofErr w:type="gramEnd"/>
      <w:r>
        <w:t xml:space="preserve"> bins, and define these </w:t>
      </w:r>
      <w:r>
        <w:rPr>
          <w:rFonts w:ascii="Aptos" w:hAnsi="Aptos" w:cs="Aptos"/>
        </w:rPr>
        <w:t>“</w:t>
      </w:r>
      <w:r>
        <w:t>chains</w:t>
      </w:r>
      <w:r>
        <w:rPr>
          <w:rFonts w:ascii="Aptos" w:hAnsi="Aptos" w:cs="Aptos"/>
        </w:rPr>
        <w:t>”</w:t>
      </w:r>
      <w:r>
        <w:t xml:space="preserve"> as emerging variants. Applied to the UK dataset</w:t>
      </w:r>
      <w:r>
        <w:rPr>
          <w:rFonts w:ascii="Aptos" w:hAnsi="Aptos" w:cs="Aptos"/>
        </w:rPr>
        <w:t>—</w:t>
      </w:r>
      <w:r>
        <w:t>the world</w:t>
      </w:r>
      <w:r>
        <w:rPr>
          <w:rFonts w:ascii="Aptos" w:hAnsi="Aptos" w:cs="Aptos"/>
        </w:rPr>
        <w:t>’</w:t>
      </w:r>
      <w:r>
        <w:t>s largest</w:t>
      </w:r>
      <w:r>
        <w:rPr>
          <w:rFonts w:ascii="Aptos" w:hAnsi="Aptos" w:cs="Aptos"/>
        </w:rPr>
        <w:t>—</w:t>
      </w:r>
      <w:r>
        <w:t>they rediscover Alpha and Delta, reconstruct their phylogenetic branching, and show that each national epidemic wave was dominated by a newly emerging chain. Their Mutation</w:t>
      </w:r>
      <w:r>
        <w:noBreakHyphen/>
        <w:t>epidemiological</w:t>
      </w:r>
      <w:r>
        <w:rPr>
          <w:rFonts w:ascii="Arial" w:hAnsi="Arial" w:cs="Arial"/>
        </w:rPr>
        <w:t> </w:t>
      </w:r>
      <w:proofErr w:type="spellStart"/>
      <w:r>
        <w:t>Renormalisation</w:t>
      </w:r>
      <w:proofErr w:type="spellEnd"/>
      <w:r>
        <w:t xml:space="preserve"> Group (</w:t>
      </w:r>
      <w:proofErr w:type="spellStart"/>
      <w:r>
        <w:t>MeRG</w:t>
      </w:r>
      <w:proofErr w:type="spellEnd"/>
      <w:r>
        <w:t>) model then fits logistic curves to variant</w:t>
      </w:r>
      <w:r>
        <w:noBreakHyphen/>
        <w:t>specific case counts, estimating that Alpha spread 49</w:t>
      </w:r>
      <w:r>
        <w:rPr>
          <w:rFonts w:ascii="Arial" w:hAnsi="Arial" w:cs="Arial"/>
        </w:rPr>
        <w:t> </w:t>
      </w:r>
      <w:r>
        <w:t>% faster and Delta 73</w:t>
      </w:r>
      <w:r>
        <w:rPr>
          <w:rFonts w:ascii="Arial" w:hAnsi="Arial" w:cs="Arial"/>
        </w:rPr>
        <w:t> </w:t>
      </w:r>
      <w:r>
        <w:t xml:space="preserve">% faster than previously dominant </w:t>
      </w:r>
      <w:proofErr w:type="gramStart"/>
      <w:r>
        <w:t>strains .</w:t>
      </w:r>
      <w:proofErr w:type="gramEnd"/>
    </w:p>
    <w:p w14:paraId="7B6D03E9" w14:textId="1E79DBCC" w:rsidR="00596933" w:rsidRDefault="00596933" w:rsidP="00BC6478">
      <w:pPr>
        <w:pStyle w:val="NormalWeb"/>
        <w:rPr>
          <w:rFonts w:eastAsiaTheme="minorEastAsia"/>
        </w:rPr>
      </w:pPr>
      <w:r>
        <w:lastRenderedPageBreak/>
        <w:t>Predicting the Trend of SARS-CoV-2 Mutation Frequencies 2 Using Historical Dat</w:t>
      </w:r>
    </w:p>
    <w:p w14:paraId="359BFC22" w14:textId="0F0BA52D" w:rsidR="00596933" w:rsidRPr="00596933" w:rsidRDefault="00596933" w:rsidP="00BC6478">
      <w:pPr>
        <w:pStyle w:val="NormalWeb"/>
        <w:rPr>
          <w:rFonts w:eastAsiaTheme="minorEastAsia"/>
        </w:rPr>
      </w:pPr>
      <w:r>
        <w:t>Zhou</w:t>
      </w:r>
      <w:r>
        <w:rPr>
          <w:rFonts w:ascii="Arial" w:hAnsi="Arial" w:cs="Arial"/>
        </w:rPr>
        <w:t> </w:t>
      </w:r>
      <w:r>
        <w:t>et</w:t>
      </w:r>
      <w:r>
        <w:rPr>
          <w:rFonts w:ascii="Arial" w:hAnsi="Arial" w:cs="Arial"/>
        </w:rPr>
        <w:t> </w:t>
      </w:r>
      <w:r>
        <w:t>al. (</w:t>
      </w:r>
      <w:proofErr w:type="spellStart"/>
      <w:r>
        <w:t>bioRxiv</w:t>
      </w:r>
      <w:proofErr w:type="spellEnd"/>
      <w:r>
        <w:t>,</w:t>
      </w:r>
      <w:r>
        <w:rPr>
          <w:rFonts w:ascii="Arial" w:hAnsi="Arial" w:cs="Arial"/>
        </w:rPr>
        <w:t> </w:t>
      </w:r>
      <w:r>
        <w:t>Dec</w:t>
      </w:r>
      <w:r>
        <w:rPr>
          <w:rFonts w:ascii="Arial" w:hAnsi="Arial" w:cs="Arial"/>
        </w:rPr>
        <w:t> </w:t>
      </w:r>
      <w:r>
        <w:t>2023) recast mutation</w:t>
      </w:r>
      <w:r>
        <w:noBreakHyphen/>
        <w:t>trend forecasting as a supervised</w:t>
      </w:r>
      <w:r>
        <w:noBreakHyphen/>
        <w:t>learning problem. From 16</w:t>
      </w:r>
      <w:r>
        <w:rPr>
          <w:rFonts w:ascii="Arial" w:hAnsi="Arial" w:cs="Arial"/>
        </w:rPr>
        <w:t> </w:t>
      </w:r>
      <w:r>
        <w:t>million U.S. GISAID genomes they derived smoothed daily frequencies for 87 informative SARS</w:t>
      </w:r>
      <w:r>
        <w:noBreakHyphen/>
        <w:t>CoV</w:t>
      </w:r>
      <w:r>
        <w:noBreakHyphen/>
        <w:t>2 mutations across 1,130</w:t>
      </w:r>
      <w:r>
        <w:rPr>
          <w:rFonts w:ascii="Arial" w:hAnsi="Arial" w:cs="Arial"/>
        </w:rPr>
        <w:t> </w:t>
      </w:r>
      <w:r>
        <w:t>days, then dissected each series into overlapping 21</w:t>
      </w:r>
      <w:r>
        <w:noBreakHyphen/>
        <w:t>day windows and used the first</w:t>
      </w:r>
      <w:r>
        <w:noBreakHyphen/>
        <w:t>order derivatives of the first 20</w:t>
      </w:r>
      <w:r>
        <w:rPr>
          <w:rFonts w:ascii="Arial" w:hAnsi="Arial" w:cs="Arial"/>
        </w:rPr>
        <w:t> </w:t>
      </w:r>
      <w:r>
        <w:t>days to predict the derivative on day</w:t>
      </w:r>
      <w:r>
        <w:rPr>
          <w:rFonts w:ascii="Arial" w:hAnsi="Arial" w:cs="Arial"/>
        </w:rPr>
        <w:t> </w:t>
      </w:r>
      <w:r>
        <w:t>21. Training a single model across all loci, tree</w:t>
      </w:r>
      <w:r>
        <w:noBreakHyphen/>
        <w:t>based ensembles (random forest), linear/radial</w:t>
      </w:r>
      <w:r>
        <w:noBreakHyphen/>
        <w:t xml:space="preserve">kernel SVMs and </w:t>
      </w:r>
      <w:proofErr w:type="spellStart"/>
      <w:r>
        <w:t>XGBoost</w:t>
      </w:r>
      <w:proofErr w:type="spellEnd"/>
      <w:r>
        <w:t xml:space="preserve"> beat five classic time</w:t>
      </w:r>
      <w:r>
        <w:noBreakHyphen/>
        <w:t>series methods (ARIMA, Prophet, k</w:t>
      </w:r>
      <w:r>
        <w:noBreakHyphen/>
        <w:t>NN, cubic</w:t>
      </w:r>
      <w:r>
        <w:noBreakHyphen/>
        <w:t xml:space="preserve"> and B</w:t>
      </w:r>
      <w:r>
        <w:noBreakHyphen/>
        <w:t>splines): mean absolute error stayed below</w:t>
      </w:r>
      <w:r>
        <w:rPr>
          <w:rFonts w:ascii="Arial" w:hAnsi="Arial" w:cs="Arial"/>
        </w:rPr>
        <w:t> </w:t>
      </w:r>
      <w:r>
        <w:t>0.1</w:t>
      </w:r>
      <w:r>
        <w:rPr>
          <w:rFonts w:ascii="Arial" w:hAnsi="Arial" w:cs="Arial"/>
        </w:rPr>
        <w:t> </w:t>
      </w:r>
      <w:r>
        <w:t>% for 30</w:t>
      </w:r>
      <w:r>
        <w:noBreakHyphen/>
        <w:t>day forecasts and under</w:t>
      </w:r>
      <w:r>
        <w:rPr>
          <w:rFonts w:ascii="Arial" w:hAnsi="Arial" w:cs="Arial"/>
        </w:rPr>
        <w:t> </w:t>
      </w:r>
      <w:r>
        <w:t>1</w:t>
      </w:r>
      <w:r>
        <w:rPr>
          <w:rFonts w:ascii="Arial" w:hAnsi="Arial" w:cs="Arial"/>
        </w:rPr>
        <w:t> </w:t>
      </w:r>
      <w:r>
        <w:t>% for 80</w:t>
      </w:r>
      <w:r>
        <w:noBreakHyphen/>
        <w:t>day horizons, while time</w:t>
      </w:r>
      <w:r>
        <w:noBreakHyphen/>
        <w:t>series baselines were an order of magnitude worse. Robustness tests, in which models were trained on two mutation</w:t>
      </w:r>
      <w:r>
        <w:noBreakHyphen/>
        <w:t>pattern categories and asked to forecast a third, retained sub</w:t>
      </w:r>
      <w:r>
        <w:noBreakHyphen/>
        <w:t>1</w:t>
      </w:r>
      <w:r>
        <w:rPr>
          <w:rFonts w:ascii="Arial" w:hAnsi="Arial" w:cs="Arial"/>
        </w:rPr>
        <w:t> </w:t>
      </w:r>
      <w:r>
        <w:t xml:space="preserve">% error, demonstrating </w:t>
      </w:r>
      <w:proofErr w:type="spellStart"/>
      <w:r>
        <w:t>generalisability</w:t>
      </w:r>
      <w:proofErr w:type="spellEnd"/>
      <w:r>
        <w:t xml:space="preserve"> to unseen trajectories. The entire pipeline is released as an R</w:t>
      </w:r>
      <w:r>
        <w:noBreakHyphen/>
        <w:t>Shiny app, positioning the framework as a rapid, sequence</w:t>
      </w:r>
      <w:r>
        <w:noBreakHyphen/>
        <w:t>only early</w:t>
      </w:r>
      <w:r>
        <w:noBreakHyphen/>
        <w:t>warning tool adaptable to other rapidly evolving pathogens.</w:t>
      </w:r>
    </w:p>
    <w:p w14:paraId="7417F79A" w14:textId="77777777" w:rsidR="00BC6478" w:rsidRDefault="00BC6478" w:rsidP="00BC6478">
      <w:pPr>
        <w:pStyle w:val="NormalWeb"/>
      </w:pPr>
      <w:r>
        <w:t>Critically, the method functions as an early</w:t>
      </w:r>
      <w:r>
        <w:noBreakHyphen/>
        <w:t>warning system: as soon as a lineage’s cluster exceeds ~1 % of weekly sequences, it can be flagged with &gt;50 % confidence; the authors would have detected Alpha six weeks before its WHO “Variant of Concern” designation and recently identified the AY.4.2 (“Delta plus”) lineage in September 2021, weeks before media coverage . The approach is sequence</w:t>
      </w:r>
      <w:r>
        <w:noBreakHyphen/>
        <w:t>only, requires no prior biological knowledge, and could generalize to other viruses provided adequate genomic surveillance, making it a valuable tool for real</w:t>
      </w:r>
      <w:r>
        <w:noBreakHyphen/>
        <w:t>time pandemic preparedness</w:t>
      </w:r>
    </w:p>
    <w:p w14:paraId="73816243" w14:textId="77777777" w:rsidR="005D2000" w:rsidRDefault="005D2000" w:rsidP="005D2000">
      <w:pPr>
        <w:pStyle w:val="NormalWeb"/>
      </w:pPr>
      <w:r>
        <w:rPr>
          <w:rStyle w:val="Strong"/>
          <w:rFonts w:eastAsiaTheme="majorEastAsia"/>
        </w:rPr>
        <w:t>Paper:</w:t>
      </w:r>
      <w:r>
        <w:t xml:space="preserve"> </w:t>
      </w:r>
      <w:r>
        <w:rPr>
          <w:rStyle w:val="Emphasis"/>
          <w:rFonts w:eastAsiaTheme="majorEastAsia"/>
        </w:rPr>
        <w:t>A Deep</w:t>
      </w:r>
      <w:r>
        <w:rPr>
          <w:rStyle w:val="Emphasis"/>
          <w:rFonts w:ascii="Arial" w:eastAsiaTheme="majorEastAsia" w:hAnsi="Arial" w:cs="Arial"/>
        </w:rPr>
        <w:t> </w:t>
      </w:r>
      <w:r>
        <w:rPr>
          <w:rStyle w:val="Emphasis"/>
          <w:rFonts w:eastAsiaTheme="majorEastAsia"/>
        </w:rPr>
        <w:t>Learning Approach to Forecast Short</w:t>
      </w:r>
      <w:r>
        <w:rPr>
          <w:rStyle w:val="Emphasis"/>
          <w:rFonts w:eastAsiaTheme="majorEastAsia"/>
        </w:rPr>
        <w:noBreakHyphen/>
        <w:t>Term</w:t>
      </w:r>
      <w:r>
        <w:rPr>
          <w:rStyle w:val="Emphasis"/>
          <w:rFonts w:ascii="Arial" w:eastAsiaTheme="majorEastAsia" w:hAnsi="Arial" w:cs="Arial"/>
        </w:rPr>
        <w:t> </w:t>
      </w:r>
      <w:r>
        <w:rPr>
          <w:rStyle w:val="Emphasis"/>
          <w:rFonts w:eastAsiaTheme="majorEastAsia"/>
        </w:rPr>
        <w:t>COVID</w:t>
      </w:r>
      <w:r>
        <w:rPr>
          <w:rStyle w:val="Emphasis"/>
          <w:rFonts w:eastAsiaTheme="majorEastAsia"/>
        </w:rPr>
        <w:noBreakHyphen/>
        <w:t>19</w:t>
      </w:r>
      <w:r>
        <w:rPr>
          <w:rStyle w:val="Emphasis"/>
          <w:rFonts w:ascii="Arial" w:eastAsiaTheme="majorEastAsia" w:hAnsi="Arial" w:cs="Arial"/>
        </w:rPr>
        <w:t> </w:t>
      </w:r>
      <w:r>
        <w:rPr>
          <w:rStyle w:val="Emphasis"/>
          <w:rFonts w:eastAsiaTheme="majorEastAsia"/>
        </w:rPr>
        <w:t>Cases and Deaths in the</w:t>
      </w:r>
      <w:r>
        <w:rPr>
          <w:rStyle w:val="Emphasis"/>
          <w:rFonts w:ascii="Arial" w:eastAsiaTheme="majorEastAsia" w:hAnsi="Arial" w:cs="Arial"/>
        </w:rPr>
        <w:t> </w:t>
      </w:r>
      <w:r>
        <w:rPr>
          <w:rStyle w:val="Emphasis"/>
          <w:rFonts w:eastAsiaTheme="majorEastAsia"/>
        </w:rPr>
        <w:t>US</w:t>
      </w:r>
      <w:r>
        <w:t xml:space="preserve"> (Du</w:t>
      </w:r>
      <w:r>
        <w:rPr>
          <w:rFonts w:ascii="Arial" w:hAnsi="Arial" w:cs="Arial"/>
        </w:rPr>
        <w:t> </w:t>
      </w:r>
      <w:r>
        <w:t>et</w:t>
      </w:r>
      <w:r>
        <w:rPr>
          <w:rFonts w:ascii="Arial" w:hAnsi="Arial" w:cs="Arial"/>
        </w:rPr>
        <w:t> </w:t>
      </w:r>
      <w:r>
        <w:t>al., Johns</w:t>
      </w:r>
      <w:r>
        <w:rPr>
          <w:rFonts w:ascii="Arial" w:hAnsi="Arial" w:cs="Arial"/>
        </w:rPr>
        <w:t> </w:t>
      </w:r>
      <w:r>
        <w:t>Hopkins University)</w:t>
      </w:r>
    </w:p>
    <w:p w14:paraId="45A38A3E" w14:textId="77777777" w:rsidR="005D2000" w:rsidRDefault="005D2000" w:rsidP="005D2000">
      <w:pPr>
        <w:pStyle w:val="NormalWeb"/>
        <w:rPr>
          <w:rFonts w:eastAsiaTheme="minorEastAsia"/>
        </w:rPr>
      </w:pPr>
      <w:r>
        <w:t xml:space="preserve">The authors present a </w:t>
      </w:r>
      <w:r>
        <w:rPr>
          <w:rStyle w:val="Strong"/>
          <w:rFonts w:eastAsiaTheme="majorEastAsia"/>
        </w:rPr>
        <w:t>multi</w:t>
      </w:r>
      <w:r>
        <w:rPr>
          <w:rStyle w:val="Strong"/>
          <w:rFonts w:eastAsiaTheme="majorEastAsia"/>
        </w:rPr>
        <w:noBreakHyphen/>
        <w:t>stage long</w:t>
      </w:r>
      <w:r>
        <w:rPr>
          <w:rStyle w:val="Strong"/>
          <w:rFonts w:eastAsiaTheme="majorEastAsia"/>
        </w:rPr>
        <w:noBreakHyphen/>
        <w:t>short</w:t>
      </w:r>
      <w:r>
        <w:rPr>
          <w:rStyle w:val="Strong"/>
          <w:rFonts w:eastAsiaTheme="majorEastAsia"/>
        </w:rPr>
        <w:noBreakHyphen/>
        <w:t>term memory (LSTM) architecture</w:t>
      </w:r>
      <w:r>
        <w:t xml:space="preserve"> that iteratively predicts weekly state</w:t>
      </w:r>
      <w:r>
        <w:noBreakHyphen/>
        <w:t>level COVID</w:t>
      </w:r>
      <w:r>
        <w:noBreakHyphen/>
        <w:t xml:space="preserve">19 cases and deaths one to four weeks ahead. The model ingests a broad, daily data stack—epidemiological indicators (cases, deaths, vaccinations, </w:t>
      </w:r>
      <w:proofErr w:type="spellStart"/>
      <w:r>
        <w:t>hospitalisations</w:t>
      </w:r>
      <w:proofErr w:type="spellEnd"/>
      <w:r>
        <w:t xml:space="preserve">), </w:t>
      </w:r>
      <w:proofErr w:type="spellStart"/>
      <w:r>
        <w:t>SafeGraph</w:t>
      </w:r>
      <w:proofErr w:type="spellEnd"/>
      <w:r>
        <w:t xml:space="preserve"> mobility metrics, real</w:t>
      </w:r>
      <w:r>
        <w:noBreakHyphen/>
        <w:t xml:space="preserve">time </w:t>
      </w:r>
      <w:proofErr w:type="spellStart"/>
      <w:r>
        <w:t>behavioural</w:t>
      </w:r>
      <w:proofErr w:type="spellEnd"/>
      <w:r>
        <w:noBreakHyphen/>
        <w:t>survey signals, climate variables, demographics and, in a case study, SARS</w:t>
      </w:r>
      <w:r>
        <w:noBreakHyphen/>
        <w:t>CoV</w:t>
      </w:r>
      <w:r>
        <w:noBreakHyphen/>
        <w:t>2 variant series derived from GISAID—allowing it to capture non</w:t>
      </w:r>
      <w:r>
        <w:noBreakHyphen/>
        <w:t>linear, time</w:t>
      </w:r>
      <w:r>
        <w:noBreakHyphen/>
        <w:t xml:space="preserve">varying drivers of transmission. Across 52 evaluation weeks (Aug 2020 – Aug 2021) it </w:t>
      </w:r>
      <w:r>
        <w:rPr>
          <w:rStyle w:val="Strong"/>
          <w:rFonts w:eastAsiaTheme="majorEastAsia"/>
        </w:rPr>
        <w:t>consistently outperforms the CDC Forecast</w:t>
      </w:r>
      <w:r>
        <w:rPr>
          <w:rStyle w:val="Strong"/>
          <w:rFonts w:eastAsiaTheme="majorEastAsia"/>
        </w:rPr>
        <w:noBreakHyphen/>
        <w:t>Hub ensemble</w:t>
      </w:r>
      <w:r>
        <w:t xml:space="preserve"> for all horizons, with the advantage widening at three</w:t>
      </w:r>
      <w:r>
        <w:noBreakHyphen/>
        <w:t xml:space="preserve"> and four</w:t>
      </w:r>
      <w:r>
        <w:noBreakHyphen/>
        <w:t>week forecasts and during periods of rapid epidemic growth or decline. Performance remains robust across most states, though errors rise in Midwestern states whose trends diverged from national patterns. Feature ablation shows mobility and survey signals add the greatest predictive value, while climate effects emerge only after early 2021. A retrospective Delta</w:t>
      </w:r>
      <w:r>
        <w:noBreakHyphen/>
        <w:t>wave analysis demonstrates that adding variant</w:t>
      </w:r>
      <w:r>
        <w:noBreakHyphen/>
        <w:t>specific case series further sharpens long</w:t>
      </w:r>
      <w:r>
        <w:noBreakHyphen/>
        <w:t>horizon forecasts, underscoring the potential of timely genomic surveillance. The study also delivers a rigorous EPIFORGE</w:t>
      </w:r>
      <w:r>
        <w:noBreakHyphen/>
        <w:t>aligned evaluation framework, revealing how forecast accuracy shifts with geography, time and outbreak phase</w:t>
      </w:r>
    </w:p>
    <w:p w14:paraId="512F163E" w14:textId="21EEB240" w:rsidR="00011668" w:rsidRPr="00011668" w:rsidRDefault="00011668" w:rsidP="005D2000">
      <w:pPr>
        <w:pStyle w:val="NormalWeb"/>
        <w:rPr>
          <w:rFonts w:eastAsiaTheme="minorEastAsia"/>
        </w:rPr>
      </w:pPr>
      <w:r>
        <w:t>Variant</w:t>
      </w:r>
      <w:r>
        <w:noBreakHyphen/>
        <w:t>driven early warning via unsupervised machine learning analysis of spike protein mutations for COVID</w:t>
      </w:r>
      <w:r>
        <w:noBreakHyphen/>
        <w:t>19</w:t>
      </w:r>
    </w:p>
    <w:p w14:paraId="006F6688" w14:textId="61B51052" w:rsidR="00BC6478" w:rsidRDefault="005D2000">
      <w:r>
        <w:rPr>
          <w:rStyle w:val="Strong"/>
        </w:rPr>
        <w:lastRenderedPageBreak/>
        <w:t>Summary (≈170</w:t>
      </w:r>
      <w:r>
        <w:rPr>
          <w:rStyle w:val="Strong"/>
          <w:rFonts w:ascii="Arial" w:hAnsi="Arial" w:cs="Arial"/>
        </w:rPr>
        <w:t> </w:t>
      </w:r>
      <w:r>
        <w:rPr>
          <w:rStyle w:val="Strong"/>
        </w:rPr>
        <w:t>words)</w:t>
      </w:r>
      <w:r>
        <w:br/>
        <w:t>De</w:t>
      </w:r>
      <w:r>
        <w:rPr>
          <w:rFonts w:ascii="Arial" w:hAnsi="Arial" w:cs="Arial"/>
        </w:rPr>
        <w:t> </w:t>
      </w:r>
      <w:r>
        <w:t>Hofer</w:t>
      </w:r>
      <w:r>
        <w:rPr>
          <w:rFonts w:ascii="Arial" w:hAnsi="Arial" w:cs="Arial"/>
        </w:rPr>
        <w:t> </w:t>
      </w:r>
      <w:r>
        <w:t>et</w:t>
      </w:r>
      <w:r>
        <w:rPr>
          <w:rFonts w:ascii="Arial" w:hAnsi="Arial" w:cs="Arial"/>
        </w:rPr>
        <w:t> </w:t>
      </w:r>
      <w:r>
        <w:t>al. devise an unsupervised, spike</w:t>
      </w:r>
      <w:r>
        <w:noBreakHyphen/>
        <w:t>focused machine</w:t>
      </w:r>
      <w:r>
        <w:noBreakHyphen/>
        <w:t>learning pipeline that converts the world</w:t>
      </w:r>
      <w:r>
        <w:rPr>
          <w:rFonts w:ascii="Aptos" w:hAnsi="Aptos" w:cs="Aptos"/>
        </w:rPr>
        <w:t>’</w:t>
      </w:r>
      <w:r>
        <w:t>s rapidly expanding SARS</w:t>
      </w:r>
      <w:r>
        <w:noBreakHyphen/>
        <w:t>CoV</w:t>
      </w:r>
      <w:r>
        <w:noBreakHyphen/>
        <w:t>2 genomic archive into an early</w:t>
      </w:r>
      <w:r>
        <w:noBreakHyphen/>
        <w:t>warning system for new, wave</w:t>
      </w:r>
      <w:r>
        <w:noBreakHyphen/>
        <w:t xml:space="preserve">causing variants. Using </w:t>
      </w:r>
      <w:proofErr w:type="spellStart"/>
      <w:r>
        <w:t>Levenshtein</w:t>
      </w:r>
      <w:proofErr w:type="spellEnd"/>
      <w:r>
        <w:t xml:space="preserve"> distance, the algorithm clusters spike sequences month</w:t>
      </w:r>
      <w:r>
        <w:noBreakHyphen/>
        <w:t>by</w:t>
      </w:r>
      <w:r>
        <w:noBreakHyphen/>
        <w:t xml:space="preserve">month, then links clusters across time when they share the same dominant sequence, forming </w:t>
      </w:r>
      <w:r>
        <w:rPr>
          <w:rFonts w:ascii="Aptos" w:hAnsi="Aptos" w:cs="Aptos"/>
        </w:rPr>
        <w:t>“</w:t>
      </w:r>
      <w:r>
        <w:t>chains</w:t>
      </w:r>
      <w:r>
        <w:rPr>
          <w:rFonts w:ascii="Aptos" w:hAnsi="Aptos" w:cs="Aptos"/>
        </w:rPr>
        <w:t>”</w:t>
      </w:r>
      <w:r>
        <w:t xml:space="preserve"> that flag </w:t>
      </w:r>
      <w:r>
        <w:rPr>
          <w:rStyle w:val="Strong"/>
        </w:rPr>
        <w:t>persistent emerging variants</w:t>
      </w:r>
      <w:r>
        <w:t>; a chain that survives three consecutive time bins is taken as epidemiologically relevant. Applied to 461</w:t>
      </w:r>
      <w:r>
        <w:rPr>
          <w:rFonts w:ascii="Arial" w:hAnsi="Arial" w:cs="Arial"/>
        </w:rPr>
        <w:t> </w:t>
      </w:r>
      <w:r>
        <w:t>k spike genomes from England (Jan</w:t>
      </w:r>
      <w:r>
        <w:rPr>
          <w:rFonts w:ascii="Arial" w:hAnsi="Arial" w:cs="Arial"/>
        </w:rPr>
        <w:t> </w:t>
      </w:r>
      <w:r>
        <w:t>2020</w:t>
      </w:r>
      <w:r>
        <w:rPr>
          <w:rFonts w:ascii="Aptos" w:hAnsi="Aptos" w:cs="Aptos"/>
        </w:rPr>
        <w:t>–</w:t>
      </w:r>
      <w:r>
        <w:t>Aug</w:t>
      </w:r>
      <w:r>
        <w:rPr>
          <w:rFonts w:ascii="Arial" w:hAnsi="Arial" w:cs="Arial"/>
        </w:rPr>
        <w:t> </w:t>
      </w:r>
      <w:r>
        <w:t xml:space="preserve">2021), the method independently rediscovers Alpha and Delta and reconstructs their branching from earlier lineages. Crucially, a variant can be </w:t>
      </w:r>
      <w:proofErr w:type="spellStart"/>
      <w:r>
        <w:t>signalled</w:t>
      </w:r>
      <w:proofErr w:type="spellEnd"/>
      <w:r>
        <w:t xml:space="preserve"> once its cluster surpasses </w:t>
      </w:r>
      <w:r>
        <w:rPr>
          <w:rStyle w:val="Strong"/>
        </w:rPr>
        <w:t>≈1</w:t>
      </w:r>
      <w:r>
        <w:rPr>
          <w:rStyle w:val="Strong"/>
          <w:rFonts w:ascii="Arial" w:hAnsi="Arial" w:cs="Arial"/>
        </w:rPr>
        <w:t> </w:t>
      </w:r>
      <w:r>
        <w:rPr>
          <w:rStyle w:val="Strong"/>
        </w:rPr>
        <w:t>% of sequences in a weekly bin</w:t>
      </w:r>
      <w:r>
        <w:rPr>
          <w:rStyle w:val="Strong"/>
          <w:rFonts w:ascii="Aptos" w:hAnsi="Aptos" w:cs="Aptos"/>
        </w:rPr>
        <w:t>—</w:t>
      </w:r>
      <w:r>
        <w:rPr>
          <w:rStyle w:val="Strong"/>
        </w:rPr>
        <w:t>about six weeks before WHO designated Alpha a Variant of Concern</w:t>
      </w:r>
      <w:r>
        <w:rPr>
          <w:rStyle w:val="Strong"/>
          <w:rFonts w:ascii="Aptos" w:hAnsi="Aptos" w:cs="Aptos"/>
        </w:rPr>
        <w:t>—</w:t>
      </w:r>
      <w:r>
        <w:rPr>
          <w:rStyle w:val="Strong"/>
        </w:rPr>
        <w:t>demonstrating practical lead</w:t>
      </w:r>
      <w:r>
        <w:rPr>
          <w:rStyle w:val="Strong"/>
        </w:rPr>
        <w:noBreakHyphen/>
        <w:t>time for public</w:t>
      </w:r>
      <w:r>
        <w:rPr>
          <w:rStyle w:val="Strong"/>
        </w:rPr>
        <w:noBreakHyphen/>
        <w:t>health response</w:t>
      </w:r>
      <w:r>
        <w:t>. Each identified variant’s growth is then fitted with a logistic curve via the Mutation</w:t>
      </w:r>
      <w:r>
        <w:noBreakHyphen/>
        <w:t xml:space="preserve">epidemiological </w:t>
      </w:r>
      <w:proofErr w:type="spellStart"/>
      <w:r>
        <w:t>Renormalisation</w:t>
      </w:r>
      <w:proofErr w:type="spellEnd"/>
      <w:r>
        <w:t xml:space="preserve"> Group (</w:t>
      </w:r>
      <w:proofErr w:type="spellStart"/>
      <w:r>
        <w:t>MeRG</w:t>
      </w:r>
      <w:proofErr w:type="spellEnd"/>
      <w:r>
        <w:t>) model, revealing that Alpha and Delta spread 49</w:t>
      </w:r>
      <w:r>
        <w:rPr>
          <w:rFonts w:ascii="Arial" w:hAnsi="Arial" w:cs="Arial"/>
        </w:rPr>
        <w:t> </w:t>
      </w:r>
      <w:r>
        <w:t>% and 73</w:t>
      </w:r>
      <w:r>
        <w:rPr>
          <w:rFonts w:ascii="Arial" w:hAnsi="Arial" w:cs="Arial"/>
        </w:rPr>
        <w:t> </w:t>
      </w:r>
      <w:r>
        <w:t>% faster, respectively, than previously dominant strains. The authors show that every epidemic wave in the UK, South</w:t>
      </w:r>
      <w:r>
        <w:rPr>
          <w:rFonts w:ascii="Arial" w:hAnsi="Arial" w:cs="Arial"/>
        </w:rPr>
        <w:t> </w:t>
      </w:r>
      <w:r>
        <w:t>Africa, India and California coincides with the rise of a new chain, underscoring variant dynamics as the primary driver of multi</w:t>
      </w:r>
      <w:r>
        <w:noBreakHyphen/>
        <w:t xml:space="preserve">wave pandemic patterns. </w:t>
      </w:r>
    </w:p>
    <w:p w14:paraId="12ED567A" w14:textId="64A172B9" w:rsidR="005D2000" w:rsidRDefault="006E0A6B">
      <w:r>
        <w:t xml:space="preserve">Forecasting dominance of SARS-CoV-2 lineages by anomaly detection using deep </w:t>
      </w:r>
      <w:proofErr w:type="spellStart"/>
      <w:r>
        <w:t>AutoEncoders</w:t>
      </w:r>
      <w:proofErr w:type="spellEnd"/>
    </w:p>
    <w:p w14:paraId="72B48B58" w14:textId="5839938B" w:rsidR="006E0A6B" w:rsidRDefault="006E0A6B">
      <w:r>
        <w:t>**</w:t>
      </w:r>
      <w:proofErr w:type="spellStart"/>
      <w:r>
        <w:t>DeepAutoCoV</w:t>
      </w:r>
      <w:proofErr w:type="spellEnd"/>
      <w:r>
        <w:t xml:space="preserve"> is an unsupervised deep</w:t>
      </w:r>
      <w:r>
        <w:noBreakHyphen/>
        <w:t xml:space="preserve">learning </w:t>
      </w:r>
      <w:proofErr w:type="spellStart"/>
      <w:r>
        <w:t>AutoEncoder</w:t>
      </w:r>
      <w:proofErr w:type="spellEnd"/>
      <w:r>
        <w:t xml:space="preserve"> that scans weekly uploads of SARS</w:t>
      </w:r>
      <w:r>
        <w:noBreakHyphen/>
        <w:t>CoV</w:t>
      </w:r>
      <w:r>
        <w:noBreakHyphen/>
        <w:t>2 spike</w:t>
      </w:r>
      <w:r>
        <w:noBreakHyphen/>
        <w:t>protein sequences from GISAID (&gt;</w:t>
      </w:r>
      <w:r>
        <w:rPr>
          <w:rFonts w:ascii="Arial" w:hAnsi="Arial" w:cs="Arial"/>
        </w:rPr>
        <w:t> </w:t>
      </w:r>
      <w:r>
        <w:t>16</w:t>
      </w:r>
      <w:r>
        <w:rPr>
          <w:rFonts w:ascii="Arial" w:hAnsi="Arial" w:cs="Arial"/>
        </w:rPr>
        <w:t> </w:t>
      </w:r>
      <w:r>
        <w:t>million sequences, 2019</w:t>
      </w:r>
      <w:r>
        <w:noBreakHyphen/>
        <w:t xml:space="preserve">2023) and flags </w:t>
      </w:r>
      <w:r>
        <w:rPr>
          <w:rFonts w:ascii="Aptos" w:hAnsi="Aptos" w:cs="Aptos"/>
        </w:rPr>
        <w:t>“</w:t>
      </w:r>
      <w:r>
        <w:t>future dominant lineages</w:t>
      </w:r>
      <w:r>
        <w:rPr>
          <w:rFonts w:ascii="Aptos" w:hAnsi="Aptos" w:cs="Aptos"/>
        </w:rPr>
        <w:t>”</w:t>
      </w:r>
      <w:r>
        <w:t xml:space="preserve"> (FDLs)</w:t>
      </w:r>
      <w:r>
        <w:rPr>
          <w:rFonts w:ascii="Aptos" w:hAnsi="Aptos" w:cs="Aptos"/>
        </w:rPr>
        <w:t>—</w:t>
      </w:r>
      <w:r>
        <w:t>defined as lineages that will later account for</w:t>
      </w:r>
      <w:r>
        <w:rPr>
          <w:rFonts w:ascii="Arial" w:hAnsi="Arial" w:cs="Arial"/>
        </w:rPr>
        <w:t> </w:t>
      </w:r>
      <w:r>
        <w:rPr>
          <w:rFonts w:ascii="Aptos" w:hAnsi="Aptos" w:cs="Aptos"/>
        </w:rPr>
        <w:t>≥</w:t>
      </w:r>
      <w:r>
        <w:rPr>
          <w:rFonts w:ascii="Arial" w:hAnsi="Arial" w:cs="Arial"/>
        </w:rPr>
        <w:t> </w:t>
      </w:r>
      <w:r>
        <w:t>10</w:t>
      </w:r>
      <w:r>
        <w:rPr>
          <w:rFonts w:ascii="Arial" w:hAnsi="Arial" w:cs="Arial"/>
        </w:rPr>
        <w:t> </w:t>
      </w:r>
      <w:r>
        <w:t>% of sequences in a single week</w:t>
      </w:r>
      <w:r>
        <w:rPr>
          <w:rFonts w:ascii="Aptos" w:hAnsi="Aptos" w:cs="Aptos"/>
        </w:rPr>
        <w:t>—</w:t>
      </w:r>
      <w:r>
        <w:t>while they are still rare (0.01</w:t>
      </w:r>
      <w:r>
        <w:rPr>
          <w:rFonts w:ascii="Aptos" w:hAnsi="Aptos" w:cs="Aptos"/>
        </w:rPr>
        <w:t>–</w:t>
      </w:r>
      <w:r>
        <w:t>3</w:t>
      </w:r>
      <w:r>
        <w:rPr>
          <w:rFonts w:ascii="Arial" w:hAnsi="Arial" w:cs="Arial"/>
        </w:rPr>
        <w:t> </w:t>
      </w:r>
      <w:r>
        <w:t>% frequency). Across global and four high</w:t>
      </w:r>
      <w:r>
        <w:noBreakHyphen/>
        <w:t>coverage national datasets (USA,</w:t>
      </w:r>
      <w:r>
        <w:rPr>
          <w:rFonts w:ascii="Arial" w:hAnsi="Arial" w:cs="Arial"/>
        </w:rPr>
        <w:t> </w:t>
      </w:r>
      <w:r>
        <w:t>UK, France, Denmark), the system anticipates FDLs a median 4</w:t>
      </w:r>
      <w:r>
        <w:rPr>
          <w:rFonts w:ascii="Aptos" w:hAnsi="Aptos" w:cs="Aptos"/>
        </w:rPr>
        <w:t>–</w:t>
      </w:r>
      <w:r>
        <w:t>17</w:t>
      </w:r>
      <w:r>
        <w:rPr>
          <w:rFonts w:ascii="Arial" w:hAnsi="Arial" w:cs="Arial"/>
        </w:rPr>
        <w:t> </w:t>
      </w:r>
      <w:r>
        <w:t>weeks before they cross the dominance threshold, with positive</w:t>
      </w:r>
      <w:r>
        <w:noBreakHyphen/>
        <w:t>predictive values of 0.30</w:t>
      </w:r>
      <w:r>
        <w:rPr>
          <w:rFonts w:ascii="Aptos" w:hAnsi="Aptos" w:cs="Aptos"/>
        </w:rPr>
        <w:t>–</w:t>
      </w:r>
      <w:r>
        <w:t>0.57 and a median top</w:t>
      </w:r>
      <w:r>
        <w:noBreakHyphen/>
        <w:t>10 ranking of true positives, outperforming supervised baselines by 5</w:t>
      </w:r>
      <w:r>
        <w:noBreakHyphen/>
        <w:t xml:space="preserve"> to</w:t>
      </w:r>
      <w:r>
        <w:rPr>
          <w:rFonts w:ascii="Arial" w:hAnsi="Arial" w:cs="Arial"/>
        </w:rPr>
        <w:t> </w:t>
      </w:r>
      <w:r>
        <w:t>25</w:t>
      </w:r>
      <w:r>
        <w:noBreakHyphen/>
        <w:t xml:space="preserve">fold. Because </w:t>
      </w:r>
      <w:proofErr w:type="spellStart"/>
      <w:r>
        <w:t>DeepAutoCoV</w:t>
      </w:r>
      <w:proofErr w:type="spellEnd"/>
      <w:r>
        <w:t xml:space="preserve"> highlights the specific spike k</w:t>
      </w:r>
      <w:r>
        <w:noBreakHyphen/>
      </w:r>
      <w:proofErr w:type="spellStart"/>
      <w:r>
        <w:t>mers</w:t>
      </w:r>
      <w:proofErr w:type="spellEnd"/>
      <w:r>
        <w:t xml:space="preserve"> it reconstructs poorly, it also pinpoints mutations that likely drive fitness advantages (e.g., P681R in Delta; Y505H in Omicron BA.2), providing mechanistic clues for laboratory follow</w:t>
      </w:r>
      <w:r>
        <w:noBreakHyphen/>
        <w:t>up. The authors argue that embedding such anomaly</w:t>
      </w:r>
      <w:r>
        <w:noBreakHyphen/>
        <w:t>detection models in genomic</w:t>
      </w:r>
      <w:r>
        <w:noBreakHyphen/>
        <w:t>surveillance pipelines can shorten the time from variant emergence to public</w:t>
      </w:r>
      <w:r>
        <w:noBreakHyphen/>
        <w:t xml:space="preserve">health response, and the framework is readily generalizable to other rapidly evolving viruses. </w:t>
      </w:r>
    </w:p>
    <w:p w14:paraId="66CEF474" w14:textId="77777777" w:rsidR="006E0A6B" w:rsidRDefault="006E0A6B"/>
    <w:p w14:paraId="2B73BCC2" w14:textId="77777777" w:rsidR="00011668" w:rsidRDefault="00011668" w:rsidP="00011668">
      <w:pPr>
        <w:pStyle w:val="NormalWeb"/>
        <w:rPr>
          <w:rFonts w:eastAsiaTheme="minorEastAsia"/>
        </w:rPr>
      </w:pPr>
      <w:r>
        <w:lastRenderedPageBreak/>
        <w:t xml:space="preserve">Global Prediction of COVID-19 Variant Emergence Using Dynamics-Informed Graph Neural Networks </w:t>
      </w:r>
    </w:p>
    <w:p w14:paraId="50F79871" w14:textId="77777777" w:rsidR="005D2000" w:rsidRDefault="005D2000" w:rsidP="005D2000">
      <w:pPr>
        <w:pStyle w:val="NormalWeb"/>
      </w:pPr>
      <w:r>
        <w:t>Al </w:t>
      </w:r>
      <w:proofErr w:type="spellStart"/>
      <w:r>
        <w:t>Aawar</w:t>
      </w:r>
      <w:proofErr w:type="spellEnd"/>
      <w:r>
        <w:t xml:space="preserve"> et al. tackle </w:t>
      </w:r>
      <w:proofErr w:type="gramStart"/>
      <w:r>
        <w:t>a question genomic</w:t>
      </w:r>
      <w:r>
        <w:noBreakHyphen/>
        <w:t>surveillance teams</w:t>
      </w:r>
      <w:proofErr w:type="gramEnd"/>
      <w:r>
        <w:t xml:space="preserve"> routinely face but statistical models rarely answer: </w:t>
      </w:r>
      <w:r>
        <w:rPr>
          <w:rStyle w:val="Emphasis"/>
          <w:rFonts w:eastAsiaTheme="majorEastAsia"/>
        </w:rPr>
        <w:t>If a new SARS</w:t>
      </w:r>
      <w:r>
        <w:rPr>
          <w:rStyle w:val="Emphasis"/>
          <w:rFonts w:eastAsiaTheme="majorEastAsia"/>
        </w:rPr>
        <w:noBreakHyphen/>
        <w:t>CoV</w:t>
      </w:r>
      <w:r>
        <w:rPr>
          <w:rStyle w:val="Emphasis"/>
          <w:rFonts w:eastAsiaTheme="majorEastAsia"/>
        </w:rPr>
        <w:noBreakHyphen/>
        <w:t>2 variant is already spreading abroad, when will it reach measurable prevalence (e.g., 10 %) in my country?</w:t>
      </w:r>
      <w:r>
        <w:t xml:space="preserve"> Using bi</w:t>
      </w:r>
      <w:r>
        <w:noBreakHyphen/>
        <w:t xml:space="preserve">weekly </w:t>
      </w:r>
      <w:proofErr w:type="spellStart"/>
      <w:r>
        <w:t>CoVariants</w:t>
      </w:r>
      <w:proofErr w:type="spellEnd"/>
      <w:r>
        <w:t xml:space="preserve"> data derived from &gt; 9 million GISAID genomes covering </w:t>
      </w:r>
      <w:r>
        <w:rPr>
          <w:rStyle w:val="Strong"/>
          <w:rFonts w:eastAsiaTheme="majorEastAsia"/>
        </w:rPr>
        <w:t>36 variants and 87 countries (Aug 2020 – Oct 2023)</w:t>
      </w:r>
      <w:r>
        <w:t>, the authors cast this “emergence</w:t>
      </w:r>
      <w:r>
        <w:noBreakHyphen/>
        <w:t xml:space="preserve">delay” problem as a regression task and build a </w:t>
      </w:r>
      <w:r>
        <w:rPr>
          <w:rStyle w:val="Strong"/>
          <w:rFonts w:eastAsiaTheme="majorEastAsia"/>
        </w:rPr>
        <w:t>variant</w:t>
      </w:r>
      <w:r>
        <w:rPr>
          <w:rStyle w:val="Strong"/>
          <w:rFonts w:eastAsiaTheme="majorEastAsia"/>
        </w:rPr>
        <w:noBreakHyphen/>
        <w:t>dynamics</w:t>
      </w:r>
      <w:r>
        <w:rPr>
          <w:rStyle w:val="Strong"/>
          <w:rFonts w:eastAsiaTheme="majorEastAsia"/>
        </w:rPr>
        <w:noBreakHyphen/>
        <w:t>informed graph neural network (GNN)</w:t>
      </w:r>
      <w:r>
        <w:t xml:space="preserve"> to solve </w:t>
      </w:r>
      <w:proofErr w:type="gramStart"/>
      <w:r>
        <w:t>it .</w:t>
      </w:r>
      <w:proofErr w:type="gramEnd"/>
    </w:p>
    <w:p w14:paraId="45A008D5" w14:textId="77777777" w:rsidR="005D2000" w:rsidRDefault="005D2000" w:rsidP="005D2000">
      <w:pPr>
        <w:pStyle w:val="NormalWeb"/>
      </w:pPr>
      <w:r>
        <w:t xml:space="preserve">The pipeline begins by estimating a </w:t>
      </w:r>
      <w:r>
        <w:rPr>
          <w:rStyle w:val="Emphasis"/>
          <w:rFonts w:eastAsiaTheme="majorEastAsia"/>
        </w:rPr>
        <w:t>global growth rate</w:t>
      </w:r>
      <w:r>
        <w:t> </w:t>
      </w:r>
      <w:proofErr w:type="spellStart"/>
      <w:r>
        <w:rPr>
          <w:rStyle w:val="katex-mathml"/>
          <w:rFonts w:eastAsiaTheme="majorEastAsia"/>
        </w:rPr>
        <w:t>SiS_i</w:t>
      </w:r>
      <w:r>
        <w:rPr>
          <w:rStyle w:val="mord"/>
          <w:rFonts w:eastAsiaTheme="majorEastAsia"/>
        </w:rPr>
        <w:t>Si</w:t>
      </w:r>
      <w:proofErr w:type="spellEnd"/>
      <w:r>
        <w:rPr>
          <w:rStyle w:val="vlist-s"/>
        </w:rPr>
        <w:t>​</w:t>
      </w:r>
      <w:r>
        <w:t xml:space="preserve"> for every lineage from pair</w:t>
      </w:r>
      <w:r>
        <w:noBreakHyphen/>
        <w:t>wise relative</w:t>
      </w:r>
      <w:r>
        <w:noBreakHyphen/>
        <w:t>growth data; together with the recent time</w:t>
      </w:r>
      <w:r>
        <w:noBreakHyphen/>
        <w:t>series of log</w:t>
      </w:r>
      <w:r>
        <w:noBreakHyphen/>
        <w:t xml:space="preserve">prevalence ratios </w:t>
      </w:r>
      <w:proofErr w:type="spellStart"/>
      <w:r>
        <w:rPr>
          <w:rStyle w:val="katex-mathml"/>
          <w:rFonts w:eastAsiaTheme="majorEastAsia"/>
        </w:rPr>
        <w:t>rijr</w:t>
      </w:r>
      <w:proofErr w:type="spellEnd"/>
      <w:r>
        <w:rPr>
          <w:rStyle w:val="katex-mathml"/>
          <w:rFonts w:eastAsiaTheme="majorEastAsia"/>
        </w:rPr>
        <w:t>_{</w:t>
      </w:r>
      <w:proofErr w:type="spellStart"/>
      <w:r>
        <w:rPr>
          <w:rStyle w:val="katex-mathml"/>
          <w:rFonts w:eastAsiaTheme="majorEastAsia"/>
        </w:rPr>
        <w:t>ij</w:t>
      </w:r>
      <w:proofErr w:type="spellEnd"/>
      <w:r>
        <w:rPr>
          <w:rStyle w:val="katex-mathml"/>
          <w:rFonts w:eastAsiaTheme="majorEastAsia"/>
        </w:rPr>
        <w:t>}</w:t>
      </w:r>
      <w:proofErr w:type="spellStart"/>
      <w:r>
        <w:rPr>
          <w:rStyle w:val="mord"/>
          <w:rFonts w:eastAsiaTheme="majorEastAsia"/>
        </w:rPr>
        <w:t>rij</w:t>
      </w:r>
      <w:proofErr w:type="spellEnd"/>
      <w:r>
        <w:rPr>
          <w:rStyle w:val="vlist-s"/>
        </w:rPr>
        <w:t>​</w:t>
      </w:r>
      <w:r>
        <w:t>, these rates form node features. Countries are nodes, land</w:t>
      </w:r>
      <w:r>
        <w:noBreakHyphen/>
        <w:t xml:space="preserve">border links are edges whose weights change over time with </w:t>
      </w:r>
      <w:proofErr w:type="spellStart"/>
      <w:r>
        <w:t>OxCGRT</w:t>
      </w:r>
      <w:proofErr w:type="spellEnd"/>
      <w:r>
        <w:t xml:space="preserve"> travel</w:t>
      </w:r>
      <w:r>
        <w:noBreakHyphen/>
        <w:t>restriction indices. A lightweight architecture—</w:t>
      </w:r>
      <w:r>
        <w:rPr>
          <w:rStyle w:val="Strong"/>
          <w:rFonts w:eastAsiaTheme="majorEastAsia"/>
        </w:rPr>
        <w:t>GRU encoder → single graph</w:t>
      </w:r>
      <w:r>
        <w:rPr>
          <w:rStyle w:val="Strong"/>
          <w:rFonts w:eastAsiaTheme="majorEastAsia"/>
        </w:rPr>
        <w:noBreakHyphen/>
        <w:t>convolution layer → fully connected head (FA</w:t>
      </w:r>
      <w:r>
        <w:rPr>
          <w:rStyle w:val="Strong"/>
          <w:rFonts w:eastAsiaTheme="majorEastAsia"/>
        </w:rPr>
        <w:noBreakHyphen/>
        <w:t>GCN)</w:t>
      </w:r>
      <w:r>
        <w:t xml:space="preserve">—learns from these </w:t>
      </w:r>
      <w:proofErr w:type="spellStart"/>
      <w:r>
        <w:t>spatio</w:t>
      </w:r>
      <w:proofErr w:type="spellEnd"/>
      <w:r>
        <w:noBreakHyphen/>
        <w:t>temporal graphs, while a linear “dynamics</w:t>
      </w:r>
      <w:r>
        <w:noBreakHyphen/>
        <w:t>based” model derived analytically serves as a mechanistic baseline.</w:t>
      </w:r>
    </w:p>
    <w:p w14:paraId="277FAECB" w14:textId="245A1168" w:rsidR="005D2000" w:rsidRDefault="005D2000" w:rsidP="005D2000">
      <w:pPr>
        <w:pStyle w:val="NormalWeb"/>
      </w:pPr>
      <w:r>
        <w:t>Across all variants, FA</w:t>
      </w:r>
      <w:r>
        <w:noBreakHyphen/>
        <w:t xml:space="preserve">GCN predicts the week a lineage will pass the 10 % threshold </w:t>
      </w:r>
      <w:r>
        <w:rPr>
          <w:rStyle w:val="Strong"/>
          <w:rFonts w:eastAsiaTheme="majorEastAsia"/>
        </w:rPr>
        <w:t>a median 1.29 weeks from the truth</w:t>
      </w:r>
      <w:r>
        <w:t>, beating the baseline dynamics model (2.90 weeks) and classical ML models such as MLPs, decision trees, plain GRUs, and PINN</w:t>
      </w:r>
      <w:r>
        <w:noBreakHyphen/>
        <w:t xml:space="preserve">style </w:t>
      </w:r>
      <w:proofErr w:type="gramStart"/>
      <w:r>
        <w:t>GCNs .</w:t>
      </w:r>
      <w:proofErr w:type="gramEnd"/>
      <w:r>
        <w:t xml:space="preserve"> Ablation tests show that (</w:t>
      </w:r>
      <w:proofErr w:type="spellStart"/>
      <w:r>
        <w:t>i</w:t>
      </w:r>
      <w:proofErr w:type="spellEnd"/>
      <w:r>
        <w:t xml:space="preserve">) including both </w:t>
      </w:r>
      <w:proofErr w:type="spellStart"/>
      <w:r>
        <w:rPr>
          <w:rStyle w:val="katex-mathml"/>
          <w:rFonts w:eastAsiaTheme="majorEastAsia"/>
        </w:rPr>
        <w:t>SiS_i</w:t>
      </w:r>
      <w:r>
        <w:rPr>
          <w:rStyle w:val="mord"/>
          <w:rFonts w:eastAsiaTheme="majorEastAsia"/>
        </w:rPr>
        <w:t>Si</w:t>
      </w:r>
      <w:proofErr w:type="spellEnd"/>
      <w:r>
        <w:rPr>
          <w:rStyle w:val="vlist-s"/>
        </w:rPr>
        <w:t>​</w:t>
      </w:r>
      <w:r>
        <w:t xml:space="preserve"> and </w:t>
      </w:r>
      <w:proofErr w:type="spellStart"/>
      <w:r>
        <w:rPr>
          <w:rStyle w:val="katex-mathml"/>
          <w:rFonts w:eastAsiaTheme="majorEastAsia"/>
        </w:rPr>
        <w:t>rijr</w:t>
      </w:r>
      <w:proofErr w:type="spellEnd"/>
      <w:r>
        <w:rPr>
          <w:rStyle w:val="katex-mathml"/>
          <w:rFonts w:eastAsiaTheme="majorEastAsia"/>
        </w:rPr>
        <w:t>_{</w:t>
      </w:r>
      <w:proofErr w:type="spellStart"/>
      <w:r>
        <w:rPr>
          <w:rStyle w:val="katex-mathml"/>
          <w:rFonts w:eastAsiaTheme="majorEastAsia"/>
        </w:rPr>
        <w:t>ij</w:t>
      </w:r>
      <w:proofErr w:type="spellEnd"/>
      <w:r>
        <w:rPr>
          <w:rStyle w:val="katex-mathml"/>
          <w:rFonts w:eastAsiaTheme="majorEastAsia"/>
        </w:rPr>
        <w:t>}</w:t>
      </w:r>
      <w:proofErr w:type="spellStart"/>
      <w:r>
        <w:rPr>
          <w:rStyle w:val="mord"/>
          <w:rFonts w:eastAsiaTheme="majorEastAsia"/>
        </w:rPr>
        <w:t>rij</w:t>
      </w:r>
      <w:proofErr w:type="spellEnd"/>
      <w:r>
        <w:rPr>
          <w:rStyle w:val="vlist-s"/>
        </w:rPr>
        <w:t>​</w:t>
      </w:r>
      <w:r>
        <w:t xml:space="preserve"> features is critical; (ii) simple adjacency graphs outperform flight</w:t>
      </w:r>
      <w:r>
        <w:noBreakHyphen/>
        <w:t>route or fully connected graphs; and (iii) adding physics</w:t>
      </w:r>
      <w:r>
        <w:noBreakHyphen/>
        <w:t>informed loss terms is unnecessary once dynamics</w:t>
      </w:r>
      <w:r>
        <w:noBreakHyphen/>
        <w:t>based features are provided.</w:t>
      </w:r>
    </w:p>
    <w:p w14:paraId="68616C4C" w14:textId="77777777" w:rsidR="005D2000" w:rsidRDefault="005D2000" w:rsidP="005D2000">
      <w:pPr>
        <w:pStyle w:val="NormalWeb"/>
      </w:pPr>
      <w:r>
        <w:t>Beyond the model itself, the authors release an open</w:t>
      </w:r>
      <w:r>
        <w:noBreakHyphen/>
        <w:t xml:space="preserve">source </w:t>
      </w:r>
      <w:r>
        <w:rPr>
          <w:rStyle w:val="Strong"/>
          <w:rFonts w:eastAsiaTheme="majorEastAsia"/>
        </w:rPr>
        <w:t>benchmarking pipeline</w:t>
      </w:r>
      <w:r>
        <w:t xml:space="preserve"> that trains every method retrospectively—mirroring real</w:t>
      </w:r>
      <w:r>
        <w:noBreakHyphen/>
        <w:t>time use—and reports four median absolute</w:t>
      </w:r>
      <w:r>
        <w:noBreakHyphen/>
        <w:t>error metrics, establishing the first public yard</w:t>
      </w:r>
      <w:r>
        <w:noBreakHyphen/>
        <w:t>stick for global variant</w:t>
      </w:r>
      <w:r>
        <w:noBreakHyphen/>
        <w:t>arrival forecasts. The work demonstrates how lightweight, dynamics</w:t>
      </w:r>
      <w:r>
        <w:noBreakHyphen/>
        <w:t>aware GNNs can turn raw genomic surveillance streams into actionable lead</w:t>
      </w:r>
      <w:r>
        <w:noBreakHyphen/>
        <w:t>times for policy makers worldwide.</w:t>
      </w:r>
    </w:p>
    <w:p w14:paraId="235684A8" w14:textId="0C9DAD5C" w:rsidR="00011668" w:rsidRDefault="00011668">
      <w:pPr>
        <w:rPr>
          <w:rStyle w:val="Strong"/>
        </w:rPr>
      </w:pPr>
      <w:proofErr w:type="spellStart"/>
      <w:r>
        <w:t>CovTransformer</w:t>
      </w:r>
      <w:proofErr w:type="spellEnd"/>
      <w:r>
        <w:t>: A transformer model for SARS-CoV-2 lineage frequency forecasting</w:t>
      </w:r>
    </w:p>
    <w:p w14:paraId="4EFAC7F8" w14:textId="23F9058C" w:rsidR="005D2000" w:rsidRDefault="005D2000">
      <w:proofErr w:type="spellStart"/>
      <w:r>
        <w:rPr>
          <w:rStyle w:val="Strong"/>
        </w:rPr>
        <w:t>CovTransformer</w:t>
      </w:r>
      <w:proofErr w:type="spellEnd"/>
      <w:r>
        <w:t xml:space="preserve"> is a single</w:t>
      </w:r>
      <w:r>
        <w:noBreakHyphen/>
        <w:t>layer transformer that ingests 42</w:t>
      </w:r>
      <w:r>
        <w:rPr>
          <w:rFonts w:ascii="Arial" w:hAnsi="Arial" w:cs="Arial"/>
        </w:rPr>
        <w:t> </w:t>
      </w:r>
      <w:r>
        <w:t>days of noisy lineage</w:t>
      </w:r>
      <w:r>
        <w:noBreakHyphen/>
        <w:t>frequency data and, through incremental learning and loss weighting, forecasts each SARS</w:t>
      </w:r>
      <w:r>
        <w:noBreakHyphen/>
        <w:t>CoV</w:t>
      </w:r>
      <w:r>
        <w:noBreakHyphen/>
        <w:t>2 lineage</w:t>
      </w:r>
      <w:r>
        <w:rPr>
          <w:rFonts w:ascii="Aptos" w:hAnsi="Aptos" w:cs="Aptos"/>
        </w:rPr>
        <w:t>’</w:t>
      </w:r>
      <w:r>
        <w:t>s share up to 60</w:t>
      </w:r>
      <w:r>
        <w:rPr>
          <w:rFonts w:ascii="Arial" w:hAnsi="Arial" w:cs="Arial"/>
        </w:rPr>
        <w:t> </w:t>
      </w:r>
      <w:r>
        <w:t>days ahead. On held</w:t>
      </w:r>
      <w:r>
        <w:noBreakHyphen/>
        <w:t xml:space="preserve">out U.S./UK data it attains mean absolute errors of </w:t>
      </w:r>
      <w:r>
        <w:rPr>
          <w:rStyle w:val="Strong"/>
        </w:rPr>
        <w:t>0.32–0.42</w:t>
      </w:r>
      <w:r>
        <w:t xml:space="preserve">, essentially the noise floor of the </w:t>
      </w:r>
      <w:proofErr w:type="gramStart"/>
      <w:r>
        <w:t>dataset .</w:t>
      </w:r>
      <w:proofErr w:type="gramEnd"/>
      <w:r>
        <w:t xml:space="preserve"> The model reliably flags future dominant variants </w:t>
      </w:r>
      <w:r>
        <w:rPr>
          <w:rStyle w:val="Strong"/>
        </w:rPr>
        <w:t>≈7</w:t>
      </w:r>
      <w:r>
        <w:rPr>
          <w:rStyle w:val="Strong"/>
          <w:rFonts w:ascii="Arial" w:hAnsi="Arial" w:cs="Arial"/>
        </w:rPr>
        <w:t> </w:t>
      </w:r>
      <w:r>
        <w:rPr>
          <w:rStyle w:val="Strong"/>
        </w:rPr>
        <w:t>weeks before they actually take over</w:t>
      </w:r>
      <w:r>
        <w:t xml:space="preserve"> and outperforms </w:t>
      </w:r>
      <w:proofErr w:type="spellStart"/>
      <w:r>
        <w:t>Nextstrain’s</w:t>
      </w:r>
      <w:proofErr w:type="spellEnd"/>
      <w:r>
        <w:t xml:space="preserve"> multinomial</w:t>
      </w:r>
      <w:r>
        <w:noBreakHyphen/>
        <w:t>logistic baseline by cutting 14</w:t>
      </w:r>
      <w:r>
        <w:noBreakHyphen/>
        <w:t xml:space="preserve"> to 28</w:t>
      </w:r>
      <w:r>
        <w:noBreakHyphen/>
        <w:t>day errors from &gt;0.5 to &lt;0.36 while retaining high precision for fast</w:t>
      </w:r>
      <w:r>
        <w:noBreakHyphen/>
        <w:t xml:space="preserve">growing </w:t>
      </w:r>
      <w:proofErr w:type="gramStart"/>
      <w:r>
        <w:t>lineages .</w:t>
      </w:r>
      <w:proofErr w:type="gramEnd"/>
      <w:r>
        <w:t xml:space="preserve"> Despite its accuracy, </w:t>
      </w:r>
      <w:proofErr w:type="spellStart"/>
      <w:r>
        <w:t>CovTransformer</w:t>
      </w:r>
      <w:proofErr w:type="spellEnd"/>
      <w:r>
        <w:t xml:space="preserve"> is lightweight—</w:t>
      </w:r>
      <w:r>
        <w:rPr>
          <w:rStyle w:val="Strong"/>
        </w:rPr>
        <w:t>≈1.6</w:t>
      </w:r>
      <w:r>
        <w:rPr>
          <w:rStyle w:val="Strong"/>
          <w:rFonts w:ascii="Arial" w:hAnsi="Arial" w:cs="Arial"/>
        </w:rPr>
        <w:t> </w:t>
      </w:r>
      <w:r>
        <w:rPr>
          <w:rStyle w:val="Strong"/>
        </w:rPr>
        <w:t>k parameters, 0.0007</w:t>
      </w:r>
      <w:r>
        <w:rPr>
          <w:rStyle w:val="Strong"/>
          <w:rFonts w:ascii="Arial" w:hAnsi="Arial" w:cs="Arial"/>
        </w:rPr>
        <w:t> </w:t>
      </w:r>
      <w:r>
        <w:rPr>
          <w:rStyle w:val="Strong"/>
        </w:rPr>
        <w:t>s inference per lineage on a CPU</w:t>
      </w:r>
      <w:r>
        <w:t xml:space="preserve">—so it can run on a laptop and retrains in about an hour on a single </w:t>
      </w:r>
      <w:proofErr w:type="gramStart"/>
      <w:r>
        <w:t>GPU .</w:t>
      </w:r>
      <w:proofErr w:type="gramEnd"/>
      <w:r>
        <w:t xml:space="preserve"> When applied to 31 other well</w:t>
      </w:r>
      <w:r>
        <w:noBreakHyphen/>
        <w:t xml:space="preserve">sequenced countries and all U.S. states, performance stays strong </w:t>
      </w:r>
      <w:r>
        <w:lastRenderedPageBreak/>
        <w:t>and improves linearly with sequencing depth (Pearson</w:t>
      </w:r>
      <w:r>
        <w:rPr>
          <w:rFonts w:ascii="Arial" w:hAnsi="Arial" w:cs="Arial"/>
        </w:rPr>
        <w:t> </w:t>
      </w:r>
      <w:r>
        <w:t>r</w:t>
      </w:r>
      <w:r>
        <w:rPr>
          <w:rFonts w:ascii="Arial" w:hAnsi="Arial" w:cs="Arial"/>
        </w:rPr>
        <w:t> </w:t>
      </w:r>
      <w:r>
        <w:t>=</w:t>
      </w:r>
      <w:r>
        <w:rPr>
          <w:rFonts w:ascii="Arial" w:hAnsi="Arial" w:cs="Arial"/>
        </w:rPr>
        <w:t> </w:t>
      </w:r>
      <w:r>
        <w:noBreakHyphen/>
        <w:t xml:space="preserve">0.82), underscoring its portability for global genomic surveillance </w:t>
      </w:r>
    </w:p>
    <w:p w14:paraId="687537ED" w14:textId="78E8CB15" w:rsidR="007E6150" w:rsidRDefault="007E6150">
      <w:r>
        <w:t>Fitness models provide accurate short-term forecasts of SARS-CoV-2 variant frequency</w:t>
      </w:r>
    </w:p>
    <w:p w14:paraId="42C8E31D" w14:textId="77777777" w:rsidR="007E6150" w:rsidRDefault="007E6150"/>
    <w:p w14:paraId="0E696079" w14:textId="77777777" w:rsidR="007E6150" w:rsidRDefault="007E6150" w:rsidP="007E6150">
      <w:pPr>
        <w:pStyle w:val="NormalWeb"/>
      </w:pPr>
      <w:r>
        <w:t xml:space="preserve">The </w:t>
      </w:r>
      <w:proofErr w:type="spellStart"/>
      <w:r>
        <w:t>medRxiv</w:t>
      </w:r>
      <w:proofErr w:type="spellEnd"/>
      <w:r>
        <w:t xml:space="preserve"> preprint by </w:t>
      </w:r>
      <w:proofErr w:type="spellStart"/>
      <w:r>
        <w:t>Abousamra</w:t>
      </w:r>
      <w:proofErr w:type="spellEnd"/>
      <w:r>
        <w:t xml:space="preserve">, Figgins, and Bedford (posted January 22, 2024) investigates the accuracy of fitness models, particularly Multinomial Logistic Regression (MLR), for forecasting short-term SARS-CoV-2 variant frequency dynamics. The study evaluates models like MLR, Fixed Growth Advantage (FGA), and Growth Advantage Random Walk (GARW) against a naive model, using sequence data from the GISAID database and case counts from Our World in Data. It finds that these models provide accurate short-term forecasts, with median absolute errors of 0.4–1.4% for 30-day forecasts, though mean errors are higher (5.8–9.6%) due to occasional large errors. The study highlights that sequencing intensity significantly impacts forecast accuracy, with 1,000 sequences per week sufficient for robust predictions, as demonstrated through systematic </w:t>
      </w:r>
      <w:proofErr w:type="spellStart"/>
      <w:r>
        <w:t>downsampling</w:t>
      </w:r>
      <w:proofErr w:type="spellEnd"/>
      <w:r>
        <w:t xml:space="preserve"> in high-sequencing countries like the UK and Denmark. The authors conclude that simple fitness models are effective for short-term forecasting but are limited by their inability to predict future mutations, suggesting further development of hierarchical models and integration of deep mutational scanning data for improved evolutionary forecasting.</w:t>
      </w:r>
    </w:p>
    <w:p w14:paraId="1BB586ED" w14:textId="77777777" w:rsidR="007E6150" w:rsidRDefault="007E6150"/>
    <w:p w14:paraId="2B743CBA" w14:textId="07D729C1" w:rsidR="00186EEB" w:rsidRDefault="00186EEB">
      <w:r>
        <w:rPr>
          <w:rStyle w:val="Strong"/>
        </w:rPr>
        <w:t>SARS</w:t>
      </w:r>
      <w:r>
        <w:rPr>
          <w:rStyle w:val="Strong"/>
        </w:rPr>
        <w:noBreakHyphen/>
        <w:t>CoV</w:t>
      </w:r>
      <w:r>
        <w:rPr>
          <w:rStyle w:val="Strong"/>
        </w:rPr>
        <w:noBreakHyphen/>
        <w:t>2 evolution on a dynamic immune landscape (Raharinirina</w:t>
      </w:r>
      <w:r>
        <w:rPr>
          <w:rStyle w:val="Strong"/>
          <w:rFonts w:ascii="Arial" w:hAnsi="Arial" w:cs="Arial"/>
        </w:rPr>
        <w:t> </w:t>
      </w:r>
      <w:r>
        <w:rPr>
          <w:rStyle w:val="Strong"/>
        </w:rPr>
        <w:t>et</w:t>
      </w:r>
      <w:r>
        <w:rPr>
          <w:rStyle w:val="Strong"/>
          <w:rFonts w:ascii="Arial" w:hAnsi="Arial" w:cs="Arial"/>
        </w:rPr>
        <w:t> </w:t>
      </w:r>
      <w:r>
        <w:rPr>
          <w:rStyle w:val="Strong"/>
        </w:rPr>
        <w:t>al.,</w:t>
      </w:r>
      <w:r>
        <w:rPr>
          <w:rStyle w:val="Strong"/>
          <w:rFonts w:ascii="Arial" w:hAnsi="Arial" w:cs="Arial"/>
        </w:rPr>
        <w:t> </w:t>
      </w:r>
      <w:r>
        <w:rPr>
          <w:rStyle w:val="Strong"/>
        </w:rPr>
        <w:t>2025)</w:t>
      </w:r>
      <w:r>
        <w:br/>
        <w:t>Raharinirina and co</w:t>
      </w:r>
      <w:r>
        <w:noBreakHyphen/>
        <w:t>authors develop a mechanistic “immune</w:t>
      </w:r>
      <w:r>
        <w:noBreakHyphen/>
        <w:t>landscape” model that fuses deep</w:t>
      </w:r>
      <w:r>
        <w:noBreakHyphen/>
        <w:t>mutational</w:t>
      </w:r>
      <w:r>
        <w:noBreakHyphen/>
        <w:t>scanning measurements of antibody escape with antibody pharmacokinetics and real</w:t>
      </w:r>
      <w:r>
        <w:noBreakHyphen/>
        <w:t>time genomic surveillance to estimate, week</w:t>
      </w:r>
      <w:r>
        <w:noBreakHyphen/>
        <w:t>by</w:t>
      </w:r>
      <w:r>
        <w:noBreakHyphen/>
        <w:t xml:space="preserve">week, the fraction of a population still susceptible to each </w:t>
      </w:r>
      <w:proofErr w:type="gramStart"/>
      <w:r>
        <w:t>variant .</w:t>
      </w:r>
      <w:proofErr w:type="gramEnd"/>
      <w:r>
        <w:t xml:space="preserve"> </w:t>
      </w:r>
      <w:r w:rsidRPr="00186EEB">
        <w:rPr>
          <w:highlight w:val="yellow"/>
        </w:rPr>
        <w:t>This single metric accurately reproduces past waves, explains why variant dominance differs between countries, and prospectively predicted the late</w:t>
      </w:r>
      <w:r w:rsidRPr="00186EEB">
        <w:rPr>
          <w:highlight w:val="yellow"/>
        </w:rPr>
        <w:noBreakHyphen/>
        <w:t>2023 global rise of BA.2.86/JN.1, correctly anticipating the</w:t>
      </w:r>
      <w:r>
        <w:t xml:space="preserve"> steepest growth in the United </w:t>
      </w:r>
      <w:proofErr w:type="gramStart"/>
      <w:r>
        <w:t>States .</w:t>
      </w:r>
      <w:proofErr w:type="gramEnd"/>
      <w:r>
        <w:t xml:space="preserve"> By identifying when an emerging lineage will encounter an “immunological niche,” the model can act as an early</w:t>
      </w:r>
      <w:r>
        <w:noBreakHyphen/>
        <w:t>warning system and guide region</w:t>
      </w:r>
      <w:r>
        <w:noBreakHyphen/>
        <w:t xml:space="preserve">specific vaccine design or other </w:t>
      </w:r>
      <w:proofErr w:type="gramStart"/>
      <w:r>
        <w:t>countermeasures .</w:t>
      </w:r>
      <w:proofErr w:type="gramEnd"/>
      <w:r>
        <w:t xml:space="preserve"> The framework is data</w:t>
      </w:r>
      <w:r>
        <w:noBreakHyphen/>
        <w:t>light (≈</w:t>
      </w:r>
      <w:r>
        <w:rPr>
          <w:rFonts w:ascii="Arial" w:hAnsi="Arial" w:cs="Arial"/>
        </w:rPr>
        <w:t> </w:t>
      </w:r>
      <w:r>
        <w:t>100 sequences per week suffice) and could be ported to other immune</w:t>
      </w:r>
      <w:r>
        <w:noBreakHyphen/>
        <w:t>evasive respiratory viruses.</w:t>
      </w:r>
    </w:p>
    <w:p w14:paraId="2976CADB" w14:textId="77777777" w:rsidR="00186EEB" w:rsidRDefault="00186EEB"/>
    <w:p w14:paraId="353784DF" w14:textId="471B36DC" w:rsidR="00186EEB" w:rsidRDefault="00D05279">
      <w:r>
        <w:rPr>
          <w:rStyle w:val="Strong"/>
        </w:rPr>
        <w:t>Sah</w:t>
      </w:r>
      <w:r>
        <w:rPr>
          <w:rStyle w:val="Strong"/>
          <w:rFonts w:ascii="Arial" w:hAnsi="Arial" w:cs="Arial"/>
        </w:rPr>
        <w:t> </w:t>
      </w:r>
      <w:r>
        <w:rPr>
          <w:rStyle w:val="Strong"/>
        </w:rPr>
        <w:t>et</w:t>
      </w:r>
      <w:r>
        <w:rPr>
          <w:rStyle w:val="Strong"/>
          <w:rFonts w:ascii="Arial" w:hAnsi="Arial" w:cs="Arial"/>
        </w:rPr>
        <w:t> </w:t>
      </w:r>
      <w:r>
        <w:rPr>
          <w:rStyle w:val="Strong"/>
        </w:rPr>
        <w:t xml:space="preserve">al., </w:t>
      </w:r>
      <w:r>
        <w:rPr>
          <w:rStyle w:val="Strong"/>
          <w:rFonts w:ascii="Aptos" w:hAnsi="Aptos" w:cs="Aptos"/>
        </w:rPr>
        <w:t>“</w:t>
      </w:r>
      <w:r>
        <w:rPr>
          <w:rStyle w:val="Strong"/>
        </w:rPr>
        <w:t>Quantifying the potential dominance of immune</w:t>
      </w:r>
      <w:r>
        <w:rPr>
          <w:rStyle w:val="Strong"/>
        </w:rPr>
        <w:noBreakHyphen/>
        <w:t>evading SARS</w:t>
      </w:r>
      <w:r>
        <w:rPr>
          <w:rStyle w:val="Strong"/>
        </w:rPr>
        <w:noBreakHyphen/>
        <w:t>CoV</w:t>
      </w:r>
      <w:r>
        <w:rPr>
          <w:rStyle w:val="Strong"/>
        </w:rPr>
        <w:noBreakHyphen/>
        <w:t>2 variants in the United States</w:t>
      </w:r>
      <w:r>
        <w:rPr>
          <w:rStyle w:val="Strong"/>
          <w:rFonts w:ascii="Aptos" w:hAnsi="Aptos" w:cs="Aptos"/>
        </w:rPr>
        <w:t>”</w:t>
      </w:r>
      <w:r>
        <w:rPr>
          <w:rStyle w:val="Strong"/>
        </w:rPr>
        <w:t xml:space="preserve"> (</w:t>
      </w:r>
      <w:proofErr w:type="spellStart"/>
      <w:r>
        <w:rPr>
          <w:rStyle w:val="Strong"/>
        </w:rPr>
        <w:t>medRxiv</w:t>
      </w:r>
      <w:proofErr w:type="spellEnd"/>
      <w:r>
        <w:rPr>
          <w:rStyle w:val="Strong"/>
          <w:rFonts w:ascii="Arial" w:hAnsi="Arial" w:cs="Arial"/>
        </w:rPr>
        <w:t> </w:t>
      </w:r>
      <w:r>
        <w:rPr>
          <w:rStyle w:val="Strong"/>
        </w:rPr>
        <w:t>preprint</w:t>
      </w:r>
      <w:r>
        <w:rPr>
          <w:rStyle w:val="Strong"/>
          <w:rFonts w:ascii="Arial" w:hAnsi="Arial" w:cs="Arial"/>
        </w:rPr>
        <w:t> </w:t>
      </w:r>
      <w:r>
        <w:rPr>
          <w:rStyle w:val="Strong"/>
        </w:rPr>
        <w:t>2021)</w:t>
      </w:r>
      <w:r>
        <w:br/>
        <w:t>Using an age</w:t>
      </w:r>
      <w:r>
        <w:noBreakHyphen/>
        <w:t>stratified agent</w:t>
      </w:r>
      <w:r>
        <w:noBreakHyphen/>
        <w:t xml:space="preserve">based model that includes Alpha, Gamma and Delta, the authors examine how combinations of higher transmissibility and reduced vaccine efficacy </w:t>
      </w:r>
      <w:r>
        <w:lastRenderedPageBreak/>
        <w:t>could shift U.S. variant dominance through December</w:t>
      </w:r>
      <w:r>
        <w:rPr>
          <w:rFonts w:ascii="Arial" w:hAnsi="Arial" w:cs="Arial"/>
        </w:rPr>
        <w:t> </w:t>
      </w:r>
      <w:r>
        <w:t>2021. They show Gamma is unlikely to prevail nationally, but Delta will dominate</w:t>
      </w:r>
      <w:r>
        <w:rPr>
          <w:rFonts w:ascii="Aptos" w:hAnsi="Aptos" w:cs="Aptos"/>
        </w:rPr>
        <w:t>—</w:t>
      </w:r>
      <w:r>
        <w:t>and drive a marked rise in cases and hospitalizations</w:t>
      </w:r>
      <w:r>
        <w:rPr>
          <w:rFonts w:ascii="Aptos" w:hAnsi="Aptos" w:cs="Aptos"/>
        </w:rPr>
        <w:t>—</w:t>
      </w:r>
      <w:r>
        <w:t>once its transmission advantage over Alpha exceeds ~10</w:t>
      </w:r>
      <w:r>
        <w:rPr>
          <w:rFonts w:ascii="Arial" w:hAnsi="Arial" w:cs="Arial"/>
        </w:rPr>
        <w:t> </w:t>
      </w:r>
      <w:r>
        <w:t xml:space="preserve">% or if vaccine efficacy against infection drops by </w:t>
      </w:r>
      <w:r>
        <w:rPr>
          <w:rFonts w:ascii="Aptos" w:hAnsi="Aptos" w:cs="Aptos"/>
        </w:rPr>
        <w:t>≥</w:t>
      </w:r>
      <w:r>
        <w:t>20</w:t>
      </w:r>
      <w:r>
        <w:rPr>
          <w:rFonts w:ascii="Arial" w:hAnsi="Arial" w:cs="Arial"/>
        </w:rPr>
        <w:t> </w:t>
      </w:r>
      <w:r>
        <w:t>%. A 30</w:t>
      </w:r>
      <w:r>
        <w:rPr>
          <w:rFonts w:ascii="Arial" w:hAnsi="Arial" w:cs="Arial"/>
        </w:rPr>
        <w:t> </w:t>
      </w:r>
      <w:r>
        <w:t>% transmission edge plus 30</w:t>
      </w:r>
      <w:r>
        <w:rPr>
          <w:rFonts w:ascii="Arial" w:hAnsi="Arial" w:cs="Arial"/>
        </w:rPr>
        <w:t> </w:t>
      </w:r>
      <w:r>
        <w:t>% vaccine</w:t>
      </w:r>
      <w:r>
        <w:noBreakHyphen/>
        <w:t>escape, for example, would yield ~355</w:t>
      </w:r>
      <w:r>
        <w:rPr>
          <w:rFonts w:ascii="Arial" w:hAnsi="Arial" w:cs="Arial"/>
        </w:rPr>
        <w:t> </w:t>
      </w:r>
      <w:r>
        <w:t>000 additional hospitalizations. The work stresses that rapid vaccination rollout and sustained non</w:t>
      </w:r>
      <w:r>
        <w:noBreakHyphen/>
        <w:t>pharmaceutical measures remain essential to curb immune</w:t>
      </w:r>
      <w:r>
        <w:noBreakHyphen/>
        <w:t>evading variants and underscores the global importance of equitable vaccine distribution.</w:t>
      </w:r>
    </w:p>
    <w:sectPr w:rsidR="00186E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panose1 w:val="020B0004020202020204"/>
    <w:charset w:val="00"/>
    <w:family w:val="swiss"/>
    <w:pitch w:val="variable"/>
    <w:sig w:usb0="20000287" w:usb1="00000003" w:usb2="00000000" w:usb3="00000000" w:csb0="0000019F" w:csb1="00000000"/>
  </w:font>
  <w:font w:name="Caecilia LT Std">
    <w:altName w:val="Calibri"/>
    <w:panose1 w:val="020B0604020202020204"/>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Roboto-Regular">
    <w:altName w:val="Roboto"/>
    <w:panose1 w:val="020B0604020202020204"/>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CE1B11"/>
    <w:multiLevelType w:val="multilevel"/>
    <w:tmpl w:val="44B068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09491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tDAxMjcwNTEzMDIxszBU0lEKTi0uzszPAykwrAUASeAfgCwAAAA="/>
  </w:docVars>
  <w:rsids>
    <w:rsidRoot w:val="00C54255"/>
    <w:rsid w:val="00011668"/>
    <w:rsid w:val="00186EEB"/>
    <w:rsid w:val="00196BCC"/>
    <w:rsid w:val="004B7646"/>
    <w:rsid w:val="00563EA8"/>
    <w:rsid w:val="00596933"/>
    <w:rsid w:val="005D2000"/>
    <w:rsid w:val="00636457"/>
    <w:rsid w:val="006E0A6B"/>
    <w:rsid w:val="0073762E"/>
    <w:rsid w:val="007E11FE"/>
    <w:rsid w:val="007E6150"/>
    <w:rsid w:val="0084125A"/>
    <w:rsid w:val="00BA2A30"/>
    <w:rsid w:val="00BC63FF"/>
    <w:rsid w:val="00BC6478"/>
    <w:rsid w:val="00C54255"/>
    <w:rsid w:val="00C96F28"/>
    <w:rsid w:val="00CB1F7E"/>
    <w:rsid w:val="00D05279"/>
    <w:rsid w:val="00E62096"/>
    <w:rsid w:val="00FB20A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A6A5B5"/>
  <w15:chartTrackingRefBased/>
  <w15:docId w15:val="{93AC7B88-1A00-4FF6-B81E-F063B3C9E9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42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42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42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42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42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42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42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42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42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42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42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42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42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42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42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42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42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4255"/>
    <w:rPr>
      <w:rFonts w:eastAsiaTheme="majorEastAsia" w:cstheme="majorBidi"/>
      <w:color w:val="272727" w:themeColor="text1" w:themeTint="D8"/>
    </w:rPr>
  </w:style>
  <w:style w:type="paragraph" w:styleId="Title">
    <w:name w:val="Title"/>
    <w:basedOn w:val="Normal"/>
    <w:next w:val="Normal"/>
    <w:link w:val="TitleChar"/>
    <w:uiPriority w:val="10"/>
    <w:qFormat/>
    <w:rsid w:val="00C542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42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42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42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4255"/>
    <w:pPr>
      <w:spacing w:before="160"/>
      <w:jc w:val="center"/>
    </w:pPr>
    <w:rPr>
      <w:i/>
      <w:iCs/>
      <w:color w:val="404040" w:themeColor="text1" w:themeTint="BF"/>
    </w:rPr>
  </w:style>
  <w:style w:type="character" w:customStyle="1" w:styleId="QuoteChar">
    <w:name w:val="Quote Char"/>
    <w:basedOn w:val="DefaultParagraphFont"/>
    <w:link w:val="Quote"/>
    <w:uiPriority w:val="29"/>
    <w:rsid w:val="00C54255"/>
    <w:rPr>
      <w:i/>
      <w:iCs/>
      <w:color w:val="404040" w:themeColor="text1" w:themeTint="BF"/>
    </w:rPr>
  </w:style>
  <w:style w:type="paragraph" w:styleId="ListParagraph">
    <w:name w:val="List Paragraph"/>
    <w:basedOn w:val="Normal"/>
    <w:uiPriority w:val="34"/>
    <w:qFormat/>
    <w:rsid w:val="00C54255"/>
    <w:pPr>
      <w:ind w:left="720"/>
      <w:contextualSpacing/>
    </w:pPr>
  </w:style>
  <w:style w:type="character" w:styleId="IntenseEmphasis">
    <w:name w:val="Intense Emphasis"/>
    <w:basedOn w:val="DefaultParagraphFont"/>
    <w:uiPriority w:val="21"/>
    <w:qFormat/>
    <w:rsid w:val="00C54255"/>
    <w:rPr>
      <w:i/>
      <w:iCs/>
      <w:color w:val="0F4761" w:themeColor="accent1" w:themeShade="BF"/>
    </w:rPr>
  </w:style>
  <w:style w:type="paragraph" w:styleId="IntenseQuote">
    <w:name w:val="Intense Quote"/>
    <w:basedOn w:val="Normal"/>
    <w:next w:val="Normal"/>
    <w:link w:val="IntenseQuoteChar"/>
    <w:uiPriority w:val="30"/>
    <w:qFormat/>
    <w:rsid w:val="00C542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4255"/>
    <w:rPr>
      <w:i/>
      <w:iCs/>
      <w:color w:val="0F4761" w:themeColor="accent1" w:themeShade="BF"/>
    </w:rPr>
  </w:style>
  <w:style w:type="character" w:styleId="IntenseReference">
    <w:name w:val="Intense Reference"/>
    <w:basedOn w:val="DefaultParagraphFont"/>
    <w:uiPriority w:val="32"/>
    <w:qFormat/>
    <w:rsid w:val="00C54255"/>
    <w:rPr>
      <w:b/>
      <w:bCs/>
      <w:smallCaps/>
      <w:color w:val="0F4761" w:themeColor="accent1" w:themeShade="BF"/>
      <w:spacing w:val="5"/>
    </w:rPr>
  </w:style>
  <w:style w:type="character" w:styleId="Strong">
    <w:name w:val="Strong"/>
    <w:basedOn w:val="DefaultParagraphFont"/>
    <w:uiPriority w:val="22"/>
    <w:qFormat/>
    <w:rsid w:val="00C54255"/>
    <w:rPr>
      <w:b/>
      <w:bCs/>
    </w:rPr>
  </w:style>
  <w:style w:type="paragraph" w:styleId="NormalWeb">
    <w:name w:val="Normal (Web)"/>
    <w:basedOn w:val="Normal"/>
    <w:uiPriority w:val="99"/>
    <w:semiHidden/>
    <w:unhideWhenUsed/>
    <w:rsid w:val="00BC6478"/>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Default">
    <w:name w:val="Default"/>
    <w:rsid w:val="00BC6478"/>
    <w:pPr>
      <w:autoSpaceDE w:val="0"/>
      <w:autoSpaceDN w:val="0"/>
      <w:adjustRightInd w:val="0"/>
      <w:spacing w:after="0" w:line="240" w:lineRule="auto"/>
    </w:pPr>
    <w:rPr>
      <w:rFonts w:ascii="Caecilia LT Std" w:hAnsi="Caecilia LT Std" w:cs="Caecilia LT Std"/>
      <w:color w:val="000000"/>
      <w:kern w:val="0"/>
    </w:rPr>
  </w:style>
  <w:style w:type="character" w:styleId="Emphasis">
    <w:name w:val="Emphasis"/>
    <w:basedOn w:val="DefaultParagraphFont"/>
    <w:uiPriority w:val="20"/>
    <w:qFormat/>
    <w:rsid w:val="005D2000"/>
    <w:rPr>
      <w:i/>
      <w:iCs/>
    </w:rPr>
  </w:style>
  <w:style w:type="character" w:customStyle="1" w:styleId="katex-mathml">
    <w:name w:val="katex-mathml"/>
    <w:basedOn w:val="DefaultParagraphFont"/>
    <w:rsid w:val="005D2000"/>
  </w:style>
  <w:style w:type="character" w:customStyle="1" w:styleId="mord">
    <w:name w:val="mord"/>
    <w:basedOn w:val="DefaultParagraphFont"/>
    <w:rsid w:val="005D2000"/>
  </w:style>
  <w:style w:type="character" w:customStyle="1" w:styleId="vlist-s">
    <w:name w:val="vlist-s"/>
    <w:basedOn w:val="DefaultParagraphFont"/>
    <w:rsid w:val="005D200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0982339">
      <w:bodyDiv w:val="1"/>
      <w:marLeft w:val="0"/>
      <w:marRight w:val="0"/>
      <w:marTop w:val="0"/>
      <w:marBottom w:val="0"/>
      <w:divBdr>
        <w:top w:val="none" w:sz="0" w:space="0" w:color="auto"/>
        <w:left w:val="none" w:sz="0" w:space="0" w:color="auto"/>
        <w:bottom w:val="none" w:sz="0" w:space="0" w:color="auto"/>
        <w:right w:val="none" w:sz="0" w:space="0" w:color="auto"/>
      </w:divBdr>
    </w:div>
    <w:div w:id="1296373285">
      <w:bodyDiv w:val="1"/>
      <w:marLeft w:val="0"/>
      <w:marRight w:val="0"/>
      <w:marTop w:val="0"/>
      <w:marBottom w:val="0"/>
      <w:divBdr>
        <w:top w:val="none" w:sz="0" w:space="0" w:color="auto"/>
        <w:left w:val="none" w:sz="0" w:space="0" w:color="auto"/>
        <w:bottom w:val="none" w:sz="0" w:space="0" w:color="auto"/>
        <w:right w:val="none" w:sz="0" w:space="0" w:color="auto"/>
      </w:divBdr>
    </w:div>
    <w:div w:id="1521507980">
      <w:bodyDiv w:val="1"/>
      <w:marLeft w:val="0"/>
      <w:marRight w:val="0"/>
      <w:marTop w:val="0"/>
      <w:marBottom w:val="0"/>
      <w:divBdr>
        <w:top w:val="none" w:sz="0" w:space="0" w:color="auto"/>
        <w:left w:val="none" w:sz="0" w:space="0" w:color="auto"/>
        <w:bottom w:val="none" w:sz="0" w:space="0" w:color="auto"/>
        <w:right w:val="none" w:sz="0" w:space="0" w:color="auto"/>
      </w:divBdr>
    </w:div>
    <w:div w:id="1576815512">
      <w:bodyDiv w:val="1"/>
      <w:marLeft w:val="0"/>
      <w:marRight w:val="0"/>
      <w:marTop w:val="0"/>
      <w:marBottom w:val="0"/>
      <w:divBdr>
        <w:top w:val="none" w:sz="0" w:space="0" w:color="auto"/>
        <w:left w:val="none" w:sz="0" w:space="0" w:color="auto"/>
        <w:bottom w:val="none" w:sz="0" w:space="0" w:color="auto"/>
        <w:right w:val="none" w:sz="0" w:space="0" w:color="auto"/>
      </w:divBdr>
    </w:div>
    <w:div w:id="21438835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132</TotalTime>
  <Pages>7</Pages>
  <Words>2706</Words>
  <Characters>15428</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Jo,Youngji</dc:creator>
  <cp:keywords/>
  <dc:description/>
  <cp:lastModifiedBy>Zhang, Franky</cp:lastModifiedBy>
  <cp:revision>4</cp:revision>
  <dcterms:created xsi:type="dcterms:W3CDTF">2025-07-30T14:53:00Z</dcterms:created>
  <dcterms:modified xsi:type="dcterms:W3CDTF">2025-08-13T17:29:00Z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ab1ea8db-2e28-4d6a-b61f-21e8326f258b</vt:lpwstr>
  </property>
</Properties>
</file>