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7E2A4" w14:textId="77777777" w:rsidR="00DF48AE" w:rsidRDefault="00DF48AE" w:rsidP="00E6133D">
      <w:pPr>
        <w:jc w:val="center"/>
        <w:rPr>
          <w:sz w:val="36"/>
          <w:szCs w:val="36"/>
        </w:rPr>
      </w:pPr>
    </w:p>
    <w:p w14:paraId="427DB8FD" w14:textId="77777777" w:rsidR="00010D51" w:rsidRPr="00A3614E" w:rsidRDefault="00010D51" w:rsidP="00010D51">
      <w:pPr>
        <w:pStyle w:val="BodyText"/>
        <w:spacing w:line="360" w:lineRule="auto"/>
        <w:ind w:left="0"/>
        <w:rPr>
          <w:rFonts w:eastAsiaTheme="minorEastAsia"/>
          <w:b/>
          <w:color w:val="000000" w:themeColor="text1"/>
          <w:sz w:val="28"/>
          <w:szCs w:val="28"/>
          <w:lang w:eastAsia="ko-KR"/>
        </w:rPr>
      </w:pPr>
      <w:r w:rsidRPr="00A3614E">
        <w:rPr>
          <w:rFonts w:eastAsiaTheme="minorEastAsia"/>
          <w:b/>
          <w:sz w:val="28"/>
          <w:szCs w:val="28"/>
          <w:lang w:eastAsia="ko-KR"/>
        </w:rPr>
        <w:t xml:space="preserve">Predictive Modeling of COVID-19 Variant Peak Prevalence and </w:t>
      </w:r>
      <w:r w:rsidRPr="00A3614E">
        <w:rPr>
          <w:rFonts w:eastAsiaTheme="minorEastAsia"/>
          <w:b/>
          <w:color w:val="000000" w:themeColor="text1"/>
          <w:sz w:val="28"/>
          <w:szCs w:val="28"/>
          <w:lang w:eastAsia="ko-KR"/>
        </w:rPr>
        <w:t>Duration Using GISAID Data Across 15 Countries</w:t>
      </w:r>
    </w:p>
    <w:p w14:paraId="12588F07" w14:textId="77777777" w:rsidR="00E6133D" w:rsidRPr="00A3614E" w:rsidRDefault="00E6133D" w:rsidP="00E6133D">
      <w:pPr>
        <w:rPr>
          <w:rFonts w:ascii="Times New Roman" w:hAnsi="Times New Roman" w:cs="Times New Roman"/>
          <w:sz w:val="20"/>
          <w:szCs w:val="20"/>
        </w:rPr>
      </w:pPr>
    </w:p>
    <w:p w14:paraId="54F34A59" w14:textId="75F9FF95"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Authors:</w:t>
      </w:r>
      <w:r w:rsidRPr="00A3614E">
        <w:rPr>
          <w:rFonts w:eastAsiaTheme="minorEastAsia"/>
          <w:color w:val="000000" w:themeColor="text1"/>
          <w:sz w:val="22"/>
          <w:szCs w:val="22"/>
          <w:lang w:eastAsia="ko-KR"/>
        </w:rPr>
        <w:t xml:space="preserve"> Yifan Zhang</w:t>
      </w:r>
      <w:r w:rsidRPr="00A3614E">
        <w:rPr>
          <w:rFonts w:eastAsiaTheme="minorEastAsia"/>
          <w:color w:val="000000" w:themeColor="text1"/>
          <w:sz w:val="22"/>
          <w:szCs w:val="22"/>
          <w:vertAlign w:val="superscript"/>
          <w:lang w:eastAsia="ko-KR"/>
        </w:rPr>
        <w:t>1</w:t>
      </w:r>
      <w:r w:rsidRPr="00A3614E">
        <w:rPr>
          <w:rFonts w:eastAsiaTheme="minorEastAsia"/>
          <w:color w:val="000000" w:themeColor="text1"/>
          <w:sz w:val="22"/>
          <w:szCs w:val="22"/>
          <w:lang w:eastAsia="ko-KR"/>
        </w:rPr>
        <w:t>, Rob</w:t>
      </w:r>
      <w:r w:rsidR="0055194C">
        <w:rPr>
          <w:rFonts w:eastAsiaTheme="minorEastAsia" w:hint="eastAsia"/>
          <w:color w:val="000000" w:themeColor="text1"/>
          <w:sz w:val="22"/>
          <w:szCs w:val="22"/>
          <w:lang w:eastAsia="ko-KR"/>
        </w:rPr>
        <w:t>ert</w:t>
      </w:r>
      <w:r w:rsidRPr="00A3614E">
        <w:rPr>
          <w:rFonts w:eastAsiaTheme="minorEastAsia"/>
          <w:color w:val="000000" w:themeColor="text1"/>
          <w:sz w:val="22"/>
          <w:szCs w:val="22"/>
          <w:lang w:eastAsia="ko-KR"/>
        </w:rPr>
        <w:t xml:space="preserve"> Paton</w:t>
      </w:r>
      <w:r w:rsidRPr="00A3614E">
        <w:rPr>
          <w:rFonts w:eastAsiaTheme="minorEastAsia"/>
          <w:color w:val="000000" w:themeColor="text1"/>
          <w:sz w:val="22"/>
          <w:szCs w:val="22"/>
          <w:vertAlign w:val="superscript"/>
          <w:lang w:eastAsia="ko-KR"/>
        </w:rPr>
        <w:t>2</w:t>
      </w:r>
      <w:r w:rsidRPr="00A3614E">
        <w:rPr>
          <w:rFonts w:eastAsiaTheme="minorEastAsia"/>
          <w:color w:val="000000" w:themeColor="text1"/>
          <w:sz w:val="22"/>
          <w:szCs w:val="22"/>
          <w:lang w:eastAsia="ko-KR"/>
        </w:rPr>
        <w:t>, Kun Chen</w:t>
      </w:r>
      <w:r w:rsidRPr="00A3614E">
        <w:rPr>
          <w:rFonts w:eastAsiaTheme="minorEastAsia"/>
          <w:color w:val="000000" w:themeColor="text1"/>
          <w:sz w:val="22"/>
          <w:szCs w:val="22"/>
          <w:vertAlign w:val="superscript"/>
          <w:lang w:eastAsia="ko-KR"/>
        </w:rPr>
        <w:t>1</w:t>
      </w:r>
      <w:r w:rsidRPr="00A3614E">
        <w:rPr>
          <w:rFonts w:eastAsiaTheme="minorEastAsia"/>
          <w:color w:val="000000" w:themeColor="text1"/>
          <w:sz w:val="22"/>
          <w:szCs w:val="22"/>
          <w:lang w:eastAsia="ko-KR"/>
        </w:rPr>
        <w:t>, Christopher E. Overton</w:t>
      </w:r>
      <w:r w:rsidRPr="00A3614E">
        <w:rPr>
          <w:rFonts w:eastAsiaTheme="minorEastAsia"/>
          <w:color w:val="000000" w:themeColor="text1"/>
          <w:sz w:val="22"/>
          <w:szCs w:val="22"/>
          <w:vertAlign w:val="superscript"/>
          <w:lang w:eastAsia="ko-KR"/>
        </w:rPr>
        <w:t>2,4</w:t>
      </w:r>
      <w:r w:rsidRPr="00A3614E">
        <w:rPr>
          <w:rFonts w:eastAsiaTheme="minorEastAsia"/>
          <w:color w:val="000000" w:themeColor="text1"/>
          <w:sz w:val="22"/>
          <w:szCs w:val="22"/>
          <w:lang w:eastAsia="ko-KR"/>
        </w:rPr>
        <w:t xml:space="preserve">, </w:t>
      </w:r>
      <w:proofErr w:type="spellStart"/>
      <w:r w:rsidRPr="00A3614E">
        <w:rPr>
          <w:rFonts w:eastAsiaTheme="minorEastAsia"/>
          <w:color w:val="000000" w:themeColor="text1"/>
          <w:sz w:val="22"/>
          <w:szCs w:val="22"/>
          <w:lang w:eastAsia="ko-KR"/>
        </w:rPr>
        <w:t>Jaehun</w:t>
      </w:r>
      <w:proofErr w:type="spellEnd"/>
      <w:r w:rsidRPr="00A3614E">
        <w:rPr>
          <w:rFonts w:eastAsiaTheme="minorEastAsia"/>
          <w:color w:val="000000" w:themeColor="text1"/>
          <w:sz w:val="22"/>
          <w:szCs w:val="22"/>
          <w:lang w:eastAsia="ko-KR"/>
        </w:rPr>
        <w:t xml:space="preserve"> Jung</w:t>
      </w:r>
      <w:r w:rsidRPr="00A3614E">
        <w:rPr>
          <w:rFonts w:eastAsiaTheme="minorEastAsia"/>
          <w:color w:val="000000" w:themeColor="text1"/>
          <w:sz w:val="22"/>
          <w:szCs w:val="22"/>
          <w:vertAlign w:val="superscript"/>
          <w:lang w:eastAsia="ko-KR"/>
        </w:rPr>
        <w:t>3</w:t>
      </w:r>
      <w:r w:rsidRPr="00A3614E">
        <w:rPr>
          <w:rFonts w:eastAsiaTheme="minorEastAsia"/>
          <w:color w:val="000000" w:themeColor="text1"/>
          <w:sz w:val="22"/>
          <w:szCs w:val="22"/>
          <w:lang w:eastAsia="ko-KR"/>
        </w:rPr>
        <w:t>*, Youngji Jo</w:t>
      </w:r>
      <w:r w:rsidRPr="00A3614E">
        <w:rPr>
          <w:rFonts w:eastAsiaTheme="minorEastAsia"/>
          <w:color w:val="000000" w:themeColor="text1"/>
          <w:sz w:val="22"/>
          <w:szCs w:val="22"/>
          <w:vertAlign w:val="superscript"/>
          <w:lang w:eastAsia="ko-KR"/>
        </w:rPr>
        <w:t>5</w:t>
      </w:r>
      <w:r w:rsidRPr="00A3614E">
        <w:rPr>
          <w:rFonts w:eastAsiaTheme="minorEastAsia"/>
          <w:color w:val="000000" w:themeColor="text1"/>
          <w:sz w:val="22"/>
          <w:szCs w:val="22"/>
          <w:lang w:eastAsia="ko-KR"/>
        </w:rPr>
        <w:t>*</w:t>
      </w:r>
    </w:p>
    <w:p w14:paraId="14782E92"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619F62A4" w14:textId="77777777" w:rsidR="00010D51" w:rsidRPr="00A3614E" w:rsidRDefault="00010D51" w:rsidP="00010D51">
      <w:pPr>
        <w:pStyle w:val="BodyText"/>
        <w:kinsoku w:val="0"/>
        <w:overflowPunct w:val="0"/>
        <w:spacing w:line="276" w:lineRule="auto"/>
        <w:ind w:left="0"/>
        <w:contextualSpacing/>
        <w:jc w:val="both"/>
        <w:rPr>
          <w:rFonts w:eastAsiaTheme="minorEastAsia"/>
          <w:b/>
          <w:bCs/>
          <w:color w:val="000000" w:themeColor="text1"/>
          <w:sz w:val="22"/>
          <w:szCs w:val="22"/>
          <w:lang w:eastAsia="ko-KR"/>
        </w:rPr>
      </w:pPr>
      <w:r w:rsidRPr="00A3614E">
        <w:rPr>
          <w:rFonts w:eastAsiaTheme="minorEastAsia"/>
          <w:b/>
          <w:bCs/>
          <w:color w:val="000000" w:themeColor="text1"/>
          <w:sz w:val="22"/>
          <w:szCs w:val="22"/>
          <w:lang w:eastAsia="ko-KR"/>
        </w:rPr>
        <w:t>Affiliations:</w:t>
      </w:r>
    </w:p>
    <w:p w14:paraId="3A9811FC" w14:textId="77777777" w:rsidR="00010D51" w:rsidRPr="00A3614E" w:rsidRDefault="00010D51" w:rsidP="00010D51">
      <w:pPr>
        <w:pStyle w:val="BodyText"/>
        <w:numPr>
          <w:ilvl w:val="0"/>
          <w:numId w:val="3"/>
        </w:numPr>
        <w:spacing w:line="276" w:lineRule="auto"/>
        <w:contextualSpacing/>
        <w:rPr>
          <w:rFonts w:eastAsiaTheme="minorEastAsia"/>
          <w:color w:val="000000" w:themeColor="text1"/>
          <w:sz w:val="22"/>
          <w:szCs w:val="22"/>
          <w:lang w:eastAsia="ko-KR"/>
        </w:rPr>
      </w:pPr>
      <w:r w:rsidRPr="00A3614E">
        <w:rPr>
          <w:color w:val="000000" w:themeColor="text1"/>
          <w:sz w:val="22"/>
          <w:szCs w:val="22"/>
        </w:rPr>
        <w:t>Department of Statistics, University of Connecticut</w:t>
      </w:r>
      <w:r w:rsidRPr="00A3614E">
        <w:rPr>
          <w:rFonts w:eastAsiaTheme="minorEastAsia"/>
          <w:color w:val="000000" w:themeColor="text1"/>
          <w:sz w:val="22"/>
          <w:szCs w:val="22"/>
          <w:lang w:eastAsia="ko-KR"/>
        </w:rPr>
        <w:t>, Storrs, CT, USA</w:t>
      </w:r>
    </w:p>
    <w:p w14:paraId="76F6B34E" w14:textId="77777777" w:rsidR="00010D51" w:rsidRPr="00A3614E" w:rsidRDefault="00010D51" w:rsidP="00010D51">
      <w:pPr>
        <w:pStyle w:val="BodyText"/>
        <w:numPr>
          <w:ilvl w:val="0"/>
          <w:numId w:val="3"/>
        </w:numPr>
        <w:spacing w:line="276" w:lineRule="auto"/>
        <w:contextualSpacing/>
        <w:rPr>
          <w:rFonts w:eastAsiaTheme="minorEastAsia"/>
          <w:color w:val="000000" w:themeColor="text1"/>
          <w:sz w:val="22"/>
          <w:szCs w:val="22"/>
          <w:lang w:eastAsia="ko-KR"/>
        </w:rPr>
      </w:pPr>
      <w:r w:rsidRPr="00A3614E">
        <w:rPr>
          <w:color w:val="000000" w:themeColor="text1"/>
          <w:sz w:val="22"/>
          <w:szCs w:val="22"/>
          <w:shd w:val="clear" w:color="auto" w:fill="FFFFFF"/>
        </w:rPr>
        <w:t xml:space="preserve">Infectious Disease Modelling Team, Modelling Division, Analysis and Intelligence Assessment, Chief Data Officer Group, </w:t>
      </w:r>
      <w:r w:rsidRPr="00A3614E">
        <w:rPr>
          <w:rFonts w:eastAsiaTheme="minorEastAsia"/>
          <w:color w:val="000000" w:themeColor="text1"/>
          <w:sz w:val="22"/>
          <w:szCs w:val="22"/>
          <w:lang w:eastAsia="ko-KR"/>
          <w14:ligatures w14:val="standardContextual"/>
        </w:rPr>
        <w:t>UK Health Security Agency</w:t>
      </w:r>
      <w:r w:rsidRPr="00A3614E">
        <w:rPr>
          <w:color w:val="000000" w:themeColor="text1"/>
          <w:sz w:val="22"/>
          <w:szCs w:val="22"/>
          <w:shd w:val="clear" w:color="auto" w:fill="FFFFFF"/>
        </w:rPr>
        <w:t xml:space="preserve">, </w:t>
      </w:r>
      <w:r w:rsidRPr="00A3614E">
        <w:rPr>
          <w:rFonts w:eastAsiaTheme="minorEastAsia"/>
          <w:color w:val="000000" w:themeColor="text1"/>
          <w:sz w:val="22"/>
          <w:szCs w:val="22"/>
          <w:lang w:eastAsia="ko-KR"/>
          <w14:ligatures w14:val="standardContextual"/>
        </w:rPr>
        <w:t xml:space="preserve">London, </w:t>
      </w:r>
      <w:r w:rsidRPr="00A3614E">
        <w:rPr>
          <w:color w:val="000000" w:themeColor="text1"/>
          <w:sz w:val="22"/>
          <w:szCs w:val="22"/>
          <w:shd w:val="clear" w:color="auto" w:fill="FFFFFF"/>
        </w:rPr>
        <w:t>UK</w:t>
      </w:r>
    </w:p>
    <w:p w14:paraId="7149B177" w14:textId="77777777" w:rsidR="00010D51" w:rsidRPr="00A3614E" w:rsidRDefault="00010D51" w:rsidP="00010D51">
      <w:pPr>
        <w:pStyle w:val="BodyText"/>
        <w:numPr>
          <w:ilvl w:val="0"/>
          <w:numId w:val="3"/>
        </w:numPr>
        <w:spacing w:line="276" w:lineRule="auto"/>
        <w:contextualSpacing/>
        <w:rPr>
          <w:rFonts w:eastAsiaTheme="minorEastAsia"/>
          <w:color w:val="000000" w:themeColor="text1"/>
          <w:sz w:val="22"/>
          <w:szCs w:val="22"/>
          <w:lang w:eastAsia="ko-KR"/>
        </w:rPr>
      </w:pPr>
      <w:r w:rsidRPr="00A3614E">
        <w:rPr>
          <w:rFonts w:eastAsiaTheme="minorEastAsia"/>
          <w:color w:val="000000" w:themeColor="text1"/>
          <w:sz w:val="22"/>
          <w:szCs w:val="22"/>
          <w:lang w:eastAsia="ko-KR"/>
        </w:rPr>
        <w:t>Department of Preventive Medicine, Korea University College of Medicine, Seoul, Korea</w:t>
      </w:r>
    </w:p>
    <w:p w14:paraId="332A256E" w14:textId="77777777" w:rsidR="00010D51" w:rsidRPr="00A3614E" w:rsidRDefault="00010D51" w:rsidP="00010D51">
      <w:pPr>
        <w:pStyle w:val="ListParagraph"/>
        <w:widowControl/>
        <w:numPr>
          <w:ilvl w:val="0"/>
          <w:numId w:val="3"/>
        </w:numPr>
        <w:kinsoku w:val="0"/>
        <w:overflowPunct w:val="0"/>
        <w:adjustRightInd w:val="0"/>
        <w:spacing w:line="276" w:lineRule="auto"/>
        <w:jc w:val="both"/>
        <w:rPr>
          <w:rFonts w:eastAsiaTheme="minorEastAsia"/>
          <w:color w:val="000000" w:themeColor="text1"/>
          <w:lang w:eastAsia="ko-KR"/>
        </w:rPr>
      </w:pPr>
      <w:r w:rsidRPr="00A3614E">
        <w:rPr>
          <w:rFonts w:eastAsiaTheme="minorEastAsia"/>
          <w:color w:val="000000" w:themeColor="text1"/>
          <w:lang w:eastAsia="ko-KR"/>
          <w14:ligatures w14:val="standardContextual"/>
        </w:rPr>
        <w:t>Department of Mathematical Sciences, University of Liverpool, Liverpool, UK</w:t>
      </w:r>
    </w:p>
    <w:p w14:paraId="72EAC8E5" w14:textId="77777777" w:rsidR="00010D51" w:rsidRPr="00A3614E" w:rsidRDefault="00010D51" w:rsidP="00010D51">
      <w:pPr>
        <w:pStyle w:val="BodyText"/>
        <w:numPr>
          <w:ilvl w:val="0"/>
          <w:numId w:val="3"/>
        </w:numPr>
        <w:spacing w:line="360" w:lineRule="auto"/>
        <w:rPr>
          <w:rFonts w:eastAsiaTheme="minorEastAsia"/>
          <w:color w:val="000000" w:themeColor="text1"/>
          <w:sz w:val="22"/>
          <w:szCs w:val="22"/>
          <w:lang w:eastAsia="ko-KR"/>
        </w:rPr>
      </w:pPr>
      <w:r w:rsidRPr="00A3614E">
        <w:rPr>
          <w:color w:val="000000" w:themeColor="text1"/>
          <w:sz w:val="22"/>
          <w:szCs w:val="22"/>
        </w:rPr>
        <w:t xml:space="preserve">Departments of </w:t>
      </w:r>
      <w:r w:rsidRPr="00A3614E">
        <w:rPr>
          <w:rFonts w:eastAsiaTheme="minorEastAsia"/>
          <w:color w:val="000000" w:themeColor="text1"/>
          <w:sz w:val="22"/>
          <w:szCs w:val="22"/>
          <w:lang w:eastAsia="ko-KR"/>
        </w:rPr>
        <w:t>Public Health Sciences</w:t>
      </w:r>
      <w:r w:rsidRPr="00A3614E">
        <w:rPr>
          <w:color w:val="000000" w:themeColor="text1"/>
          <w:sz w:val="22"/>
          <w:szCs w:val="22"/>
        </w:rPr>
        <w:t xml:space="preserve">, </w:t>
      </w:r>
      <w:r w:rsidRPr="00A3614E">
        <w:rPr>
          <w:rFonts w:eastAsiaTheme="minorEastAsia"/>
          <w:color w:val="000000" w:themeColor="text1"/>
          <w:sz w:val="22"/>
          <w:szCs w:val="22"/>
          <w:lang w:eastAsia="ko-KR"/>
        </w:rPr>
        <w:t xml:space="preserve">School of Medicine, </w:t>
      </w:r>
      <w:r w:rsidRPr="00A3614E">
        <w:rPr>
          <w:color w:val="000000" w:themeColor="text1"/>
          <w:sz w:val="22"/>
          <w:szCs w:val="22"/>
        </w:rPr>
        <w:t>UConn Health</w:t>
      </w:r>
      <w:r w:rsidRPr="00A3614E">
        <w:rPr>
          <w:rFonts w:eastAsiaTheme="minorEastAsia"/>
          <w:color w:val="000000" w:themeColor="text1"/>
          <w:sz w:val="22"/>
          <w:szCs w:val="22"/>
          <w:lang w:eastAsia="ko-KR"/>
        </w:rPr>
        <w:t>, Farmington, CT, USA</w:t>
      </w:r>
    </w:p>
    <w:p w14:paraId="3429F486"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489691EB" w14:textId="77777777" w:rsidR="00010D51" w:rsidRPr="00A3614E" w:rsidRDefault="00010D51" w:rsidP="00010D51">
      <w:pPr>
        <w:pStyle w:val="BodyText"/>
        <w:kinsoku w:val="0"/>
        <w:overflowPunct w:val="0"/>
        <w:spacing w:line="276" w:lineRule="auto"/>
        <w:ind w:left="0"/>
        <w:jc w:val="both"/>
        <w:rPr>
          <w:rFonts w:eastAsiaTheme="minorEastAsia"/>
          <w:b/>
          <w:bCs/>
          <w:color w:val="000000" w:themeColor="text1"/>
          <w:sz w:val="22"/>
          <w:szCs w:val="22"/>
          <w:lang w:eastAsia="ko-KR"/>
        </w:rPr>
      </w:pPr>
      <w:r w:rsidRPr="00A3614E">
        <w:rPr>
          <w:rFonts w:eastAsiaTheme="minorEastAsia"/>
          <w:b/>
          <w:bCs/>
          <w:color w:val="000000" w:themeColor="text1"/>
          <w:sz w:val="22"/>
          <w:szCs w:val="22"/>
          <w:lang w:eastAsia="ko-KR"/>
        </w:rPr>
        <w:t>Corresponding authors</w:t>
      </w:r>
    </w:p>
    <w:p w14:paraId="5368CB06"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color w:val="000000" w:themeColor="text1"/>
          <w:sz w:val="22"/>
          <w:szCs w:val="22"/>
          <w:lang w:eastAsia="ko-KR"/>
        </w:rPr>
        <w:t>Youngji Jo: jo@uchc.edu</w:t>
      </w:r>
    </w:p>
    <w:p w14:paraId="7641792C"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proofErr w:type="spellStart"/>
      <w:r w:rsidRPr="00A3614E">
        <w:rPr>
          <w:rFonts w:eastAsiaTheme="minorEastAsia"/>
          <w:color w:val="000000" w:themeColor="text1"/>
          <w:sz w:val="22"/>
          <w:szCs w:val="22"/>
          <w:lang w:eastAsia="ko-KR"/>
        </w:rPr>
        <w:t>Jaehun</w:t>
      </w:r>
      <w:proofErr w:type="spellEnd"/>
      <w:r w:rsidRPr="00A3614E">
        <w:rPr>
          <w:rFonts w:eastAsiaTheme="minorEastAsia"/>
          <w:color w:val="000000" w:themeColor="text1"/>
          <w:sz w:val="22"/>
          <w:szCs w:val="22"/>
          <w:lang w:eastAsia="ko-KR"/>
        </w:rPr>
        <w:t xml:space="preserve"> Jung: eastside1st@gmail.com</w:t>
      </w:r>
    </w:p>
    <w:p w14:paraId="1D3D6577" w14:textId="77777777" w:rsidR="00010D51" w:rsidRPr="00A3614E" w:rsidRDefault="00010D51" w:rsidP="002A7053">
      <w:pPr>
        <w:rPr>
          <w:rFonts w:ascii="Times New Roman" w:hAnsi="Times New Roman" w:cs="Times New Roman"/>
        </w:rPr>
      </w:pPr>
    </w:p>
    <w:p w14:paraId="5EF37892" w14:textId="448B586F" w:rsidR="00921F43" w:rsidRPr="00A3614E" w:rsidRDefault="00921F43" w:rsidP="00921F43">
      <w:pPr>
        <w:spacing w:after="0"/>
        <w:rPr>
          <w:rFonts w:ascii="Times New Roman" w:hAnsi="Times New Roman" w:cs="Times New Roman"/>
          <w:bCs/>
        </w:rPr>
      </w:pPr>
      <w:r w:rsidRPr="00A3614E">
        <w:rPr>
          <w:rFonts w:ascii="Times New Roman" w:hAnsi="Times New Roman" w:cs="Times New Roman"/>
          <w:b/>
        </w:rPr>
        <w:t>Author Contributions</w:t>
      </w:r>
      <w:r w:rsidRPr="00A3614E">
        <w:rPr>
          <w:rFonts w:ascii="Times New Roman" w:hAnsi="Times New Roman" w:cs="Times New Roman"/>
          <w:bCs/>
          <w:lang w:eastAsia="ko-KR"/>
        </w:rPr>
        <w:t xml:space="preserve">: J.J </w:t>
      </w:r>
      <w:r w:rsidR="00D57293">
        <w:rPr>
          <w:rFonts w:ascii="Times New Roman" w:hAnsi="Times New Roman" w:cs="Times New Roman" w:hint="eastAsia"/>
          <w:bCs/>
          <w:lang w:eastAsia="ko-KR"/>
        </w:rPr>
        <w:t xml:space="preserve">and </w:t>
      </w:r>
      <w:r w:rsidRPr="00A3614E">
        <w:rPr>
          <w:rFonts w:ascii="Times New Roman" w:hAnsi="Times New Roman" w:cs="Times New Roman"/>
          <w:bCs/>
          <w:lang w:eastAsia="ko-KR"/>
        </w:rPr>
        <w:t>Y.J c</w:t>
      </w:r>
      <w:r w:rsidRPr="00A3614E">
        <w:rPr>
          <w:rFonts w:ascii="Times New Roman" w:hAnsi="Times New Roman" w:cs="Times New Roman"/>
          <w:bCs/>
        </w:rPr>
        <w:t>onceived and designed the study.</w:t>
      </w:r>
      <w:r w:rsidRPr="00A3614E">
        <w:rPr>
          <w:rFonts w:ascii="Times New Roman" w:hAnsi="Times New Roman" w:cs="Times New Roman"/>
          <w:bCs/>
          <w:lang w:eastAsia="ko-KR"/>
        </w:rPr>
        <w:t xml:space="preserve"> R.P provided data</w:t>
      </w:r>
      <w:r w:rsidR="00897349" w:rsidRPr="00A3614E">
        <w:rPr>
          <w:rFonts w:ascii="Times New Roman" w:hAnsi="Times New Roman" w:cs="Times New Roman"/>
          <w:bCs/>
          <w:lang w:eastAsia="ko-KR"/>
        </w:rPr>
        <w:t xml:space="preserve"> and</w:t>
      </w:r>
      <w:r w:rsidRPr="00A3614E">
        <w:rPr>
          <w:rFonts w:ascii="Times New Roman" w:hAnsi="Times New Roman" w:cs="Times New Roman"/>
          <w:bCs/>
        </w:rPr>
        <w:t xml:space="preserve"> </w:t>
      </w:r>
      <w:r w:rsidRPr="00A3614E">
        <w:rPr>
          <w:rFonts w:ascii="Times New Roman" w:hAnsi="Times New Roman" w:cs="Times New Roman"/>
          <w:bCs/>
          <w:lang w:eastAsia="ko-KR"/>
        </w:rPr>
        <w:t>variants grouping codes</w:t>
      </w:r>
      <w:r w:rsidR="00897349" w:rsidRPr="00A3614E">
        <w:rPr>
          <w:rFonts w:ascii="Times New Roman" w:hAnsi="Times New Roman" w:cs="Times New Roman"/>
          <w:bCs/>
          <w:lang w:eastAsia="ko-KR"/>
        </w:rPr>
        <w:t xml:space="preserve">. </w:t>
      </w:r>
      <w:r w:rsidR="00FD4802">
        <w:rPr>
          <w:rFonts w:ascii="Times New Roman" w:hAnsi="Times New Roman" w:cs="Times New Roman" w:hint="eastAsia"/>
          <w:bCs/>
          <w:lang w:eastAsia="ko-KR"/>
        </w:rPr>
        <w:t xml:space="preserve">Y.Z, </w:t>
      </w:r>
      <w:r w:rsidR="0033749C">
        <w:rPr>
          <w:rFonts w:ascii="Times New Roman" w:hAnsi="Times New Roman" w:cs="Times New Roman" w:hint="eastAsia"/>
          <w:bCs/>
          <w:lang w:eastAsia="ko-KR"/>
        </w:rPr>
        <w:t xml:space="preserve">Y.J, </w:t>
      </w:r>
      <w:r w:rsidRPr="00A3614E">
        <w:rPr>
          <w:rFonts w:ascii="Times New Roman" w:hAnsi="Times New Roman" w:cs="Times New Roman"/>
          <w:bCs/>
        </w:rPr>
        <w:t xml:space="preserve">C.E.O., </w:t>
      </w:r>
      <w:r w:rsidR="00897349" w:rsidRPr="00A3614E">
        <w:rPr>
          <w:rFonts w:ascii="Times New Roman" w:hAnsi="Times New Roman" w:cs="Times New Roman"/>
          <w:bCs/>
        </w:rPr>
        <w:t>R.P.</w:t>
      </w:r>
      <w:r w:rsidR="0033749C">
        <w:rPr>
          <w:rFonts w:ascii="Times New Roman" w:hAnsi="Times New Roman" w:cs="Times New Roman" w:hint="eastAsia"/>
          <w:bCs/>
          <w:lang w:eastAsia="ko-KR"/>
        </w:rPr>
        <w:t xml:space="preserve"> and</w:t>
      </w:r>
      <w:r w:rsidR="00CA7708">
        <w:rPr>
          <w:rFonts w:ascii="Times New Roman" w:hAnsi="Times New Roman" w:cs="Times New Roman" w:hint="eastAsia"/>
          <w:bCs/>
          <w:lang w:eastAsia="ko-KR"/>
        </w:rPr>
        <w:t xml:space="preserve"> </w:t>
      </w:r>
      <w:r w:rsidRPr="00A3614E">
        <w:rPr>
          <w:rFonts w:ascii="Times New Roman" w:hAnsi="Times New Roman" w:cs="Times New Roman"/>
          <w:bCs/>
        </w:rPr>
        <w:t>K.C.</w:t>
      </w:r>
      <w:r w:rsidR="007F1953">
        <w:rPr>
          <w:rFonts w:ascii="Times New Roman" w:hAnsi="Times New Roman" w:cs="Times New Roman" w:hint="eastAsia"/>
          <w:bCs/>
          <w:lang w:eastAsia="ko-KR"/>
        </w:rPr>
        <w:t xml:space="preserve"> </w:t>
      </w:r>
      <w:r w:rsidRPr="00A3614E">
        <w:rPr>
          <w:rFonts w:ascii="Times New Roman" w:hAnsi="Times New Roman" w:cs="Times New Roman"/>
          <w:bCs/>
        </w:rPr>
        <w:t>contributed to model development and interpretation.</w:t>
      </w:r>
      <w:r w:rsidR="00897349" w:rsidRPr="00A3614E">
        <w:rPr>
          <w:rFonts w:ascii="Times New Roman" w:hAnsi="Times New Roman" w:cs="Times New Roman"/>
          <w:bCs/>
          <w:lang w:eastAsia="ko-KR"/>
        </w:rPr>
        <w:t xml:space="preserve"> </w:t>
      </w:r>
      <w:r w:rsidR="004C396F">
        <w:rPr>
          <w:rFonts w:ascii="Times New Roman" w:hAnsi="Times New Roman" w:cs="Times New Roman" w:hint="eastAsia"/>
          <w:bCs/>
          <w:lang w:eastAsia="ko-KR"/>
        </w:rPr>
        <w:t>Y.Z</w:t>
      </w:r>
      <w:r w:rsidR="000206BE">
        <w:rPr>
          <w:rFonts w:ascii="Times New Roman" w:hAnsi="Times New Roman" w:cs="Times New Roman" w:hint="eastAsia"/>
          <w:bCs/>
          <w:lang w:eastAsia="ko-KR"/>
        </w:rPr>
        <w:t xml:space="preserve"> conducted data analysis and visualization. </w:t>
      </w:r>
      <w:r w:rsidRPr="00A3614E">
        <w:rPr>
          <w:rFonts w:ascii="Times New Roman" w:hAnsi="Times New Roman" w:cs="Times New Roman"/>
          <w:bCs/>
        </w:rPr>
        <w:t>J.J.</w:t>
      </w:r>
      <w:r w:rsidRPr="00A3614E">
        <w:rPr>
          <w:rFonts w:ascii="Times New Roman" w:hAnsi="Times New Roman" w:cs="Times New Roman"/>
          <w:bCs/>
          <w:lang w:eastAsia="ko-KR"/>
        </w:rPr>
        <w:t xml:space="preserve"> secured funding, </w:t>
      </w:r>
      <w:r w:rsidRPr="00A3614E">
        <w:rPr>
          <w:rFonts w:ascii="Times New Roman" w:hAnsi="Times New Roman" w:cs="Times New Roman"/>
          <w:bCs/>
        </w:rPr>
        <w:t>contributed domain expertise on SARS-CoV-2 variant dynamics</w:t>
      </w:r>
      <w:r w:rsidR="00897349" w:rsidRPr="00A3614E">
        <w:rPr>
          <w:rFonts w:ascii="Times New Roman" w:hAnsi="Times New Roman" w:cs="Times New Roman"/>
          <w:bCs/>
          <w:lang w:eastAsia="ko-KR"/>
        </w:rPr>
        <w:t>, forecasting modeling,</w:t>
      </w:r>
      <w:r w:rsidRPr="00A3614E">
        <w:rPr>
          <w:rFonts w:ascii="Times New Roman" w:hAnsi="Times New Roman" w:cs="Times New Roman"/>
          <w:bCs/>
        </w:rPr>
        <w:t xml:space="preserve"> </w:t>
      </w:r>
      <w:r w:rsidR="00897349" w:rsidRPr="00A3614E">
        <w:rPr>
          <w:rFonts w:ascii="Times New Roman" w:hAnsi="Times New Roman" w:cs="Times New Roman"/>
          <w:bCs/>
          <w:lang w:eastAsia="ko-KR"/>
        </w:rPr>
        <w:t xml:space="preserve">and </w:t>
      </w:r>
      <w:r w:rsidRPr="00A3614E">
        <w:rPr>
          <w:rFonts w:ascii="Times New Roman" w:hAnsi="Times New Roman" w:cs="Times New Roman"/>
          <w:bCs/>
        </w:rPr>
        <w:t>public health interpretation.</w:t>
      </w:r>
      <w:r w:rsidRPr="00A3614E">
        <w:rPr>
          <w:rFonts w:ascii="Times New Roman" w:hAnsi="Times New Roman" w:cs="Times New Roman"/>
          <w:bCs/>
          <w:lang w:eastAsia="ko-KR"/>
        </w:rPr>
        <w:t xml:space="preserve"> </w:t>
      </w:r>
      <w:r w:rsidRPr="00A3614E">
        <w:rPr>
          <w:rFonts w:ascii="Times New Roman" w:hAnsi="Times New Roman" w:cs="Times New Roman"/>
          <w:bCs/>
        </w:rPr>
        <w:t>Y.J. supervised the study</w:t>
      </w:r>
      <w:r w:rsidR="00933BAB" w:rsidRPr="00A3614E">
        <w:rPr>
          <w:rFonts w:ascii="Times New Roman" w:hAnsi="Times New Roman" w:cs="Times New Roman"/>
          <w:bCs/>
        </w:rPr>
        <w:t xml:space="preserve"> and contributed to the </w:t>
      </w:r>
      <w:r w:rsidRPr="00A3614E">
        <w:rPr>
          <w:rFonts w:ascii="Times New Roman" w:hAnsi="Times New Roman" w:cs="Times New Roman"/>
          <w:bCs/>
        </w:rPr>
        <w:t>interpretation of results.</w:t>
      </w:r>
      <w:r w:rsidR="00897349" w:rsidRPr="00A3614E">
        <w:rPr>
          <w:rFonts w:ascii="Times New Roman" w:hAnsi="Times New Roman" w:cs="Times New Roman"/>
          <w:bCs/>
          <w:lang w:eastAsia="ko-KR"/>
        </w:rPr>
        <w:t xml:space="preserve"> </w:t>
      </w:r>
      <w:r w:rsidRPr="00A3614E">
        <w:rPr>
          <w:rFonts w:ascii="Times New Roman" w:hAnsi="Times New Roman" w:cs="Times New Roman"/>
          <w:bCs/>
        </w:rPr>
        <w:t>Y.Z. and Y.J. drafted the manuscript.</w:t>
      </w:r>
      <w:r w:rsidRPr="00A3614E">
        <w:rPr>
          <w:rFonts w:ascii="Times New Roman" w:hAnsi="Times New Roman" w:cs="Times New Roman"/>
          <w:bCs/>
          <w:lang w:eastAsia="ko-KR"/>
        </w:rPr>
        <w:t xml:space="preserve"> </w:t>
      </w:r>
      <w:r w:rsidRPr="00A3614E">
        <w:rPr>
          <w:rFonts w:ascii="Times New Roman" w:hAnsi="Times New Roman" w:cs="Times New Roman"/>
          <w:bCs/>
        </w:rPr>
        <w:t xml:space="preserve">All authors critically reviewed, edited, and </w:t>
      </w:r>
      <w:proofErr w:type="gramStart"/>
      <w:r w:rsidRPr="00A3614E">
        <w:rPr>
          <w:rFonts w:ascii="Times New Roman" w:hAnsi="Times New Roman" w:cs="Times New Roman"/>
          <w:bCs/>
        </w:rPr>
        <w:t>approved</w:t>
      </w:r>
      <w:proofErr w:type="gramEnd"/>
      <w:r w:rsidRPr="00A3614E">
        <w:rPr>
          <w:rFonts w:ascii="Times New Roman" w:hAnsi="Times New Roman" w:cs="Times New Roman"/>
          <w:bCs/>
        </w:rPr>
        <w:t xml:space="preserve"> the final manuscript.</w:t>
      </w:r>
    </w:p>
    <w:p w14:paraId="3D6571AD" w14:textId="77777777" w:rsidR="00921F43" w:rsidRPr="00A3614E" w:rsidRDefault="00921F43" w:rsidP="00921F43">
      <w:pPr>
        <w:spacing w:after="0"/>
        <w:rPr>
          <w:rFonts w:ascii="Times New Roman" w:hAnsi="Times New Roman" w:cs="Times New Roman"/>
          <w:bCs/>
        </w:rPr>
      </w:pPr>
    </w:p>
    <w:p w14:paraId="179BD738" w14:textId="77777777" w:rsidR="00921F43" w:rsidRPr="00A3614E" w:rsidRDefault="00921F43" w:rsidP="00921F43">
      <w:pPr>
        <w:spacing w:after="0"/>
        <w:rPr>
          <w:rFonts w:ascii="Times New Roman" w:hAnsi="Times New Roman" w:cs="Times New Roman"/>
          <w:bCs/>
        </w:rPr>
      </w:pPr>
    </w:p>
    <w:p w14:paraId="58DF6555" w14:textId="003E4CEF" w:rsidR="00921F43" w:rsidRPr="00A3614E" w:rsidRDefault="00921F43" w:rsidP="00921F43">
      <w:pPr>
        <w:spacing w:after="0"/>
        <w:rPr>
          <w:rFonts w:ascii="Times New Roman" w:hAnsi="Times New Roman" w:cs="Times New Roman"/>
          <w:bCs/>
        </w:rPr>
      </w:pPr>
      <w:r w:rsidRPr="00A3614E">
        <w:rPr>
          <w:rFonts w:ascii="Times New Roman" w:hAnsi="Times New Roman" w:cs="Times New Roman"/>
          <w:b/>
        </w:rPr>
        <w:t>Competing Interest Statement</w:t>
      </w:r>
      <w:r w:rsidR="00933BAB" w:rsidRPr="00A3614E">
        <w:rPr>
          <w:rFonts w:ascii="Times New Roman" w:hAnsi="Times New Roman" w:cs="Times New Roman"/>
          <w:b/>
          <w:lang w:eastAsia="ko-KR"/>
        </w:rPr>
        <w:t xml:space="preserve">: </w:t>
      </w:r>
      <w:r w:rsidRPr="00A3614E">
        <w:rPr>
          <w:rFonts w:ascii="Times New Roman" w:hAnsi="Times New Roman" w:cs="Times New Roman"/>
          <w:bCs/>
        </w:rPr>
        <w:t>The authors declare no competing interests.</w:t>
      </w:r>
    </w:p>
    <w:p w14:paraId="0D3F440D" w14:textId="77777777" w:rsidR="00921F43" w:rsidRPr="00A3614E" w:rsidRDefault="00921F43" w:rsidP="00921F43">
      <w:pPr>
        <w:spacing w:after="0"/>
        <w:rPr>
          <w:rFonts w:ascii="Times New Roman" w:hAnsi="Times New Roman" w:cs="Times New Roman"/>
          <w:bCs/>
        </w:rPr>
      </w:pPr>
    </w:p>
    <w:p w14:paraId="4F2255DA" w14:textId="77777777" w:rsidR="00921F43" w:rsidRPr="00A3614E" w:rsidRDefault="00921F43" w:rsidP="00921F43">
      <w:pPr>
        <w:spacing w:after="0"/>
        <w:rPr>
          <w:rFonts w:ascii="Times New Roman" w:hAnsi="Times New Roman" w:cs="Times New Roman"/>
          <w:b/>
        </w:rPr>
      </w:pPr>
      <w:r w:rsidRPr="00A3614E">
        <w:rPr>
          <w:rFonts w:ascii="Times New Roman" w:hAnsi="Times New Roman" w:cs="Times New Roman"/>
          <w:b/>
        </w:rPr>
        <w:t>Classification</w:t>
      </w:r>
    </w:p>
    <w:p w14:paraId="237E0843" w14:textId="3C0C43B6" w:rsidR="00921F43" w:rsidRPr="00A3614E" w:rsidRDefault="00921F43" w:rsidP="00921F43">
      <w:pPr>
        <w:spacing w:after="0"/>
        <w:rPr>
          <w:rFonts w:ascii="Times New Roman" w:hAnsi="Times New Roman" w:cs="Times New Roman"/>
          <w:bCs/>
          <w:lang w:eastAsia="ko-KR"/>
        </w:rPr>
      </w:pPr>
      <w:r w:rsidRPr="00A3614E">
        <w:rPr>
          <w:rFonts w:ascii="Times New Roman" w:hAnsi="Times New Roman" w:cs="Times New Roman"/>
          <w:bCs/>
        </w:rPr>
        <w:t xml:space="preserve">Major Classification: </w:t>
      </w:r>
      <w:r w:rsidRPr="00A3614E">
        <w:rPr>
          <w:rFonts w:ascii="Times New Roman" w:hAnsi="Times New Roman" w:cs="Times New Roman"/>
          <w:bCs/>
          <w:lang w:eastAsia="ko-KR"/>
        </w:rPr>
        <w:t>Infectious Diseases</w:t>
      </w:r>
    </w:p>
    <w:p w14:paraId="350FAAE9" w14:textId="77777777" w:rsidR="00921F43" w:rsidRPr="00A3614E" w:rsidRDefault="00921F43" w:rsidP="00921F43">
      <w:pPr>
        <w:spacing w:after="0"/>
        <w:rPr>
          <w:rFonts w:ascii="Times New Roman" w:hAnsi="Times New Roman" w:cs="Times New Roman"/>
          <w:bCs/>
        </w:rPr>
      </w:pPr>
      <w:r w:rsidRPr="00A3614E">
        <w:rPr>
          <w:rFonts w:ascii="Times New Roman" w:hAnsi="Times New Roman" w:cs="Times New Roman"/>
          <w:bCs/>
        </w:rPr>
        <w:t>Minor Classification: Computational Biology</w:t>
      </w:r>
    </w:p>
    <w:p w14:paraId="708F0E78" w14:textId="77777777" w:rsidR="00921F43" w:rsidRPr="00A3614E" w:rsidRDefault="00921F43" w:rsidP="00921F43">
      <w:pPr>
        <w:spacing w:after="0"/>
        <w:rPr>
          <w:rFonts w:ascii="Times New Roman" w:hAnsi="Times New Roman" w:cs="Times New Roman"/>
          <w:bCs/>
        </w:rPr>
      </w:pPr>
    </w:p>
    <w:p w14:paraId="1265A261" w14:textId="79FA50C0" w:rsidR="00623869" w:rsidRPr="00A3614E" w:rsidRDefault="00921F43" w:rsidP="00921F43">
      <w:pPr>
        <w:spacing w:after="0"/>
        <w:rPr>
          <w:rFonts w:ascii="Times New Roman" w:hAnsi="Times New Roman" w:cs="Times New Roman"/>
          <w:bCs/>
        </w:rPr>
      </w:pPr>
      <w:r w:rsidRPr="00A3614E">
        <w:rPr>
          <w:rFonts w:ascii="Times New Roman" w:hAnsi="Times New Roman" w:cs="Times New Roman"/>
          <w:b/>
        </w:rPr>
        <w:t>Keywords</w:t>
      </w:r>
      <w:r w:rsidRPr="00A3614E">
        <w:rPr>
          <w:rFonts w:ascii="Times New Roman" w:hAnsi="Times New Roman" w:cs="Times New Roman"/>
          <w:bCs/>
          <w:lang w:eastAsia="ko-KR"/>
        </w:rPr>
        <w:t xml:space="preserve">: </w:t>
      </w:r>
      <w:r w:rsidRPr="00A3614E">
        <w:rPr>
          <w:rFonts w:ascii="Times New Roman" w:hAnsi="Times New Roman" w:cs="Times New Roman"/>
          <w:bCs/>
        </w:rPr>
        <w:t>SARS-CoV-2 variants; genomic surveillance; machine learning; early warning systems; epidemic dynamics</w:t>
      </w:r>
    </w:p>
    <w:p w14:paraId="5815DC82" w14:textId="77777777" w:rsidR="00921F43" w:rsidRPr="00A3614E" w:rsidRDefault="00921F43" w:rsidP="00921F43">
      <w:pPr>
        <w:spacing w:after="0"/>
        <w:rPr>
          <w:rFonts w:ascii="Times New Roman" w:hAnsi="Times New Roman" w:cs="Times New Roman"/>
          <w:bCs/>
        </w:rPr>
      </w:pPr>
    </w:p>
    <w:p w14:paraId="788EAF02" w14:textId="21CEB795" w:rsidR="00E6133D" w:rsidRPr="00A3614E" w:rsidRDefault="00E6133D" w:rsidP="00921F43">
      <w:pPr>
        <w:spacing w:after="0"/>
        <w:rPr>
          <w:rFonts w:ascii="Times New Roman" w:hAnsi="Times New Roman" w:cs="Times New Roman"/>
          <w:bCs/>
        </w:rPr>
      </w:pPr>
      <w:r w:rsidRPr="00A3614E">
        <w:rPr>
          <w:rFonts w:ascii="Times New Roman" w:hAnsi="Times New Roman" w:cs="Times New Roman"/>
          <w:bCs/>
        </w:rPr>
        <w:t>This PDF file includes:</w:t>
      </w:r>
    </w:p>
    <w:p w14:paraId="14DCCC60" w14:textId="77777777" w:rsidR="00E6133D" w:rsidRPr="00A3614E" w:rsidRDefault="00E6133D" w:rsidP="00E6133D">
      <w:pPr>
        <w:ind w:left="720"/>
        <w:contextualSpacing/>
        <w:rPr>
          <w:rFonts w:ascii="Times New Roman" w:hAnsi="Times New Roman" w:cs="Times New Roman"/>
        </w:rPr>
      </w:pPr>
      <w:r w:rsidRPr="00A3614E">
        <w:rPr>
          <w:rFonts w:ascii="Times New Roman" w:hAnsi="Times New Roman" w:cs="Times New Roman"/>
        </w:rPr>
        <w:t>Main Text</w:t>
      </w:r>
    </w:p>
    <w:p w14:paraId="4EEAF45F" w14:textId="5912D800" w:rsidR="00474D11" w:rsidRPr="00A3614E" w:rsidRDefault="00E6133D" w:rsidP="00474D11">
      <w:pPr>
        <w:ind w:left="720"/>
        <w:contextualSpacing/>
        <w:rPr>
          <w:rFonts w:ascii="Times New Roman" w:hAnsi="Times New Roman" w:cs="Times New Roman"/>
          <w:lang w:eastAsia="ko-KR"/>
        </w:rPr>
      </w:pPr>
      <w:r w:rsidRPr="00A3614E">
        <w:rPr>
          <w:rFonts w:ascii="Times New Roman" w:hAnsi="Times New Roman" w:cs="Times New Roman"/>
        </w:rPr>
        <w:t xml:space="preserve">Figures 1 to </w:t>
      </w:r>
      <w:r w:rsidR="00051702" w:rsidRPr="00A3614E">
        <w:rPr>
          <w:rFonts w:ascii="Times New Roman" w:hAnsi="Times New Roman" w:cs="Times New Roman"/>
          <w:lang w:eastAsia="ko-KR"/>
        </w:rPr>
        <w:t>6</w:t>
      </w:r>
    </w:p>
    <w:p w14:paraId="62F68347" w14:textId="5C06231A" w:rsidR="0040158E" w:rsidRPr="00A3614E" w:rsidRDefault="00E6133D" w:rsidP="00474D11">
      <w:pPr>
        <w:ind w:left="720"/>
        <w:contextualSpacing/>
        <w:rPr>
          <w:rFonts w:ascii="Times New Roman" w:hAnsi="Times New Roman" w:cs="Times New Roman"/>
          <w:lang w:eastAsia="ko-KR"/>
        </w:rPr>
        <w:sectPr w:rsidR="0040158E" w:rsidRPr="00A3614E" w:rsidSect="00010D51">
          <w:headerReference w:type="even" r:id="rId8"/>
          <w:headerReference w:type="default" r:id="rId9"/>
          <w:footerReference w:type="even" r:id="rId10"/>
          <w:footerReference w:type="default" r:id="rId11"/>
          <w:headerReference w:type="first" r:id="rId12"/>
          <w:footerReference w:type="first" r:id="rId13"/>
          <w:type w:val="continuous"/>
          <w:pgSz w:w="12240" w:h="15840"/>
          <w:pgMar w:top="720" w:right="720" w:bottom="720" w:left="720" w:header="720" w:footer="720" w:gutter="0"/>
          <w:cols w:space="720"/>
          <w:docGrid w:linePitch="299"/>
        </w:sectPr>
      </w:pPr>
      <w:r w:rsidRPr="00A3614E">
        <w:rPr>
          <w:rFonts w:ascii="Times New Roman" w:hAnsi="Times New Roman" w:cs="Times New Roman"/>
        </w:rPr>
        <w:t xml:space="preserve">Tables 1 to </w:t>
      </w:r>
      <w:r w:rsidR="00051702" w:rsidRPr="00A3614E">
        <w:rPr>
          <w:rFonts w:ascii="Times New Roman" w:hAnsi="Times New Roman" w:cs="Times New Roman"/>
          <w:lang w:eastAsia="ko-KR"/>
        </w:rPr>
        <w:t>2</w:t>
      </w:r>
    </w:p>
    <w:p w14:paraId="1022AED8" w14:textId="77777777" w:rsidR="00E6133D" w:rsidRPr="00A3614E" w:rsidRDefault="00E6133D" w:rsidP="00E6133D">
      <w:pPr>
        <w:keepNext/>
        <w:pBdr>
          <w:top w:val="nil"/>
          <w:left w:val="nil"/>
          <w:bottom w:val="nil"/>
          <w:right w:val="nil"/>
          <w:between w:val="nil"/>
        </w:pBdr>
        <w:spacing w:before="240" w:after="60"/>
        <w:rPr>
          <w:rFonts w:ascii="Times New Roman" w:hAnsi="Times New Roman" w:cs="Times New Roman"/>
          <w:b/>
          <w:color w:val="000000"/>
        </w:rPr>
      </w:pPr>
      <w:bookmarkStart w:id="0" w:name="30j0zll" w:colFirst="0" w:colLast="0"/>
      <w:bookmarkStart w:id="1" w:name="1fob9te" w:colFirst="0" w:colLast="0"/>
      <w:bookmarkEnd w:id="0"/>
      <w:bookmarkEnd w:id="1"/>
      <w:r w:rsidRPr="00A3614E">
        <w:rPr>
          <w:rFonts w:ascii="Times New Roman" w:hAnsi="Times New Roman" w:cs="Times New Roman"/>
          <w:b/>
          <w:color w:val="000000"/>
        </w:rPr>
        <w:lastRenderedPageBreak/>
        <w:t>Abstract</w:t>
      </w:r>
    </w:p>
    <w:p w14:paraId="5F6F91AF" w14:textId="77777777" w:rsidR="00010D51" w:rsidRPr="00A3614E" w:rsidRDefault="00010D51" w:rsidP="00E6133D">
      <w:pPr>
        <w:keepNext/>
        <w:pBdr>
          <w:top w:val="nil"/>
          <w:left w:val="nil"/>
          <w:bottom w:val="nil"/>
          <w:right w:val="nil"/>
          <w:between w:val="nil"/>
        </w:pBdr>
        <w:spacing w:before="240" w:after="60"/>
        <w:rPr>
          <w:rFonts w:ascii="Times New Roman" w:hAnsi="Times New Roman" w:cs="Times New Roman"/>
          <w:b/>
          <w:color w:val="000000"/>
        </w:rPr>
      </w:pPr>
    </w:p>
    <w:p w14:paraId="58AAB387"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Background:</w:t>
      </w:r>
      <w:r w:rsidRPr="00A3614E">
        <w:rPr>
          <w:rFonts w:eastAsiaTheme="minorEastAsia"/>
          <w:color w:val="000000" w:themeColor="text1"/>
          <w:sz w:val="22"/>
          <w:szCs w:val="22"/>
          <w:lang w:eastAsia="ko-KR"/>
        </w:rPr>
        <w:t xml:space="preserve"> Rapid emergence and replacement of SARS-CoV-2 variants underscore the need for early and reliable indicators of variant dominance to guide timely public health response. However, early genomic trajectories are typically short, sparse, and noisy, with strong fluctuations and substantial cross-country heterogeneity in sequencing intensity and reporting.</w:t>
      </w:r>
    </w:p>
    <w:p w14:paraId="27B62EC4" w14:textId="77777777" w:rsidR="00010D51" w:rsidRPr="00A3614E" w:rsidRDefault="00010D51" w:rsidP="00010D51">
      <w:pPr>
        <w:pStyle w:val="BodyText"/>
        <w:kinsoku w:val="0"/>
        <w:overflowPunct w:val="0"/>
        <w:spacing w:line="276" w:lineRule="auto"/>
        <w:ind w:left="0"/>
        <w:jc w:val="both"/>
        <w:rPr>
          <w:rFonts w:eastAsiaTheme="minorEastAsia"/>
          <w:b/>
          <w:bCs/>
          <w:color w:val="000000" w:themeColor="text1"/>
          <w:sz w:val="22"/>
          <w:szCs w:val="22"/>
          <w:lang w:eastAsia="ko-KR"/>
        </w:rPr>
      </w:pPr>
    </w:p>
    <w:p w14:paraId="132CDE30"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Methods:</w:t>
      </w:r>
      <w:r w:rsidRPr="00A3614E">
        <w:rPr>
          <w:rFonts w:eastAsiaTheme="minorEastAsia"/>
          <w:color w:val="000000" w:themeColor="text1"/>
          <w:sz w:val="22"/>
          <w:szCs w:val="22"/>
          <w:lang w:eastAsia="ko-KR"/>
        </w:rPr>
        <w:t xml:space="preserve"> We develop a scalable forecasting framework that predicts whether new variants will reach high prevalence and how long they will persist based on their initial genomic growth patterns. Using more than nine million sequences from 15 countries (GISAID, 2020–2024), we characterize dominance through peak prevalence and duration above 10% and extract early growth descriptors from the first 2–4 weeks after a lineage surpasses 1% frequency.  Outcomes were classified using multiple models (GLM, GAM, SVM, CART, Elastic Net, and </w:t>
      </w:r>
      <w:proofErr w:type="spellStart"/>
      <w:r w:rsidRPr="00A3614E">
        <w:rPr>
          <w:rFonts w:eastAsiaTheme="minorEastAsia"/>
          <w:color w:val="000000" w:themeColor="text1"/>
          <w:sz w:val="22"/>
          <w:szCs w:val="22"/>
          <w:lang w:eastAsia="ko-KR"/>
        </w:rPr>
        <w:t>SuperLearner</w:t>
      </w:r>
      <w:proofErr w:type="spellEnd"/>
      <w:r w:rsidRPr="00A3614E">
        <w:rPr>
          <w:rFonts w:eastAsiaTheme="minorEastAsia"/>
          <w:color w:val="000000" w:themeColor="text1"/>
          <w:sz w:val="22"/>
          <w:szCs w:val="22"/>
          <w:lang w:eastAsia="ko-KR"/>
        </w:rPr>
        <w:t xml:space="preserve">). We evaluated performance based on accuracy and utilized SHAP analysis to interpret feature importance. </w:t>
      </w:r>
    </w:p>
    <w:p w14:paraId="3B5487C4"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34E94A1D"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Results:</w:t>
      </w:r>
      <w:r w:rsidRPr="00A3614E">
        <w:rPr>
          <w:rFonts w:eastAsiaTheme="minorEastAsia"/>
          <w:color w:val="000000" w:themeColor="text1"/>
          <w:sz w:val="22"/>
          <w:szCs w:val="22"/>
          <w:lang w:eastAsia="ko-KR"/>
        </w:rPr>
        <w:t xml:space="preserve"> The Super</w:t>
      </w:r>
      <w:r w:rsidRPr="00A3614E">
        <w:rPr>
          <w:rFonts w:eastAsiaTheme="minorEastAsia"/>
          <w:color w:val="000000" w:themeColor="text1"/>
          <w:sz w:val="22"/>
          <w:szCs w:val="22"/>
          <w:lang w:eastAsia="zh-CN"/>
        </w:rPr>
        <w:t xml:space="preserve"> </w:t>
      </w:r>
      <w:r w:rsidRPr="00A3614E">
        <w:rPr>
          <w:rFonts w:eastAsiaTheme="minorEastAsia"/>
          <w:color w:val="000000" w:themeColor="text1"/>
          <w:sz w:val="22"/>
          <w:szCs w:val="22"/>
          <w:lang w:eastAsia="ko-KR"/>
        </w:rPr>
        <w:t>Learner ensemble</w:t>
      </w:r>
      <w:r w:rsidRPr="00A3614E">
        <w:rPr>
          <w:rFonts w:eastAsiaTheme="minorEastAsia"/>
          <w:color w:val="000000" w:themeColor="text1"/>
          <w:sz w:val="22"/>
          <w:szCs w:val="22"/>
          <w:lang w:eastAsia="zh-CN"/>
        </w:rPr>
        <w:t xml:space="preserve"> model</w:t>
      </w:r>
      <w:r w:rsidRPr="00A3614E">
        <w:rPr>
          <w:rFonts w:eastAsiaTheme="minorEastAsia"/>
          <w:color w:val="000000" w:themeColor="text1"/>
          <w:sz w:val="22"/>
          <w:szCs w:val="22"/>
          <w:lang w:eastAsia="ko-KR"/>
        </w:rPr>
        <w:t xml:space="preserve"> achieved the best performance, achieving up to 0.</w:t>
      </w:r>
      <w:r w:rsidRPr="00A3614E">
        <w:rPr>
          <w:rFonts w:eastAsiaTheme="minorEastAsia"/>
          <w:color w:val="000000" w:themeColor="text1"/>
          <w:sz w:val="22"/>
          <w:szCs w:val="22"/>
          <w:lang w:eastAsia="zh-CN"/>
        </w:rPr>
        <w:t>76</w:t>
      </w:r>
      <w:r w:rsidRPr="00A3614E">
        <w:rPr>
          <w:rFonts w:eastAsiaTheme="minorEastAsia"/>
          <w:color w:val="000000" w:themeColor="text1"/>
          <w:sz w:val="22"/>
          <w:szCs w:val="22"/>
          <w:lang w:eastAsia="ko-KR"/>
        </w:rPr>
        <w:t xml:space="preserve"> accuracy for peak-share prediction, and up to 0.</w:t>
      </w:r>
      <w:r w:rsidRPr="00A3614E">
        <w:rPr>
          <w:rFonts w:eastAsiaTheme="minorEastAsia"/>
          <w:color w:val="000000" w:themeColor="text1"/>
          <w:sz w:val="22"/>
          <w:szCs w:val="22"/>
          <w:lang w:eastAsia="zh-CN"/>
        </w:rPr>
        <w:t>70</w:t>
      </w:r>
      <w:r w:rsidRPr="00A3614E">
        <w:rPr>
          <w:rFonts w:eastAsiaTheme="minorEastAsia"/>
          <w:color w:val="000000" w:themeColor="text1"/>
          <w:sz w:val="22"/>
          <w:szCs w:val="22"/>
          <w:lang w:eastAsia="ko-KR"/>
        </w:rPr>
        <w:t xml:space="preserve"> accuracy</w:t>
      </w:r>
      <w:r w:rsidRPr="00A3614E">
        <w:rPr>
          <w:rFonts w:eastAsiaTheme="minorEastAsia"/>
          <w:color w:val="000000" w:themeColor="text1"/>
          <w:sz w:val="22"/>
          <w:szCs w:val="22"/>
          <w:lang w:eastAsia="zh-CN"/>
        </w:rPr>
        <w:t xml:space="preserve"> </w:t>
      </w:r>
      <w:r w:rsidRPr="00A3614E">
        <w:rPr>
          <w:rFonts w:eastAsiaTheme="minorEastAsia"/>
          <w:color w:val="000000" w:themeColor="text1"/>
          <w:sz w:val="22"/>
          <w:szCs w:val="22"/>
          <w:lang w:eastAsia="ko-KR"/>
        </w:rPr>
        <w:t xml:space="preserve">for duration </w:t>
      </w:r>
      <w:proofErr w:type="gramStart"/>
      <w:r w:rsidRPr="00A3614E">
        <w:rPr>
          <w:rFonts w:eastAsiaTheme="minorEastAsia"/>
          <w:color w:val="000000" w:themeColor="text1"/>
          <w:sz w:val="22"/>
          <w:szCs w:val="22"/>
          <w:lang w:eastAsia="ko-KR"/>
        </w:rPr>
        <w:t>classification—</w:t>
      </w:r>
      <w:proofErr w:type="gramEnd"/>
      <w:r w:rsidRPr="00A3614E">
        <w:rPr>
          <w:rFonts w:eastAsiaTheme="minorEastAsia"/>
          <w:color w:val="000000" w:themeColor="text1"/>
          <w:sz w:val="22"/>
          <w:szCs w:val="22"/>
          <w:lang w:eastAsia="ko-KR"/>
        </w:rPr>
        <w:t>substantially outperforming all individual models. SHAP analysis showed that variants achieving high peaks exhibit strong but structurally coherent early growth, whereas prolonged dominance is associated not with early surges but with sustained, moderate short-term fluctuations embedded within a stable trajectory.</w:t>
      </w:r>
    </w:p>
    <w:p w14:paraId="74CD0131" w14:textId="77777777" w:rsidR="00010D51" w:rsidRPr="00A3614E" w:rsidRDefault="00010D51" w:rsidP="00010D51">
      <w:pPr>
        <w:pStyle w:val="BodyText"/>
        <w:kinsoku w:val="0"/>
        <w:overflowPunct w:val="0"/>
        <w:spacing w:line="276" w:lineRule="auto"/>
        <w:ind w:left="0"/>
        <w:jc w:val="both"/>
        <w:rPr>
          <w:rFonts w:eastAsiaTheme="minorEastAsia"/>
          <w:b/>
          <w:bCs/>
          <w:color w:val="000000" w:themeColor="text1"/>
          <w:sz w:val="22"/>
          <w:szCs w:val="22"/>
          <w:lang w:eastAsia="ko-KR"/>
        </w:rPr>
      </w:pPr>
    </w:p>
    <w:p w14:paraId="77B399A7"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Conclusion:</w:t>
      </w:r>
      <w:r w:rsidRPr="00A3614E">
        <w:rPr>
          <w:rFonts w:eastAsiaTheme="minorEastAsia"/>
          <w:color w:val="000000" w:themeColor="text1"/>
          <w:sz w:val="22"/>
          <w:szCs w:val="22"/>
          <w:lang w:eastAsia="ko-KR"/>
        </w:rPr>
        <w:t xml:space="preserve"> This framework defines minimum surveillance thresholds (≥100 sequences in 30 days, ≥1% detection share), variant grouping rules, and noise-filtering protocols, enabling cross-country comparison and country-specific forecasting. It provides a lightweight, reproducible early-warning tool for genomic surveillance and real-time epidemic intelligence.</w:t>
      </w:r>
    </w:p>
    <w:p w14:paraId="55D5800F" w14:textId="77777777" w:rsidR="00297272" w:rsidRPr="00A3614E" w:rsidRDefault="00297272"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3631B8BA" w14:textId="77777777" w:rsidR="00297272" w:rsidRPr="00A3614E" w:rsidRDefault="00297272"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766AD4ED" w14:textId="77777777" w:rsidR="00297272" w:rsidRPr="00A3614E" w:rsidRDefault="00297272"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77961F3E" w14:textId="77777777" w:rsidR="00297272"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10E4EC85"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289CFE25"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7374B58A"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50089806"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13552908"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23967E77"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0E67275B"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6E3EDF6B"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1E2E8F72" w14:textId="77777777" w:rsidR="00A65C74" w:rsidRPr="00A3614E"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4D64DB36"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449F1DC2"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4AF63331"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7269837A" w14:textId="77777777" w:rsidR="00297272"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094A614E" w14:textId="77777777" w:rsidR="00820A97" w:rsidRPr="00A3614E" w:rsidRDefault="00820A97"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6AEAA2A6"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39BEE396"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64C7B778"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7DAE9B8C"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690C7A85"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65414ABF" w14:textId="77777777" w:rsidR="00010D51" w:rsidRPr="00A3614E" w:rsidRDefault="00010D51" w:rsidP="00010D51">
      <w:pPr>
        <w:pStyle w:val="BodyText"/>
        <w:kinsoku w:val="0"/>
        <w:overflowPunct w:val="0"/>
        <w:spacing w:line="276" w:lineRule="auto"/>
        <w:ind w:left="0"/>
        <w:contextualSpacing/>
        <w:jc w:val="both"/>
        <w:rPr>
          <w:rFonts w:eastAsiaTheme="minorEastAsia"/>
          <w:b/>
          <w:bCs/>
          <w:color w:val="000000" w:themeColor="text1"/>
          <w:sz w:val="22"/>
          <w:szCs w:val="22"/>
          <w:lang w:eastAsia="zh-CN"/>
        </w:rPr>
      </w:pPr>
      <w:r w:rsidRPr="00A3614E">
        <w:rPr>
          <w:rFonts w:eastAsiaTheme="minorEastAsia"/>
          <w:b/>
          <w:bCs/>
          <w:color w:val="000000" w:themeColor="text1"/>
          <w:sz w:val="22"/>
          <w:szCs w:val="22"/>
          <w:lang w:eastAsia="zh-CN"/>
        </w:rPr>
        <w:lastRenderedPageBreak/>
        <w:t>Introduction</w:t>
      </w:r>
    </w:p>
    <w:p w14:paraId="14DD6365" w14:textId="77777777" w:rsidR="00010D51" w:rsidRPr="00A3614E" w:rsidRDefault="00010D51" w:rsidP="00010D51">
      <w:pPr>
        <w:pStyle w:val="BodyText"/>
        <w:kinsoku w:val="0"/>
        <w:overflowPunct w:val="0"/>
        <w:spacing w:line="276" w:lineRule="auto"/>
        <w:ind w:left="0"/>
        <w:contextualSpacing/>
        <w:jc w:val="both"/>
        <w:rPr>
          <w:rFonts w:eastAsiaTheme="minorEastAsia"/>
          <w:color w:val="000000" w:themeColor="text1"/>
          <w:sz w:val="22"/>
          <w:szCs w:val="22"/>
          <w:lang w:eastAsia="zh-CN"/>
        </w:rPr>
      </w:pPr>
    </w:p>
    <w:p w14:paraId="0C3AE3A6" w14:textId="05814124" w:rsidR="00010D51" w:rsidRPr="00A3614E" w:rsidRDefault="00010D51"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r w:rsidRPr="00A3614E">
        <w:rPr>
          <w:rFonts w:eastAsiaTheme="minorEastAsia"/>
          <w:color w:val="000000" w:themeColor="text1"/>
          <w:sz w:val="22"/>
          <w:szCs w:val="22"/>
          <w:lang w:eastAsia="ko-KR"/>
        </w:rPr>
        <w:t xml:space="preserve">The SARS-CoV-2 pandemic has provided a unique opportunity to observe viral evolution and competition in real time, offering insights into broader respiratory pathogen dynamics </w:t>
      </w:r>
      <w:r w:rsidRPr="00A3614E">
        <w:rPr>
          <w:rFonts w:eastAsiaTheme="minorEastAsia"/>
          <w:color w:val="000000" w:themeColor="text1"/>
          <w:sz w:val="22"/>
          <w:szCs w:val="22"/>
          <w:lang w:eastAsia="ko-KR"/>
        </w:rPr>
        <w:fldChar w:fldCharType="begin"/>
      </w:r>
      <w:r w:rsidR="002361C0">
        <w:rPr>
          <w:rFonts w:eastAsiaTheme="minorEastAsia"/>
          <w:color w:val="000000" w:themeColor="text1"/>
          <w:sz w:val="22"/>
          <w:szCs w:val="22"/>
          <w:lang w:eastAsia="ko-KR"/>
        </w:rPr>
        <w:instrText xml:space="preserve"> ADDIN ZOTERO_ITEM CSL_CITATION {"citationID":"4X4IJeNC","properties":{"formattedCitation":"(1)","plainCitation":"(1)","noteIndex":0},"citationItems":[{"id":744,"uris":["http://zotero.org/users/14790911/items/TJH7THF4"],"itemData":{"id":744,"type":"article-journal","abstract":"Although most mutations in the severe acute respiratory syndrome coronavirus 2 (SARS-CoV-2) genome are expected to be either deleterious and swiftly purged or relatively neutral, a small proportion will affect functional properties and may alter infectivity, disease severity or interactions with host immunity. The emergence of SARS-CoV-2 in late 2019 was followed by a period of relative evolutionary stasis lasting about 11 months. Since late 2020, however, SARS-CoV-2 evolution has been characterized by the emergence of sets of mutations, in the context of 'variants of concern', that impact virus characteristics, including transmissibility and antigenicity, probably in response to the changing immune profile of the human population. There is emerging evidence of reduced neutralization of some SARS-CoV-2 variants by postvaccination serum; however, a greater understanding of correlates of protection is required to evaluate how this may impact vaccine effectiveness. Nonetheless, manufacturers are preparing platforms for a possible update of vaccine sequences, and it is crucial that surveillance of genetic and antigenic changes in the global virus population is done alongside experiments to elucidate the phenotypic impacts of mutations. In this Review, we summarize the literature on mutations of the SARS-CoV-2 spike protein, the primary antigen, focusing on their impacts on antigenicity and contextualizing them in the protein structure, and discuss them in the context of observed mutation frequencies in global sequence datasets.","container-title":"Nature Reviews. Microbiology","DOI":"10.1038/s41579-021-00573-0","ISSN":"1740-1534","issue":"7","journalAbbreviation":"Nat Rev Microbiol","language":"eng","page":"409-424","PMID":"34075212","PMCID":"PMC8167834","source":"PubMed","title":"SARS-CoV-2 variants, spike mutations and immune escape","volume":"19","author":[{"family":"Harvey","given":"William T."},{"family":"Carabelli","given":"Alessandro M."},{"family":"Jackson","given":"Ben"},{"family":"Gupta","given":"Ravindra K."},{"family":"Thomson","given":"Emma C."},{"family":"Harrison","given":"Ewan M."},{"family":"Ludden","given":"Catherine"},{"family":"Reeve","given":"Richard"},{"family":"Rambaut","given":"Andrew"},{"literal":"COVID-19 Genomics UK (COG-UK) Consortium"},{"family":"Peacock","given":"Sharon J."},{"family":"Robertson","given":"David L."}],"issued":{"date-parts":[["2021",7]]}}}],"schema":"https://github.com/citation-style-language/schema/raw/master/csl-citation.json"} </w:instrText>
      </w:r>
      <w:r w:rsidRPr="00A3614E">
        <w:rPr>
          <w:rFonts w:eastAsiaTheme="minorEastAsia"/>
          <w:color w:val="000000" w:themeColor="text1"/>
          <w:sz w:val="22"/>
          <w:szCs w:val="22"/>
          <w:lang w:eastAsia="ko-KR"/>
        </w:rPr>
        <w:fldChar w:fldCharType="separate"/>
      </w:r>
      <w:r w:rsidR="002361C0">
        <w:rPr>
          <w:rFonts w:eastAsiaTheme="minorEastAsia"/>
          <w:color w:val="000000" w:themeColor="text1"/>
          <w:sz w:val="22"/>
          <w:szCs w:val="22"/>
          <w:lang w:eastAsia="ko-KR"/>
          <w14:ligatures w14:val="standardContextual"/>
        </w:rPr>
        <w:t>(1)</w:t>
      </w:r>
      <w:r w:rsidRPr="00A3614E">
        <w:rPr>
          <w:rFonts w:eastAsiaTheme="minorEastAsia"/>
          <w:color w:val="000000" w:themeColor="text1"/>
          <w:sz w:val="22"/>
          <w:szCs w:val="22"/>
          <w:lang w:eastAsia="ko-KR"/>
        </w:rPr>
        <w:fldChar w:fldCharType="end"/>
      </w:r>
      <w:r w:rsidRPr="00A3614E">
        <w:rPr>
          <w:rFonts w:eastAsiaTheme="minorEastAsia"/>
          <w:color w:val="000000" w:themeColor="text1"/>
          <w:sz w:val="22"/>
          <w:szCs w:val="22"/>
          <w:lang w:eastAsia="ko-KR"/>
        </w:rPr>
        <w:t xml:space="preserve">.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emphasized that SARS-CoV-2 variant surveillance remains critical for pandemic preparedness </w:t>
      </w:r>
      <w:r w:rsidRPr="00A3614E">
        <w:rPr>
          <w:rFonts w:eastAsiaTheme="minorEastAsia"/>
          <w:color w:val="000000" w:themeColor="text1"/>
          <w:sz w:val="22"/>
          <w:szCs w:val="22"/>
          <w:lang w:eastAsia="ko-KR"/>
        </w:rPr>
        <w:fldChar w:fldCharType="begin"/>
      </w:r>
      <w:r w:rsidR="002361C0">
        <w:rPr>
          <w:rFonts w:eastAsiaTheme="minorEastAsia"/>
          <w:color w:val="000000" w:themeColor="text1"/>
          <w:sz w:val="22"/>
          <w:szCs w:val="22"/>
          <w:lang w:eastAsia="ko-KR"/>
        </w:rPr>
        <w:instrText xml:space="preserve"> ADDIN ZOTERO_ITEM CSL_CITATION {"citationID":"yIT1buxO","properties":{"formattedCitation":"(2,3)","plainCitation":"(2,3)","noteIndex":0},"citationItems":[{"id":643,"uris":["http://zotero.org/users/14790911/items/HEEIKFVC"],"itemData":{"id":643,"type":"webpage","abstract":"It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variants","URL":"https://www.who.int/activities/tracking-SARS-CoV-2-variants","accessed":{"date-parts":[["2025",10,20]]}}},{"id":641,"uris":["http://zotero.org/users/14790911/items/M9VQG6GC"],"itemData":{"id":641,"type":"webpage","abstract":"CDC uses genomic surveillance to track emerging SARS-CoV-2 variants that cause COVID-19.","container-title":"COVID-19","language":"en-us","title":"CDC's Role in Tracking Variants","URL":"https://www.cdc.gov/covid/php/variants/index.html","author":[{"family":"CDC","given":""}],"accessed":{"date-parts":[["2025",10,20]]},"issued":{"date-parts":[["2025",9,5]]}}}],"schema":"https://github.com/citation-style-language/schema/raw/master/csl-citation.json"} </w:instrText>
      </w:r>
      <w:r w:rsidRPr="00A3614E">
        <w:rPr>
          <w:rFonts w:eastAsiaTheme="minorEastAsia"/>
          <w:color w:val="000000" w:themeColor="text1"/>
          <w:sz w:val="22"/>
          <w:szCs w:val="22"/>
          <w:lang w:eastAsia="ko-KR"/>
        </w:rPr>
        <w:fldChar w:fldCharType="separate"/>
      </w:r>
      <w:r w:rsidR="002361C0">
        <w:rPr>
          <w:color w:val="000000"/>
          <w:sz w:val="22"/>
        </w:rPr>
        <w:t>(2,3)</w:t>
      </w:r>
      <w:r w:rsidRPr="00A3614E">
        <w:rPr>
          <w:rFonts w:eastAsiaTheme="minorEastAsia"/>
          <w:color w:val="000000" w:themeColor="text1"/>
          <w:sz w:val="22"/>
          <w:szCs w:val="22"/>
          <w:lang w:eastAsia="ko-KR"/>
        </w:rPr>
        <w:fldChar w:fldCharType="end"/>
      </w:r>
      <w:r w:rsidRPr="00A3614E">
        <w:rPr>
          <w:rFonts w:eastAsiaTheme="minorEastAsia"/>
          <w:color w:val="000000" w:themeColor="text1"/>
          <w:sz w:val="22"/>
          <w:szCs w:val="22"/>
          <w:lang w:eastAsia="ko-KR"/>
        </w:rPr>
        <w:t>.</w:t>
      </w:r>
    </w:p>
    <w:p w14:paraId="4A3C157F" w14:textId="77777777" w:rsidR="00010D51" w:rsidRPr="00A3614E" w:rsidRDefault="00010D51" w:rsidP="00010D51">
      <w:pPr>
        <w:pStyle w:val="BodyText"/>
        <w:kinsoku w:val="0"/>
        <w:overflowPunct w:val="0"/>
        <w:spacing w:line="276" w:lineRule="auto"/>
        <w:ind w:left="0"/>
        <w:contextualSpacing/>
        <w:jc w:val="both"/>
        <w:rPr>
          <w:rFonts w:eastAsiaTheme="minorEastAsia"/>
          <w:color w:val="000000" w:themeColor="text1"/>
          <w:sz w:val="22"/>
          <w:szCs w:val="22"/>
          <w:lang w:eastAsia="zh-CN"/>
        </w:rPr>
      </w:pPr>
    </w:p>
    <w:p w14:paraId="7E1179D5" w14:textId="32382102"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r w:rsidRPr="00A3614E">
        <w:rPr>
          <w:color w:val="000000" w:themeColor="text1"/>
          <w:sz w:val="22"/>
          <w:szCs w:val="22"/>
        </w:rPr>
        <w:t xml:space="preserve">Despite the global experience of multiple SARS-CoV-2 infection waves, </w:t>
      </w:r>
      <w:r w:rsidRPr="00A3614E">
        <w:rPr>
          <w:rStyle w:val="Strong"/>
          <w:rFonts w:eastAsiaTheme="majorEastAsia"/>
          <w:b w:val="0"/>
          <w:bCs w:val="0"/>
          <w:color w:val="000000" w:themeColor="text1"/>
          <w:sz w:val="22"/>
          <w:szCs w:val="22"/>
        </w:rPr>
        <w:t>timely identification of variants capable of driving new surges remains difficult</w:t>
      </w:r>
      <w:r w:rsidRPr="00A3614E">
        <w:rPr>
          <w:color w:val="000000" w:themeColor="text1"/>
          <w:sz w:val="22"/>
          <w:szCs w:val="22"/>
        </w:rPr>
        <w:t xml:space="preserve"> due to several intertwined factors. Capturing early signals of variant dominance is particularly challenging because early trajectories are </w:t>
      </w:r>
      <w:r w:rsidRPr="00A3614E">
        <w:rPr>
          <w:rStyle w:val="Strong"/>
          <w:rFonts w:eastAsiaTheme="majorEastAsia"/>
          <w:b w:val="0"/>
          <w:bCs w:val="0"/>
          <w:color w:val="000000" w:themeColor="text1"/>
          <w:sz w:val="22"/>
          <w:szCs w:val="22"/>
        </w:rPr>
        <w:t>short, sparse, and noisy</w:t>
      </w:r>
      <w:r w:rsidRPr="00A3614E">
        <w:rPr>
          <w:color w:val="000000" w:themeColor="text1"/>
          <w:sz w:val="22"/>
          <w:szCs w:val="22"/>
        </w:rPr>
        <w:t xml:space="preserve">, with strong daily fluctuations and large cross-country variation in sequencing practices. Defining the initial observation period is also </w:t>
      </w:r>
      <w:proofErr w:type="gramStart"/>
      <w:r w:rsidRPr="00A3614E">
        <w:rPr>
          <w:color w:val="000000" w:themeColor="text1"/>
          <w:sz w:val="22"/>
          <w:szCs w:val="22"/>
        </w:rPr>
        <w:t>delicate</w:t>
      </w:r>
      <w:proofErr w:type="gramEnd"/>
      <w:r w:rsidRPr="00A3614E">
        <w:rPr>
          <w:color w:val="000000" w:themeColor="text1"/>
          <w:sz w:val="22"/>
          <w:szCs w:val="22"/>
        </w:rPr>
        <w:t xml:space="preserve"> including</w:t>
      </w:r>
      <w:r w:rsidRPr="00A3614E">
        <w:rPr>
          <w:rStyle w:val="Strong"/>
          <w:rFonts w:eastAsiaTheme="majorEastAsia"/>
          <w:color w:val="000000" w:themeColor="text1"/>
          <w:sz w:val="22"/>
          <w:szCs w:val="22"/>
        </w:rPr>
        <w:t xml:space="preserve"> </w:t>
      </w:r>
      <w:r w:rsidRPr="00A3614E">
        <w:rPr>
          <w:rStyle w:val="Strong"/>
          <w:rFonts w:eastAsiaTheme="majorEastAsia"/>
          <w:b w:val="0"/>
          <w:bCs w:val="0"/>
          <w:color w:val="000000" w:themeColor="text1"/>
          <w:sz w:val="22"/>
          <w:szCs w:val="22"/>
        </w:rPr>
        <w:t>too many early zeros or stochastic spikes can distort growth signals</w:t>
      </w:r>
      <w:r w:rsidRPr="00A3614E">
        <w:rPr>
          <w:b/>
          <w:bCs/>
          <w:color w:val="000000" w:themeColor="text1"/>
          <w:sz w:val="22"/>
          <w:szCs w:val="22"/>
        </w:rPr>
        <w:t xml:space="preserve"> </w:t>
      </w:r>
      <w:r w:rsidRPr="00A3614E">
        <w:rPr>
          <w:color w:val="000000" w:themeColor="text1"/>
          <w:sz w:val="22"/>
          <w:szCs w:val="22"/>
        </w:rPr>
        <w:t xml:space="preserve">and obscure true trends. Moreover, the virus’s </w:t>
      </w:r>
      <w:r w:rsidRPr="00A3614E">
        <w:rPr>
          <w:rStyle w:val="Strong"/>
          <w:rFonts w:eastAsiaTheme="majorEastAsia"/>
          <w:b w:val="0"/>
          <w:bCs w:val="0"/>
          <w:color w:val="000000" w:themeColor="text1"/>
          <w:sz w:val="22"/>
          <w:szCs w:val="22"/>
        </w:rPr>
        <w:t>high mutation rate</w:t>
      </w:r>
      <w:r w:rsidRPr="00A3614E">
        <w:rPr>
          <w:b/>
          <w:bCs/>
          <w:color w:val="000000" w:themeColor="text1"/>
          <w:sz w:val="22"/>
          <w:szCs w:val="22"/>
        </w:rPr>
        <w:t xml:space="preserve"> </w:t>
      </w:r>
      <w:r w:rsidRPr="00A3614E">
        <w:rPr>
          <w:color w:val="000000" w:themeColor="text1"/>
          <w:sz w:val="22"/>
          <w:szCs w:val="22"/>
        </w:rPr>
        <w:t xml:space="preserve">continually generates a diverse pool of variants with distinct genetic profiles that affect transmissibility, immune escape, and pathogenicity, complicating efforts to identify which low-prevalence lineages (e.g., 0.01–3%) are likely to dominate. </w:t>
      </w:r>
      <w:r w:rsidRPr="00A3614E">
        <w:rPr>
          <w:rFonts w:eastAsiaTheme="minorEastAsia"/>
          <w:color w:val="000000" w:themeColor="text1"/>
          <w:sz w:val="22"/>
          <w:szCs w:val="22"/>
          <w:lang w:eastAsia="ko-KR"/>
        </w:rPr>
        <w:t>The challenge is compounded by variability in sequencing capacity across countries, with low-resource settings often facing delays in generating sufficient genomic data to detect emerging variants early. For instance, while high-sequencing settings (~1,000 sequences/week) enable robust monitoring, regions with limited infrastructure (~100 sequences/week) often face detection delays and incomplete genomic coverage. Recent analyses show that 78% of high-income countries sequenced over 0.5% of their COVID-19 cases, compared with only 42% of low- and middle-income countries</w:t>
      </w:r>
      <w:r w:rsidRPr="00A3614E">
        <w:rPr>
          <w:rFonts w:eastAsiaTheme="minorEastAsia"/>
          <w:color w:val="000000" w:themeColor="text1"/>
          <w:sz w:val="22"/>
          <w:szCs w:val="22"/>
        </w:rPr>
        <w:t xml:space="preserve"> </w:t>
      </w:r>
      <w:r w:rsidRPr="00A3614E">
        <w:rPr>
          <w:rFonts w:eastAsiaTheme="minorEastAsia"/>
          <w:color w:val="000000" w:themeColor="text1"/>
          <w:sz w:val="22"/>
          <w:szCs w:val="22"/>
        </w:rPr>
        <w:fldChar w:fldCharType="begin"/>
      </w:r>
      <w:r w:rsidR="002361C0">
        <w:rPr>
          <w:rFonts w:eastAsiaTheme="minorEastAsia"/>
          <w:color w:val="000000" w:themeColor="text1"/>
          <w:sz w:val="22"/>
          <w:szCs w:val="22"/>
        </w:rPr>
        <w:instrText xml:space="preserve"> ADDIN ZOTERO_ITEM CSL_CITATION {"citationID":"gIZGMpA9","properties":{"formattedCitation":"(4)","plainCitation":"(4)","noteIndex":0},"citationItems":[{"id":645,"uris":["http://zotero.org/users/14790911/items/YYDRAWPJ"],"itemData":{"id":645,"type":"article-journal","abstract":"Genomic sequencing is essential to track the evolution and spread of SARS-CoV-2, optimize molecular tests, treatments, vaccines, and guide public health responses. To investigate the global SARS-CoV-2 genomic surveillance, we used sequences shared via GISAID to estimate the impact of sequencing intensity and turnaround times on variant detection in 189 countries. In the first two years of the pandemic, 78% of high-income countries sequenced &gt;0.5% of their COVID-19 cases, while 42% of low- and middle-income countries reached that mark. Around 25% of the genomes from high income countries were submitted within 21 days, a pattern observed in 5% of the genomes from low- and middle-income countries. We found that sequencing around 0.5% of the cases, with a turnaround time &lt;21 days, could provide a benchmark for SARS-CoV-2 genomic surveillance. Socioeconomic inequalities undermine the global pandemic preparedness, and efforts must be made to support low- and middle-income countries improve their local sequencing capacity.","container-title":"Nature Communications","DOI":"10.1038/s41467-022-33713-y","ISSN":"2041-1723","issue":"1","journalAbbreviation":"Nat Commun","language":"eng","page":"7003","PMID":"36385137","PMCID":"PMC9667854","source":"PubMed","title":"Global disparities in SARS-CoV-2 genomic surveillance","volume":"13","author":[{"family":"Brito","given":"Anderson F."},{"family":"Semenova","given":"Elizaveta"},{"family":"Dudas","given":"Gytis"},{"family":"Hassler","given":"Gabriel W."},{"family":"Kalinich","given":"Chaney C."},{"family":"Kraemer","given":"Moritz U. G."},{"family":"Ho","given":"Joses"},{"family":"Tegally","given":"Houriiyah"},{"family":"Githinji","given":"George"},{"family":"Agoti","given":"Charles N."},{"family":"Matkin","given":"Lucy E."},{"family":"Whittaker","given":"Charles"},{"literal":"Bulgarian SARS-CoV-2 sequencing group"},{"literal":"Communicable Diseases Genomics Network (Australia and New Zealand)"},{"literal":"COVID-19 Impact Project"},{"literal":"Danish Covid-19 Genome Consortium"},{"literal":"Fiocruz COVID-19 Genomic Surveillance Network"},{"literal":"GISAID core curation team"},{"literal":"Network for Genomic Surveillance in South Africa (NGS-SA)"},{"literal":"Swiss SARS-CoV-2 Sequencing Consortium"},{"family":"Howden","given":"Benjamin P."},{"family":"Sintchenko","given":"Vitali"},{"family":"Zuckerman","given":"Neta S."},{"family":"Mor","given":"Orna"},{"family":"Blankenship","given":"Heather M."},{"family":"Oliveira","given":"Tulio","non-dropping-particle":"de"},{"family":"Lin","given":"Raymond T. P."},{"family":"Siqueira","given":"Marilda Mendonça"},{"family":"Resende","given":"Paola Cristina"},{"family":"Vasconcelos","given":"Ana Tereza R."},{"family":"Spilki","given":"Fernando R."},{"family":"Aguiar","given":"Renato Santana"},{"family":"Alexiev","given":"Ivailo"},{"family":"Ivanov","given":"Ivan N."},{"family":"Philipova","given":"Ivva"},{"family":"Carrington","given":"Christine V. F."},{"family":"Sahadeo","given":"Nikita S. D."},{"family":"Branda","given":"Ben"},{"family":"Gurry","given":"Céline"},{"family":"Maurer-Stroh","given":"Sebastian"},{"family":"Naidoo","given":"Dhamari"},{"family":"Eije","given":"Karin J.","non-dropping-particle":"von"},{"family":"Perkins","given":"Mark D."},{"family":"Kerkhove","given":"Maria","non-dropping-particle":"van"},{"family":"Hill","given":"Sarah C."},{"family":"Sabino","given":"Ester C."},{"family":"Pybus","given":"Oliver G."},{"family":"Dye","given":"Christopher"},{"family":"Bhatt","given":"Samir"},{"family":"Flaxman","given":"Seth"},{"family":"Suchard","given":"Marc A."},{"family":"Grubaugh","given":"Nathan D."},{"family":"Baele","given":"Guy"},{"family":"Faria","given":"Nuno R."}],"issued":{"date-parts":[["2022",11,16]]}}}],"schema":"https://github.com/citation-style-language/schema/raw/master/csl-citation.json"} </w:instrText>
      </w:r>
      <w:r w:rsidRPr="00A3614E">
        <w:rPr>
          <w:rFonts w:eastAsiaTheme="minorEastAsia"/>
          <w:color w:val="000000" w:themeColor="text1"/>
          <w:sz w:val="22"/>
          <w:szCs w:val="22"/>
        </w:rPr>
        <w:fldChar w:fldCharType="separate"/>
      </w:r>
      <w:r w:rsidR="002361C0">
        <w:rPr>
          <w:rFonts w:eastAsiaTheme="minorEastAsia"/>
          <w:color w:val="000000" w:themeColor="text1"/>
          <w:sz w:val="22"/>
          <w:szCs w:val="22"/>
          <w:lang w:eastAsia="ko-KR"/>
          <w14:ligatures w14:val="standardContextual"/>
        </w:rPr>
        <w:t>(4)</w:t>
      </w:r>
      <w:r w:rsidRPr="00A3614E">
        <w:rPr>
          <w:rFonts w:eastAsiaTheme="minorEastAsia"/>
          <w:color w:val="000000" w:themeColor="text1"/>
          <w:sz w:val="22"/>
          <w:szCs w:val="22"/>
        </w:rPr>
        <w:fldChar w:fldCharType="end"/>
      </w:r>
      <w:r w:rsidRPr="00A3614E">
        <w:rPr>
          <w:rFonts w:eastAsiaTheme="minorEastAsia"/>
          <w:color w:val="000000" w:themeColor="text1"/>
          <w:sz w:val="22"/>
          <w:szCs w:val="22"/>
          <w:lang w:eastAsia="ko-KR"/>
        </w:rPr>
        <w:t xml:space="preserve">. </w:t>
      </w:r>
    </w:p>
    <w:p w14:paraId="7F7BD244" w14:textId="77777777"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p>
    <w:p w14:paraId="4C3E7E80" w14:textId="60A7440A" w:rsidR="00010D51" w:rsidRPr="00A3614E" w:rsidRDefault="00010D51" w:rsidP="00010D51">
      <w:pPr>
        <w:pStyle w:val="NormalWeb"/>
        <w:spacing w:line="276" w:lineRule="auto"/>
        <w:contextualSpacing/>
        <w:jc w:val="both"/>
        <w:rPr>
          <w:rStyle w:val="Strong"/>
          <w:rFonts w:eastAsiaTheme="majorEastAsia"/>
          <w:b w:val="0"/>
          <w:bCs w:val="0"/>
          <w:color w:val="000000" w:themeColor="text1"/>
          <w:sz w:val="22"/>
          <w:szCs w:val="22"/>
        </w:rPr>
      </w:pPr>
      <w:r w:rsidRPr="00A3614E">
        <w:rPr>
          <w:color w:val="000000" w:themeColor="text1"/>
          <w:sz w:val="22"/>
          <w:szCs w:val="22"/>
        </w:rPr>
        <w:t xml:space="preserve">Recent </w:t>
      </w:r>
      <w:r w:rsidRPr="00A3614E">
        <w:rPr>
          <w:rFonts w:eastAsiaTheme="minorEastAsia"/>
          <w:color w:val="000000" w:themeColor="text1"/>
          <w:sz w:val="22"/>
          <w:szCs w:val="22"/>
          <w:lang w:eastAsia="ko-KR"/>
        </w:rPr>
        <w:t xml:space="preserve">modeling studies </w:t>
      </w:r>
      <w:r w:rsidRPr="00A3614E">
        <w:rPr>
          <w:color w:val="000000" w:themeColor="text1"/>
          <w:sz w:val="22"/>
          <w:szCs w:val="22"/>
        </w:rPr>
        <w:t>have made important progress in forecasting SARS-CoV-2 variant dynamics, yet most require data volumes or structures that limit early, global applicability.</w:t>
      </w:r>
      <w:r w:rsidRPr="00A3614E">
        <w:rPr>
          <w:color w:val="000000" w:themeColor="text1"/>
          <w:sz w:val="22"/>
          <w:szCs w:val="22"/>
        </w:rPr>
        <w:fldChar w:fldCharType="begin"/>
      </w:r>
      <w:r w:rsidR="002361C0">
        <w:rPr>
          <w:color w:val="000000" w:themeColor="text1"/>
          <w:sz w:val="22"/>
          <w:szCs w:val="22"/>
        </w:rPr>
        <w:instrText xml:space="preserve"> ADDIN ZOTERO_ITEM CSL_CITATION {"citationID":"W47yL4vN","properties":{"formattedCitation":"(5,6)","plainCitation":"(5,6)","noteIndex":0},"citationItems":[{"id":651,"uris":["http://zotero.org/users/14790911/items/GMTTX4TA"],"itemData":{"id":651,"type":"article-journal","abstract":"The integration of viral genomic data into public health surveillance has revolutionized our ability to track and forecast infectious disease dynamics. This review addresses two critical aspects of infectious disease forecasting and monitoring: the methodological workflow for epidemic forecasting and the transformative role of molecular surveillance. We first present a detailed approach for validating epidemic models, emphasizing an iterative workflow that utilizes ordinary differential equation (ODE)-based models to investigate and forecast disease dynamics. We recommend a more structured approach to model validation, systematically addressing key stages such as model calibration, assessment of structural and practical parameter identifiability, and effective uncertainty propagation in forecasts. Furthermore, we underscore the importance of incorporating multiple data streams by applying both simulated and real epidemiological data from the COVID-19 pandemic to produce more reliable forecasts with quantified uncertainty. Additionally, we emphasize the pivotal role of viral genomic data in tracking transmission dynamics and pathogen evolution. By leveraging advanced computational tools such as Bayesian phylogenetics and phylodynamics, researchers can more accurately estimate transmission clusters and reconstruct outbreak histories, thereby improving data-driven modeling and forecasting and informing targeted public health interventions. Finally, we discuss the transformative potential of integrating molecular epidemiology with mathematical modeling to complement and enhance epidemic forecasting and optimize public health strategies.","container-title":"Physics of Life Reviews","DOI":"10.1016/j.plrev.2024.10.011","ISSN":"1571-0645","journalAbbreviation":"Physics of Life Reviews","page":"294-327","source":"ScienceDirect","title":"Investigating and forecasting infectious disease dynamics using epidemiological and molecular surveillance data","volume":"51","author":[{"family":"Chowell","given":"Gerardo"},{"family":"Skums","given":"Pavel"}],"issued":{"date-parts":[["2024",12,1]]}}},{"id":648,"uris":["http://zotero.org/users/14790911/items/XXYFASB3"],"itemData":{"id":648,"type":"article-journal","abstract":"The genomic diversification of viral pathogens during viral epidemics and pandemics represents a major adaptive route for infectious agents to circumvent therapeutic and public health initiatives. Historically, strategies to address viral evolution have relied on responding to emerging variants after their detection, leading to delays in effective public health responses. Because of this, a long-standing yet challenging objective has been to forecast viral evolution by predicting potentially harmful viral mutations prior to their emergence. The promises of artificial intelligence (AI) coupled with the exponential growth of viral data collection infrastructures spurred by the COVID-19 pandemic, have resulted in a research ecosystem highly conducive to this objective. Due to the COVID-19 pandemic accelerating the development of pandemic mitigation and preparedness strategies, many of the methods discussed here were designed in the context of SARS-CoV-2 evolution. However, most of these pipelines were intentionally designed to be adaptable across RNA viruses, with several strategies already applied to multiple viral species. In this review, we explore recent breakthroughs that have facilitated the forecasting of viral evolution in the context of an ongoing pandemic, with particular emphasis on deep learning architectures, including the promising potential of language models (LM). The approaches discussed here employ strategies that leverage genomic, epidemiologic, immunologic and biological information.","container-title":"Computational and Structural Biotechnology Journal","DOI":"10.1016/j.csbj.2025.03.044","ISSN":"2001-0370","journalAbbreviation":"Computational and Structural Biotechnology Journal","page":"1370-1382","source":"ScienceDirect","title":"Predicting pathogen evolution and immune evasion in the age of artificial intelligence","volume":"27","author":[{"family":"Hamelin","given":"D. J."},{"family":"Scicluna","given":"M."},{"family":"Saadie","given":"I."},{"family":"Mostefai","given":"F."},{"family":"Grenier","given":"J. C."},{"family":"Baron","given":"C."},{"family":"Caron","given":"E."},{"family":"Hussin","given":"J. G."}],"issued":{"date-parts":[["2025",1,1]]}}}],"schema":"https://github.com/citation-style-language/schema/raw/master/csl-citation.json"} </w:instrText>
      </w:r>
      <w:r w:rsidRPr="00A3614E">
        <w:rPr>
          <w:color w:val="000000" w:themeColor="text1"/>
          <w:sz w:val="22"/>
          <w:szCs w:val="22"/>
        </w:rPr>
        <w:fldChar w:fldCharType="separate"/>
      </w:r>
      <w:r w:rsidR="002361C0">
        <w:rPr>
          <w:rFonts w:eastAsiaTheme="minorEastAsia"/>
          <w:color w:val="000000" w:themeColor="text1"/>
          <w:sz w:val="22"/>
          <w:szCs w:val="22"/>
          <w:lang w:eastAsia="ko-KR"/>
          <w14:ligatures w14:val="standardContextual"/>
        </w:rPr>
        <w:t>(5,6)</w:t>
      </w:r>
      <w:r w:rsidRPr="00A3614E">
        <w:rPr>
          <w:color w:val="000000" w:themeColor="text1"/>
          <w:sz w:val="22"/>
          <w:szCs w:val="22"/>
        </w:rPr>
        <w:fldChar w:fldCharType="end"/>
      </w:r>
      <w:r w:rsidRPr="00A3614E">
        <w:rPr>
          <w:color w:val="000000" w:themeColor="text1"/>
          <w:sz w:val="22"/>
          <w:szCs w:val="22"/>
        </w:rPr>
        <w:t xml:space="preserve"> Obermeyer et al. (2022) developed </w:t>
      </w:r>
      <w:proofErr w:type="spellStart"/>
      <w:r w:rsidRPr="00A3614E">
        <w:rPr>
          <w:color w:val="000000" w:themeColor="text1"/>
          <w:sz w:val="22"/>
          <w:szCs w:val="22"/>
        </w:rPr>
        <w:t>PyR</w:t>
      </w:r>
      <w:proofErr w:type="spellEnd"/>
      <w:r w:rsidRPr="00A3614E">
        <w:rPr>
          <w:color w:val="000000" w:themeColor="text1"/>
          <w:sz w:val="22"/>
          <w:szCs w:val="22"/>
        </w:rPr>
        <w:t>₀, a hierarchical Bayesian model that infers lineage fitness</w:t>
      </w:r>
      <w:r w:rsidRPr="00A3614E">
        <w:rPr>
          <w:rFonts w:eastAsiaTheme="minorEastAsia"/>
          <w:color w:val="000000" w:themeColor="text1"/>
          <w:sz w:val="22"/>
          <w:szCs w:val="22"/>
          <w:lang w:eastAsia="ko-KR"/>
        </w:rPr>
        <w:t xml:space="preserve"> </w:t>
      </w:r>
      <w:r w:rsidRPr="00A3614E">
        <w:rPr>
          <w:color w:val="000000" w:themeColor="text1"/>
          <w:sz w:val="22"/>
          <w:szCs w:val="22"/>
        </w:rPr>
        <w:t>by decomposing growth rates into mutation-level effects, enabling identification of amino acid changes associated with increased transmissibility independent of geography or time</w:t>
      </w:r>
      <w:r w:rsidRPr="00A3614E">
        <w:rPr>
          <w:rFonts w:eastAsiaTheme="minorEastAsia"/>
          <w:color w:val="000000" w:themeColor="text1"/>
          <w:sz w:val="22"/>
          <w:szCs w:val="22"/>
          <w:lang w:eastAsia="ko-KR"/>
        </w:rPr>
        <w:t xml:space="preserve"> </w:t>
      </w:r>
      <w:r w:rsidRPr="00A3614E">
        <w:rPr>
          <w:rStyle w:val="Strong"/>
          <w:rFonts w:eastAsiaTheme="majorEastAsia"/>
          <w:color w:val="000000" w:themeColor="text1"/>
          <w:sz w:val="22"/>
          <w:szCs w:val="22"/>
        </w:rPr>
        <w:fldChar w:fldCharType="begin"/>
      </w:r>
      <w:r w:rsidR="002361C0">
        <w:rPr>
          <w:rStyle w:val="Strong"/>
          <w:rFonts w:eastAsiaTheme="majorEastAsia"/>
          <w:color w:val="000000" w:themeColor="text1"/>
          <w:sz w:val="22"/>
          <w:szCs w:val="22"/>
        </w:rPr>
        <w:instrText xml:space="preserve"> ADDIN ZOTERO_ITEM CSL_CITATION {"citationID":"VRaYPnOR","properties":{"formattedCitation":"(7)","plainCitation":"(7)","noteIndex":0},"citationItems":[{"id":715,"uris":["http://zotero.org/users/14790911/items/UUNK7U6Y"],"itemData":{"id":715,"type":"article-journal","abstract":"Repeated emergence of severe acute respiratory syndrome coronavirus 2 (SARS-CoV-2) variants with increased fitness underscores the value of rapid detection and characterization of new lineages. We have developed PyR0, a hierarchical Bayesian multinomial logistic regression model that infers relative prevalence of all viral lineages across geographic regions, detects lineages increasing in prevalence, and identifies mutations relevant to fitness. Applying PyR0 to all publicly available SARS-CoV-2 genomes, we identify numerous substitutions that increase fitness, including previously identified spike mutations and many nonspike mutations within the nucleocapsid and nonstructural proteins. PyR0 forecasts growth of new lineages from their mutational profile, ranks the fitness of lineages as new sequences become available, and prioritizes mutations of biological and public health concern for functional characterization.","container-title":"Science (New York, N.Y.)","DOI":"10.1126/science.abm1208","ISSN":"1095-9203","issue":"6599","journalAbbreviation":"Science","language":"eng","page":"1327-1332","PMID":"35608456","PMCID":"PMC9161372","source":"PubMed","title":"Analysis of 6.4 million SARS-CoV-2 genomes identifies mutations associated with fitness","volume":"376","author":[{"family":"Obermeyer","given":"Fritz"},{"family":"Jankowiak","given":"Martin"},{"family":"Barkas","given":"Nikolaos"},{"family":"Schaffner","given":"Stephen F."},{"family":"Pyle","given":"Jesse D."},{"family":"Yurkovetskiy","given":"Leonid"},{"family":"Bosso","given":"Matteo"},{"family":"Park","given":"Daniel J."},{"family":"Babadi","given":"Mehrtash"},{"family":"MacInnis","given":"Bronwyn L."},{"family":"Luban","given":"Jeremy"},{"family":"Sabeti","given":"Pardis C."},{"family":"Lemieux","given":"Jacob E."}],"issued":{"date-parts":[["2022",6,17]]}}}],"schema":"https://github.com/citation-style-language/schema/raw/master/csl-citation.json"} </w:instrText>
      </w:r>
      <w:r w:rsidRPr="00A3614E">
        <w:rPr>
          <w:rStyle w:val="Strong"/>
          <w:rFonts w:eastAsiaTheme="majorEastAsia"/>
          <w:color w:val="000000" w:themeColor="text1"/>
          <w:sz w:val="22"/>
          <w:szCs w:val="22"/>
        </w:rPr>
        <w:fldChar w:fldCharType="separate"/>
      </w:r>
      <w:r w:rsidR="002361C0">
        <w:rPr>
          <w:rFonts w:eastAsiaTheme="minorEastAsia"/>
          <w:color w:val="000000" w:themeColor="text1"/>
          <w:sz w:val="22"/>
          <w:szCs w:val="22"/>
          <w:lang w:eastAsia="ko-KR"/>
          <w14:ligatures w14:val="standardContextual"/>
        </w:rPr>
        <w:t>(7)</w:t>
      </w:r>
      <w:r w:rsidRPr="00A3614E">
        <w:rPr>
          <w:rStyle w:val="Strong"/>
          <w:rFonts w:eastAsiaTheme="majorEastAsia"/>
          <w:color w:val="000000" w:themeColor="text1"/>
          <w:sz w:val="22"/>
          <w:szCs w:val="22"/>
        </w:rPr>
        <w:fldChar w:fldCharType="end"/>
      </w:r>
      <w:r w:rsidRPr="00A3614E">
        <w:rPr>
          <w:rStyle w:val="Strong"/>
          <w:rFonts w:eastAsiaTheme="majorEastAsia"/>
          <w:color w:val="000000" w:themeColor="text1"/>
          <w:sz w:val="22"/>
          <w:szCs w:val="22"/>
          <w:lang w:eastAsia="ko-KR"/>
        </w:rPr>
        <w:t>.</w:t>
      </w:r>
      <w:r w:rsidRPr="00A3614E">
        <w:rPr>
          <w:color w:val="000000" w:themeColor="text1"/>
          <w:sz w:val="22"/>
          <w:szCs w:val="22"/>
        </w:rPr>
        <w:t xml:space="preserve"> While powerful for elucidating molecular drivers of fitness across millions of sequences, </w:t>
      </w:r>
      <w:proofErr w:type="spellStart"/>
      <w:r w:rsidRPr="00A3614E">
        <w:rPr>
          <w:color w:val="000000" w:themeColor="text1"/>
          <w:sz w:val="22"/>
          <w:szCs w:val="22"/>
        </w:rPr>
        <w:t>PyR</w:t>
      </w:r>
      <w:proofErr w:type="spellEnd"/>
      <w:r w:rsidRPr="00A3614E">
        <w:rPr>
          <w:color w:val="000000" w:themeColor="text1"/>
          <w:sz w:val="22"/>
          <w:szCs w:val="22"/>
        </w:rPr>
        <w:t>₀ is computationally intensive and depends on dense, globally distributed data to reliably disentangle mutation effects. In practice, it performs best only after variants reach ≥1% global frequency</w:t>
      </w:r>
      <w:r w:rsidRPr="00A3614E">
        <w:rPr>
          <w:rFonts w:eastAsiaTheme="minorEastAsia"/>
          <w:color w:val="000000" w:themeColor="text1"/>
          <w:sz w:val="22"/>
          <w:szCs w:val="22"/>
          <w:lang w:eastAsia="ko-KR"/>
        </w:rPr>
        <w:t xml:space="preserve"> </w:t>
      </w:r>
      <w:r w:rsidRPr="00A3614E">
        <w:rPr>
          <w:color w:val="000000" w:themeColor="text1"/>
          <w:sz w:val="22"/>
          <w:szCs w:val="22"/>
        </w:rPr>
        <w:t>(roughly corresponding to 100–500 sequences in multiple countries</w:t>
      </w:r>
      <w:r w:rsidRPr="00A3614E">
        <w:rPr>
          <w:rFonts w:eastAsiaTheme="minorEastAsia"/>
          <w:color w:val="000000" w:themeColor="text1"/>
          <w:sz w:val="22"/>
          <w:szCs w:val="22"/>
          <w:lang w:eastAsia="ko-KR"/>
        </w:rPr>
        <w:t xml:space="preserve"> </w:t>
      </w:r>
      <w:r w:rsidRPr="00A3614E">
        <w:rPr>
          <w:color w:val="000000" w:themeColor="text1"/>
          <w:sz w:val="22"/>
          <w:szCs w:val="22"/>
        </w:rPr>
        <w:t>≥3 consecutive weeks)</w:t>
      </w:r>
      <w:r w:rsidRPr="00A3614E">
        <w:rPr>
          <w:rFonts w:eastAsiaTheme="minorEastAsia"/>
          <w:color w:val="000000" w:themeColor="text1"/>
          <w:sz w:val="22"/>
          <w:szCs w:val="22"/>
          <w:lang w:eastAsia="ko-KR"/>
        </w:rPr>
        <w:t xml:space="preserve">. </w:t>
      </w:r>
      <w:r w:rsidRPr="00A3614E">
        <w:rPr>
          <w:color w:val="000000" w:themeColor="text1"/>
          <w:sz w:val="22"/>
          <w:szCs w:val="22"/>
        </w:rPr>
        <w:t>—and assumes mutation effects are static across space and time, an assumption that may not hold under evolving immunity landscapes and intervention regimes.</w:t>
      </w:r>
      <w:r w:rsidRPr="00A3614E">
        <w:rPr>
          <w:rFonts w:eastAsiaTheme="minorEastAsia"/>
          <w:color w:val="000000" w:themeColor="text1"/>
          <w:sz w:val="22"/>
          <w:szCs w:val="22"/>
          <w:lang w:eastAsia="ko-KR"/>
        </w:rPr>
        <w:t xml:space="preserve"> </w:t>
      </w:r>
      <w:r w:rsidRPr="00A3614E">
        <w:rPr>
          <w:color w:val="000000" w:themeColor="text1"/>
          <w:sz w:val="22"/>
          <w:szCs w:val="22"/>
        </w:rPr>
        <w:t xml:space="preserve">On the other hand, frequency-based statistical models—such as the multinomial logistic regression frameworks evaluated by </w:t>
      </w:r>
      <w:proofErr w:type="spellStart"/>
      <w:r w:rsidRPr="00A3614E">
        <w:rPr>
          <w:color w:val="000000" w:themeColor="text1"/>
          <w:sz w:val="22"/>
          <w:szCs w:val="22"/>
        </w:rPr>
        <w:t>Abousamra</w:t>
      </w:r>
      <w:proofErr w:type="spellEnd"/>
      <w:r w:rsidRPr="00A3614E">
        <w:rPr>
          <w:color w:val="000000" w:themeColor="text1"/>
          <w:sz w:val="22"/>
          <w:szCs w:val="22"/>
        </w:rPr>
        <w:t xml:space="preserve"> et al.</w:t>
      </w:r>
      <w:r w:rsidRPr="00A3614E">
        <w:rPr>
          <w:color w:val="000000" w:themeColor="text1"/>
          <w:sz w:val="22"/>
          <w:szCs w:val="22"/>
          <w:lang w:eastAsia="ko-KR"/>
        </w:rPr>
        <w:t xml:space="preserve"> </w:t>
      </w:r>
      <w:r w:rsidRPr="00A3614E">
        <w:rPr>
          <w:color w:val="000000" w:themeColor="text1"/>
          <w:sz w:val="22"/>
          <w:szCs w:val="22"/>
          <w:lang w:eastAsia="ko-KR"/>
        </w:rPr>
        <w:fldChar w:fldCharType="begin"/>
      </w:r>
      <w:r w:rsidR="002361C0">
        <w:rPr>
          <w:color w:val="000000" w:themeColor="text1"/>
          <w:sz w:val="22"/>
          <w:szCs w:val="22"/>
          <w:lang w:eastAsia="ko-KR"/>
        </w:rPr>
        <w:instrText xml:space="preserve"> ADDIN ZOTERO_ITEM CSL_CITATION {"citationID":"AyWsSvJd","properties":{"formattedCitation":"(8)","plainCitation":"(8)","noteIndex":0},"citationItems":[{"id":713,"uris":["http://zotero.org/users/14790911/items/K2D2DMUG"],"itemData":{"id":713,"type":"article-journal","abstract":"Genomic surveillance of pathogen evolution is essential for public health response, treatment strategies, and vaccine development. In the context of SARS-COV-2, multiple models have been developed including Multinomial Logistic Regression (MLR) describing variant frequency growth as well as Fixed Growth Advantage (FGA), Growth Advantage Random Walk (GARW) and Piantham parameterizations describing variant Rt. These models provide estimates of variant fitness and can be used to forecast changes in variant frequency. We introduce a framework for evaluating real-time forecasts of variant frequencies, and apply this framework to the evolution of SARS-CoV-2 during 2022 in which multiple new viral variants emerged and rapidly spread through the population. We compare models across representative countries with different intensities of genomic surveillance. Retrospective assessment of model accuracy highlights that most models of variant frequency perform well and are able to produce reasonable forecasts. We find that the simple MLR model provides </w:instrText>
      </w:r>
      <w:r w:rsidR="002361C0">
        <w:rPr>
          <w:rFonts w:ascii="Cambria Math" w:hAnsi="Cambria Math" w:cs="Cambria Math"/>
          <w:color w:val="000000" w:themeColor="text1"/>
          <w:sz w:val="22"/>
          <w:szCs w:val="22"/>
          <w:lang w:eastAsia="ko-KR"/>
        </w:rPr>
        <w:instrText>∼</w:instrText>
      </w:r>
      <w:r w:rsidR="002361C0">
        <w:rPr>
          <w:color w:val="000000" w:themeColor="text1"/>
          <w:sz w:val="22"/>
          <w:szCs w:val="22"/>
          <w:lang w:eastAsia="ko-KR"/>
        </w:rPr>
        <w:instrText xml:space="preserve">0.6% median absolute error and </w:instrText>
      </w:r>
      <w:r w:rsidR="002361C0">
        <w:rPr>
          <w:rFonts w:ascii="Cambria Math" w:hAnsi="Cambria Math" w:cs="Cambria Math"/>
          <w:color w:val="000000" w:themeColor="text1"/>
          <w:sz w:val="22"/>
          <w:szCs w:val="22"/>
          <w:lang w:eastAsia="ko-KR"/>
        </w:rPr>
        <w:instrText>∼</w:instrText>
      </w:r>
      <w:r w:rsidR="002361C0">
        <w:rPr>
          <w:color w:val="000000" w:themeColor="text1"/>
          <w:sz w:val="22"/>
          <w:szCs w:val="22"/>
          <w:lang w:eastAsia="ko-KR"/>
        </w:rPr>
        <w:instrText xml:space="preserve">6% mean absolute error when forecasting 30 days out for countries with robust genomic surveillance. We investigate impacts of sequence quantity and quality across countries on forecast accuracy and conduct systematic downsampling to identify that 1000 sequences per week is fully sufficient for accurate short-term forecasts. We conclude that fitness models represent a useful prognostic tool for short-term evolutionary forecasting.","container-title":"PLOS Computational Biology","DOI":"10.1371/journal.pcbi.1012443","ISSN":"1553-7358","issue":"9","journalAbbreviation":"PLOS Computational Biology","language":"en","page":"e1012443","publisher":"Public Library of Science","source":"PLoS Journals","title":"Fitness models provide accurate short-term forecasts of SARS-CoV-2 variant frequency","volume":"20","author":[{"family":"Abousamra","given":"Eslam"},{"family":"Figgins","given":"Marlin"},{"family":"Bedford","given":"Trevor"}],"issued":{"date-parts":[["2024",9,6]]}}}],"schema":"https://github.com/citation-style-language/schema/raw/master/csl-citation.json"} </w:instrText>
      </w:r>
      <w:r w:rsidRPr="00A3614E">
        <w:rPr>
          <w:color w:val="000000" w:themeColor="text1"/>
          <w:sz w:val="22"/>
          <w:szCs w:val="22"/>
          <w:lang w:eastAsia="ko-KR"/>
        </w:rPr>
        <w:fldChar w:fldCharType="separate"/>
      </w:r>
      <w:r w:rsidR="002361C0">
        <w:rPr>
          <w:rFonts w:eastAsiaTheme="minorEastAsia"/>
          <w:color w:val="000000" w:themeColor="text1"/>
          <w:sz w:val="22"/>
          <w:szCs w:val="22"/>
          <w:lang w:eastAsia="ko-KR"/>
          <w14:ligatures w14:val="standardContextual"/>
        </w:rPr>
        <w:t>(8)</w:t>
      </w:r>
      <w:r w:rsidRPr="00A3614E">
        <w:rPr>
          <w:color w:val="000000" w:themeColor="text1"/>
          <w:sz w:val="22"/>
          <w:szCs w:val="22"/>
          <w:lang w:eastAsia="ko-KR"/>
        </w:rPr>
        <w:fldChar w:fldCharType="end"/>
      </w:r>
      <w:r w:rsidRPr="00A3614E">
        <w:rPr>
          <w:color w:val="000000" w:themeColor="text1"/>
          <w:sz w:val="22"/>
          <w:szCs w:val="22"/>
          <w:lang w:eastAsia="ko-KR"/>
        </w:rPr>
        <w:t xml:space="preserve"> </w:t>
      </w:r>
      <w:r w:rsidRPr="00A3614E">
        <w:rPr>
          <w:color w:val="000000" w:themeColor="text1"/>
          <w:sz w:val="22"/>
          <w:szCs w:val="22"/>
        </w:rPr>
        <w:t>—can produce accurate short-term forecasts using count data alone</w:t>
      </w:r>
      <w:r w:rsidRPr="00A3614E">
        <w:rPr>
          <w:rFonts w:eastAsiaTheme="minorEastAsia"/>
          <w:color w:val="000000" w:themeColor="text1"/>
          <w:sz w:val="22"/>
          <w:szCs w:val="22"/>
          <w:lang w:eastAsia="ko-KR"/>
        </w:rPr>
        <w:t xml:space="preserve">. </w:t>
      </w:r>
      <w:r w:rsidRPr="00A3614E">
        <w:rPr>
          <w:color w:val="000000" w:themeColor="text1"/>
          <w:sz w:val="22"/>
          <w:szCs w:val="22"/>
        </w:rPr>
        <w:t>Yet, their reliability deteriorates sharply in settings with sparse or delayed reporting, with analyses suggesting that approximately 1,000 sequences per week are necessary to maintain robust forecast accuracy—a threshold many regions fail to meet.</w:t>
      </w:r>
      <w:r w:rsidRPr="00A3614E">
        <w:rPr>
          <w:rFonts w:eastAsiaTheme="minorEastAsia"/>
          <w:color w:val="000000" w:themeColor="text1"/>
          <w:sz w:val="22"/>
          <w:szCs w:val="22"/>
          <w:lang w:eastAsia="ko-KR"/>
        </w:rPr>
        <w:t xml:space="preserve"> </w:t>
      </w:r>
      <w:r w:rsidRPr="00A3614E">
        <w:rPr>
          <w:color w:val="000000" w:themeColor="text1"/>
          <w:sz w:val="22"/>
          <w:szCs w:val="22"/>
        </w:rPr>
        <w:t xml:space="preserve">Together, these studies indicate that early variant-frequency trajectories do encode predictive signal, but that forecast reliability is constrained less by algorithmic sophistication than by data availability, timeliness, and calibration. </w:t>
      </w:r>
      <w:r w:rsidRPr="00A3614E">
        <w:rPr>
          <w:rStyle w:val="Strong"/>
          <w:rFonts w:eastAsiaTheme="majorEastAsia"/>
          <w:b w:val="0"/>
          <w:bCs w:val="0"/>
          <w:color w:val="000000" w:themeColor="text1"/>
          <w:sz w:val="22"/>
          <w:szCs w:val="22"/>
        </w:rPr>
        <w:t>This gap motivates our data-efficient, early-growth–based framework</w:t>
      </w:r>
      <w:r w:rsidRPr="00A3614E">
        <w:rPr>
          <w:rStyle w:val="Strong"/>
          <w:rFonts w:eastAsiaTheme="majorEastAsia"/>
          <w:b w:val="0"/>
          <w:bCs w:val="0"/>
          <w:color w:val="000000" w:themeColor="text1"/>
          <w:sz w:val="22"/>
          <w:szCs w:val="22"/>
          <w:lang w:eastAsia="ko-KR"/>
        </w:rPr>
        <w:t xml:space="preserve">, </w:t>
      </w:r>
      <w:r w:rsidRPr="00A3614E">
        <w:rPr>
          <w:color w:val="000000" w:themeColor="text1"/>
          <w:sz w:val="22"/>
          <w:szCs w:val="22"/>
        </w:rPr>
        <w:t>which links early genomic signatures of viral fitness to downstream population-level dominance, achieving</w:t>
      </w:r>
      <w:r w:rsidRPr="00A3614E">
        <w:rPr>
          <w:rStyle w:val="Strong"/>
          <w:rFonts w:eastAsiaTheme="majorEastAsia"/>
          <w:b w:val="0"/>
          <w:bCs w:val="0"/>
          <w:color w:val="000000" w:themeColor="text1"/>
          <w:sz w:val="22"/>
          <w:szCs w:val="22"/>
        </w:rPr>
        <w:t xml:space="preserve"> high predictive accuracy with a minimal number of sequences.</w:t>
      </w:r>
    </w:p>
    <w:p w14:paraId="0C327683" w14:textId="77777777" w:rsidR="00297272" w:rsidRPr="00A3614E" w:rsidRDefault="00297272" w:rsidP="00010D51">
      <w:pPr>
        <w:pStyle w:val="NormalWeb"/>
        <w:spacing w:line="276" w:lineRule="auto"/>
        <w:contextualSpacing/>
        <w:jc w:val="both"/>
        <w:rPr>
          <w:rFonts w:eastAsiaTheme="minorEastAsia"/>
          <w:color w:val="000000" w:themeColor="text1"/>
          <w:sz w:val="22"/>
          <w:szCs w:val="22"/>
        </w:rPr>
      </w:pPr>
    </w:p>
    <w:p w14:paraId="3BEF0FA7" w14:textId="3E924373" w:rsidR="00010D51" w:rsidRPr="00A3614E" w:rsidRDefault="00010D51" w:rsidP="00010D51">
      <w:pPr>
        <w:pStyle w:val="NormalWeb"/>
        <w:spacing w:line="276" w:lineRule="auto"/>
        <w:contextualSpacing/>
        <w:jc w:val="both"/>
        <w:rPr>
          <w:rFonts w:eastAsiaTheme="minorEastAsia"/>
          <w:color w:val="000000" w:themeColor="text1"/>
          <w:sz w:val="22"/>
          <w:szCs w:val="22"/>
        </w:rPr>
      </w:pPr>
      <w:r w:rsidRPr="00A3614E">
        <w:rPr>
          <w:rFonts w:eastAsiaTheme="minorEastAsia"/>
          <w:color w:val="000000" w:themeColor="text1"/>
          <w:sz w:val="22"/>
          <w:szCs w:val="22"/>
        </w:rPr>
        <w:t xml:space="preserve">Based on comprehensive genomic data from the Global Initiative on Sharing All Influenza Data (GISAID), we analyze lineage dynamics across 15 high-burden countries from January 2020 to May 2024, addressing two fundamental questions: which variants emerge to dominance and how long they sustain it. Leveraging this large dataset, </w:t>
      </w:r>
      <w:r w:rsidRPr="00A3614E">
        <w:rPr>
          <w:rFonts w:eastAsiaTheme="minorEastAsia"/>
          <w:color w:val="000000" w:themeColor="text1"/>
          <w:sz w:val="22"/>
          <w:szCs w:val="22"/>
          <w:lang w:eastAsia="ko-KR"/>
        </w:rPr>
        <w:t xml:space="preserve">we established minimum </w:t>
      </w:r>
      <w:r w:rsidRPr="00A3614E">
        <w:rPr>
          <w:rStyle w:val="Strong"/>
          <w:rFonts w:eastAsiaTheme="majorEastAsia"/>
          <w:b w:val="0"/>
          <w:bCs w:val="0"/>
          <w:color w:val="000000" w:themeColor="text1"/>
          <w:sz w:val="22"/>
          <w:szCs w:val="22"/>
        </w:rPr>
        <w:t xml:space="preserve">surveillance thresholds, </w:t>
      </w:r>
      <w:r w:rsidRPr="00A3614E">
        <w:rPr>
          <w:rStyle w:val="Strong"/>
          <w:rFonts w:eastAsiaTheme="majorEastAsia"/>
          <w:b w:val="0"/>
          <w:bCs w:val="0"/>
          <w:color w:val="000000" w:themeColor="text1"/>
          <w:sz w:val="22"/>
          <w:szCs w:val="22"/>
          <w:lang w:eastAsia="ko-KR"/>
        </w:rPr>
        <w:t xml:space="preserve">variant grouping criteria, </w:t>
      </w:r>
      <w:r w:rsidRPr="00A3614E">
        <w:rPr>
          <w:rStyle w:val="Strong"/>
          <w:rFonts w:eastAsiaTheme="majorEastAsia"/>
          <w:b w:val="0"/>
          <w:bCs w:val="0"/>
          <w:color w:val="000000" w:themeColor="text1"/>
          <w:sz w:val="22"/>
          <w:szCs w:val="22"/>
        </w:rPr>
        <w:t>noise-filtering protocols, and cross-country comparability</w:t>
      </w:r>
      <w:r w:rsidRPr="00A3614E">
        <w:rPr>
          <w:color w:val="000000" w:themeColor="text1"/>
          <w:sz w:val="22"/>
          <w:szCs w:val="22"/>
        </w:rPr>
        <w:t>, delivering a lightweight and scalable early-warning tool for variant dominance prediction</w:t>
      </w:r>
      <w:r w:rsidRPr="00A3614E">
        <w:rPr>
          <w:rFonts w:eastAsiaTheme="minorEastAsia"/>
          <w:color w:val="000000" w:themeColor="text1"/>
          <w:sz w:val="22"/>
          <w:szCs w:val="22"/>
          <w:lang w:eastAsia="ko-KR"/>
        </w:rPr>
        <w:t>, defined as</w:t>
      </w:r>
      <w:r w:rsidRPr="00A3614E">
        <w:rPr>
          <w:rFonts w:eastAsiaTheme="minorEastAsia"/>
          <w:color w:val="000000" w:themeColor="text1"/>
          <w:sz w:val="22"/>
          <w:szCs w:val="22"/>
        </w:rPr>
        <w:t>: weekly peak share and duration of circulation above 10% share. These findings not only advance methodological approaches for genomic surveillance but also provide a reference framework for anticipating the emergence and persistence of future SARS-CoV-2 variants.</w:t>
      </w:r>
    </w:p>
    <w:p w14:paraId="52A1A93B" w14:textId="621C902F" w:rsidR="00456A72" w:rsidRPr="00A3614E" w:rsidRDefault="00456A72" w:rsidP="00010D51">
      <w:pPr>
        <w:pStyle w:val="NormalWeb"/>
        <w:spacing w:line="276" w:lineRule="auto"/>
        <w:contextualSpacing/>
        <w:jc w:val="both"/>
        <w:rPr>
          <w:rFonts w:eastAsiaTheme="minorEastAsia"/>
          <w:b/>
          <w:bCs/>
          <w:color w:val="000000" w:themeColor="text1"/>
          <w:sz w:val="22"/>
          <w:szCs w:val="22"/>
          <w:lang w:eastAsia="ko-KR"/>
        </w:rPr>
      </w:pPr>
      <w:r w:rsidRPr="00A3614E">
        <w:rPr>
          <w:rFonts w:eastAsiaTheme="minorEastAsia"/>
          <w:b/>
          <w:bCs/>
          <w:color w:val="000000" w:themeColor="text1"/>
          <w:sz w:val="22"/>
          <w:szCs w:val="22"/>
          <w:lang w:eastAsia="ko-KR"/>
        </w:rPr>
        <w:lastRenderedPageBreak/>
        <w:t>Results</w:t>
      </w:r>
    </w:p>
    <w:p w14:paraId="5D3855C1" w14:textId="77777777" w:rsidR="00010D51" w:rsidRPr="00A3614E" w:rsidRDefault="00010D51" w:rsidP="00010D51">
      <w:pPr>
        <w:pStyle w:val="BodyText"/>
        <w:kinsoku w:val="0"/>
        <w:overflowPunct w:val="0"/>
        <w:spacing w:line="276" w:lineRule="auto"/>
        <w:contextualSpacing/>
        <w:jc w:val="both"/>
        <w:rPr>
          <w:rFonts w:eastAsiaTheme="minorEastAsia"/>
          <w:color w:val="000000" w:themeColor="text1"/>
          <w:sz w:val="22"/>
          <w:szCs w:val="22"/>
          <w:lang w:eastAsia="zh-CN"/>
        </w:rPr>
      </w:pPr>
    </w:p>
    <w:p w14:paraId="32939A0A" w14:textId="096E3D16"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b/>
          <w:bCs/>
          <w:color w:val="000000" w:themeColor="text1"/>
          <w:sz w:val="22"/>
          <w:szCs w:val="22"/>
          <w:lang w:eastAsia="ko-KR"/>
        </w:rPr>
        <w:t xml:space="preserve">Comparison of model prediction and observed dominant variants. </w:t>
      </w:r>
      <w:r w:rsidRPr="00A3614E">
        <w:rPr>
          <w:rFonts w:eastAsiaTheme="minorEastAsia"/>
          <w:color w:val="000000" w:themeColor="text1"/>
          <w:sz w:val="22"/>
          <w:szCs w:val="22"/>
          <w:lang w:eastAsia="zh-CN"/>
        </w:rPr>
        <w:t xml:space="preserve">Table </w:t>
      </w:r>
      <w:r w:rsidR="00456A72" w:rsidRPr="00A3614E">
        <w:rPr>
          <w:rFonts w:eastAsiaTheme="minorEastAsia"/>
          <w:color w:val="000000" w:themeColor="text1"/>
          <w:sz w:val="22"/>
          <w:szCs w:val="22"/>
          <w:lang w:eastAsia="ko-KR"/>
        </w:rPr>
        <w:t>1</w:t>
      </w:r>
      <w:r w:rsidRPr="00A3614E">
        <w:rPr>
          <w:rFonts w:eastAsiaTheme="minorEastAsia"/>
          <w:color w:val="000000" w:themeColor="text1"/>
          <w:sz w:val="22"/>
          <w:szCs w:val="22"/>
          <w:lang w:eastAsia="zh-CN"/>
        </w:rPr>
        <w:t xml:space="preserve"> summarizes model performance for the three most well-sampled countries under the operational definition of dominance (peak &gt;20% and duration ≥100 days). In both the United States and the United Kingdom, the model showed strong consistency: nearly all major lineages—including BA.2, BA.5 </w:t>
      </w:r>
      <w:proofErr w:type="spellStart"/>
      <w:r w:rsidRPr="00A3614E">
        <w:rPr>
          <w:rFonts w:eastAsiaTheme="minorEastAsia"/>
          <w:color w:val="000000" w:themeColor="text1"/>
          <w:sz w:val="22"/>
          <w:szCs w:val="22"/>
          <w:lang w:eastAsia="zh-CN"/>
        </w:rPr>
        <w:t>sublineages</w:t>
      </w:r>
      <w:proofErr w:type="spellEnd"/>
      <w:r w:rsidRPr="00A3614E">
        <w:rPr>
          <w:rFonts w:eastAsiaTheme="minorEastAsia"/>
          <w:color w:val="000000" w:themeColor="text1"/>
          <w:sz w:val="22"/>
          <w:szCs w:val="22"/>
          <w:lang w:eastAsia="zh-CN"/>
        </w:rPr>
        <w:t xml:space="preserve">, BQ.1.1, XBB.1.5, and JN.1—were correctly classified for both peak and duration, with only early variants (e.g., B.1.2 in the U.S., B.1.1 and B.1.1.7 in the U.K.) showing underestimation of peak magnitude. Results in South Korea were more heterogeneous: dominant variants were generally detected, but peak share was frequently underpredicted for Delta-related AY lineages and for later Omicron </w:t>
      </w:r>
      <w:proofErr w:type="spellStart"/>
      <w:r w:rsidRPr="00A3614E">
        <w:rPr>
          <w:rFonts w:eastAsiaTheme="minorEastAsia"/>
          <w:color w:val="000000" w:themeColor="text1"/>
          <w:sz w:val="22"/>
          <w:szCs w:val="22"/>
          <w:lang w:eastAsia="zh-CN"/>
        </w:rPr>
        <w:t>sublineages</w:t>
      </w:r>
      <w:proofErr w:type="spellEnd"/>
      <w:r w:rsidRPr="00A3614E">
        <w:rPr>
          <w:rFonts w:eastAsiaTheme="minorEastAsia"/>
          <w:color w:val="000000" w:themeColor="text1"/>
          <w:sz w:val="22"/>
          <w:szCs w:val="22"/>
          <w:lang w:eastAsia="zh-CN"/>
        </w:rPr>
        <w:t xml:space="preserve"> such as JN.1. Despite this, duration classification remained highly accurate across all three countries. Overall, the model achieves high agreement in the U.S. and U.K., with reduced peak-prediction stability in South Korea due to more variable early growth dynamics.</w:t>
      </w:r>
      <w:r w:rsidR="001B7158">
        <w:rPr>
          <w:rFonts w:eastAsiaTheme="minorEastAsia"/>
          <w:color w:val="000000" w:themeColor="text1"/>
          <w:sz w:val="22"/>
          <w:szCs w:val="22"/>
          <w:lang w:eastAsia="zh-CN"/>
        </w:rPr>
        <w:t xml:space="preserve"> </w:t>
      </w:r>
      <w:r w:rsidR="001B7158" w:rsidRPr="001B7158">
        <w:rPr>
          <w:rFonts w:eastAsiaTheme="minorEastAsia"/>
          <w:color w:val="000000" w:themeColor="text1"/>
          <w:sz w:val="22"/>
          <w:szCs w:val="22"/>
          <w:lang w:eastAsia="zh-CN"/>
        </w:rPr>
        <w:t>Detailed country-level results for all 15 study countries are provided in Table S</w:t>
      </w:r>
      <w:r w:rsidR="0006356B">
        <w:rPr>
          <w:rFonts w:eastAsiaTheme="minorEastAsia"/>
          <w:color w:val="000000" w:themeColor="text1"/>
          <w:sz w:val="22"/>
          <w:szCs w:val="22"/>
          <w:lang w:eastAsia="zh-CN"/>
        </w:rPr>
        <w:t>1</w:t>
      </w:r>
      <w:r w:rsidR="001B7158" w:rsidRPr="001B7158">
        <w:rPr>
          <w:rFonts w:eastAsiaTheme="minorEastAsia" w:hint="eastAsia"/>
          <w:color w:val="000000" w:themeColor="text1"/>
          <w:sz w:val="22"/>
          <w:szCs w:val="22"/>
          <w:lang w:eastAsia="zh-CN"/>
        </w:rPr>
        <w:t>.</w:t>
      </w:r>
    </w:p>
    <w:p w14:paraId="7167BDD5" w14:textId="77777777" w:rsidR="00A04C44" w:rsidRPr="00A3614E" w:rsidRDefault="00A04C44" w:rsidP="00010D51">
      <w:pPr>
        <w:pStyle w:val="BodyText"/>
        <w:spacing w:line="276" w:lineRule="auto"/>
        <w:ind w:left="0"/>
        <w:contextualSpacing/>
        <w:rPr>
          <w:rFonts w:eastAsiaTheme="minorEastAsia"/>
          <w:color w:val="000000" w:themeColor="text1"/>
          <w:sz w:val="22"/>
          <w:szCs w:val="22"/>
          <w:lang w:eastAsia="zh-CN"/>
        </w:rPr>
      </w:pPr>
    </w:p>
    <w:p w14:paraId="2574AB92" w14:textId="7A7FD3D9"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b/>
          <w:bCs/>
          <w:color w:val="000000" w:themeColor="text1"/>
          <w:sz w:val="22"/>
          <w:szCs w:val="22"/>
          <w:lang w:eastAsia="ko-KR"/>
        </w:rPr>
        <w:t xml:space="preserve">Country-specific model performance. </w:t>
      </w:r>
      <w:r w:rsidR="00E90D97" w:rsidRPr="00E90D97">
        <w:rPr>
          <w:rFonts w:eastAsiaTheme="minorEastAsia"/>
          <w:color w:val="000000" w:themeColor="text1"/>
          <w:sz w:val="22"/>
          <w:szCs w:val="22"/>
          <w:lang w:eastAsia="zh-CN"/>
        </w:rPr>
        <w:t xml:space="preserve">Figures 1(a) and 1(b) compare classification accuracy across 15 countries using 21-day early input windows for predicting peak prevalence and duration categories, respectively. Across both tasks, the </w:t>
      </w:r>
      <w:proofErr w:type="spellStart"/>
      <w:r w:rsidR="00E90D97" w:rsidRPr="00E90D97">
        <w:rPr>
          <w:rFonts w:eastAsiaTheme="minorEastAsia"/>
          <w:color w:val="000000" w:themeColor="text1"/>
          <w:sz w:val="22"/>
          <w:szCs w:val="22"/>
          <w:lang w:eastAsia="zh-CN"/>
        </w:rPr>
        <w:t>SuperLearner</w:t>
      </w:r>
      <w:proofErr w:type="spellEnd"/>
      <w:r w:rsidR="00E90D97" w:rsidRPr="00E90D97">
        <w:rPr>
          <w:rFonts w:eastAsiaTheme="minorEastAsia"/>
          <w:color w:val="000000" w:themeColor="text1"/>
          <w:sz w:val="22"/>
          <w:szCs w:val="22"/>
          <w:lang w:eastAsia="zh-CN"/>
        </w:rPr>
        <w:t xml:space="preserve"> ensemble shows consistently strong performance across countries, with particularly high accuracy in Denmark, the United Kingdom, Spain, and the United States, a pattern that aligns with the aggregated results in Table S</w:t>
      </w:r>
      <w:r w:rsidR="00AE11BB">
        <w:rPr>
          <w:rFonts w:eastAsiaTheme="minorEastAsia"/>
          <w:color w:val="000000" w:themeColor="text1"/>
          <w:sz w:val="22"/>
          <w:szCs w:val="22"/>
          <w:lang w:eastAsia="zh-CN"/>
        </w:rPr>
        <w:t>2</w:t>
      </w:r>
      <w:r w:rsidR="00E90D97" w:rsidRPr="00E90D97">
        <w:rPr>
          <w:rFonts w:eastAsiaTheme="minorEastAsia"/>
          <w:color w:val="000000" w:themeColor="text1"/>
          <w:sz w:val="22"/>
          <w:szCs w:val="22"/>
          <w:lang w:eastAsia="zh-CN"/>
        </w:rPr>
        <w:t xml:space="preserve">. At the global level, </w:t>
      </w:r>
      <w:proofErr w:type="spellStart"/>
      <w:r w:rsidR="00E90D97" w:rsidRPr="00E90D97">
        <w:rPr>
          <w:rFonts w:eastAsiaTheme="minorEastAsia"/>
          <w:color w:val="000000" w:themeColor="text1"/>
          <w:sz w:val="22"/>
          <w:szCs w:val="22"/>
          <w:lang w:eastAsia="zh-CN"/>
        </w:rPr>
        <w:t>SuperLearner</w:t>
      </w:r>
      <w:proofErr w:type="spellEnd"/>
      <w:r w:rsidR="00E90D97" w:rsidRPr="00E90D97">
        <w:rPr>
          <w:rFonts w:eastAsiaTheme="minorEastAsia"/>
          <w:color w:val="000000" w:themeColor="text1"/>
          <w:sz w:val="22"/>
          <w:szCs w:val="22"/>
          <w:lang w:eastAsia="zh-CN"/>
        </w:rPr>
        <w:t xml:space="preserve"> achieves the highest overall accuracy and macro-F1 across input windows, reaching 0.76 accuracy and 0.70 macro-F1 for peak prediction and 0.70 accuracy and 0.72 macro-F1 for duration prediction with 21-day inputs. For peak prediction, CART attains accuracy comparable to </w:t>
      </w:r>
      <w:proofErr w:type="spellStart"/>
      <w:r w:rsidR="00E90D97" w:rsidRPr="00E90D97">
        <w:rPr>
          <w:rFonts w:eastAsiaTheme="minorEastAsia"/>
          <w:color w:val="000000" w:themeColor="text1"/>
          <w:sz w:val="22"/>
          <w:szCs w:val="22"/>
          <w:lang w:eastAsia="zh-CN"/>
        </w:rPr>
        <w:t>SuperLearner</w:t>
      </w:r>
      <w:proofErr w:type="spellEnd"/>
      <w:r w:rsidR="00E90D97" w:rsidRPr="00E90D97">
        <w:rPr>
          <w:rFonts w:eastAsiaTheme="minorEastAsia"/>
          <w:color w:val="000000" w:themeColor="text1"/>
          <w:sz w:val="22"/>
          <w:szCs w:val="22"/>
          <w:lang w:eastAsia="zh-CN"/>
        </w:rPr>
        <w:t xml:space="preserve"> in several countries and under longer input windows, but its performance varies more substantially across countries and degrades with shorter observation periods. For duration prediction, SVM performs competitively in selected settings, consistent with its strong results at longer input windows, yet similarly exhibits greater cross-country variability. In contrast, </w:t>
      </w:r>
      <w:proofErr w:type="spellStart"/>
      <w:r w:rsidR="00E90D97" w:rsidRPr="00E90D97">
        <w:rPr>
          <w:rFonts w:eastAsiaTheme="minorEastAsia"/>
          <w:color w:val="000000" w:themeColor="text1"/>
          <w:sz w:val="22"/>
          <w:szCs w:val="22"/>
          <w:lang w:eastAsia="zh-CN"/>
        </w:rPr>
        <w:t>SuperLearner</w:t>
      </w:r>
      <w:proofErr w:type="spellEnd"/>
      <w:r w:rsidR="00E90D97" w:rsidRPr="00E90D97">
        <w:rPr>
          <w:rFonts w:eastAsiaTheme="minorEastAsia"/>
          <w:color w:val="000000" w:themeColor="text1"/>
          <w:sz w:val="22"/>
          <w:szCs w:val="22"/>
          <w:lang w:eastAsia="zh-CN"/>
        </w:rPr>
        <w:t xml:space="preserve"> maintains more stable accuracy across heterogeneous national contexts and outcome definitions, indicating that ensemble learning provides a robust and reliable framework for early forecasting of variant dominance across diverse surveillance environments.</w:t>
      </w:r>
    </w:p>
    <w:p w14:paraId="5E9235BE" w14:textId="77777777" w:rsidR="00BC62D3" w:rsidRPr="00A3614E" w:rsidRDefault="00BC62D3" w:rsidP="00010D51">
      <w:pPr>
        <w:pStyle w:val="BodyText"/>
        <w:spacing w:line="276" w:lineRule="auto"/>
        <w:ind w:left="0"/>
        <w:contextualSpacing/>
        <w:jc w:val="both"/>
        <w:rPr>
          <w:rFonts w:eastAsiaTheme="minorEastAsia"/>
          <w:b/>
          <w:bCs/>
          <w:color w:val="000000" w:themeColor="text1"/>
          <w:sz w:val="22"/>
          <w:szCs w:val="22"/>
          <w:lang w:eastAsia="ko-KR"/>
        </w:rPr>
      </w:pPr>
      <w:bookmarkStart w:id="2" w:name="OLE_LINK3"/>
    </w:p>
    <w:p w14:paraId="6A6FE0D4" w14:textId="09CED370"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b/>
          <w:bCs/>
          <w:color w:val="000000" w:themeColor="text1"/>
          <w:sz w:val="22"/>
          <w:szCs w:val="22"/>
          <w:lang w:eastAsia="ko-KR"/>
        </w:rPr>
        <w:t xml:space="preserve">SHAP analysis. </w:t>
      </w:r>
      <w:bookmarkEnd w:id="2"/>
      <w:r w:rsidRPr="00A3614E">
        <w:rPr>
          <w:rFonts w:eastAsiaTheme="minorEastAsia"/>
          <w:color w:val="000000" w:themeColor="text1"/>
          <w:sz w:val="22"/>
          <w:szCs w:val="22"/>
          <w:lang w:eastAsia="zh-CN"/>
        </w:rPr>
        <w:t xml:space="preserve">The SHAP analysis for the peak-share outcome (&gt;20 percent) shows that both the magnitude and structural coherence of early growth are key determinants of whether a lineage reaches a high weekly peak (Figure </w:t>
      </w:r>
      <w:r w:rsidR="00064757" w:rsidRPr="00A3614E">
        <w:rPr>
          <w:rFonts w:eastAsiaTheme="minorEastAsia"/>
          <w:color w:val="000000" w:themeColor="text1"/>
          <w:sz w:val="22"/>
          <w:szCs w:val="22"/>
          <w:lang w:eastAsia="ko-KR"/>
        </w:rPr>
        <w:t>2</w:t>
      </w:r>
      <w:r w:rsidRPr="00A3614E">
        <w:rPr>
          <w:rFonts w:eastAsiaTheme="minorEastAsia"/>
          <w:color w:val="000000" w:themeColor="text1"/>
          <w:sz w:val="22"/>
          <w:szCs w:val="22"/>
          <w:lang w:eastAsia="zh-CN"/>
        </w:rPr>
        <w:t>a). The early maximum value (</w:t>
      </w:r>
      <w:proofErr w:type="spellStart"/>
      <w:r w:rsidRPr="00A3614E">
        <w:rPr>
          <w:rFonts w:eastAsiaTheme="minorEastAsia"/>
          <w:i/>
          <w:iCs/>
          <w:color w:val="000000" w:themeColor="text1"/>
          <w:sz w:val="22"/>
          <w:szCs w:val="22"/>
          <w:lang w:eastAsia="zh-CN"/>
        </w:rPr>
        <w:t>peak_val</w:t>
      </w:r>
      <w:proofErr w:type="spellEnd"/>
      <w:r w:rsidRPr="00A3614E">
        <w:rPr>
          <w:rFonts w:eastAsiaTheme="minorEastAsia"/>
          <w:color w:val="000000" w:themeColor="text1"/>
          <w:sz w:val="22"/>
          <w:szCs w:val="22"/>
          <w:lang w:eastAsia="zh-CN"/>
        </w:rPr>
        <w:t>) exerts the strongest positive influence, indicating that lineages with substantial early expansion are most likely to achieve high peak prevalence. Later positive deviations (</w:t>
      </w:r>
      <w:proofErr w:type="spellStart"/>
      <w:r w:rsidRPr="00A3614E">
        <w:rPr>
          <w:rFonts w:eastAsiaTheme="minorEastAsia"/>
          <w:i/>
          <w:iCs/>
          <w:color w:val="000000" w:themeColor="text1"/>
          <w:sz w:val="22"/>
          <w:szCs w:val="22"/>
          <w:lang w:eastAsia="zh-CN"/>
        </w:rPr>
        <w:t>outlier_timing_pos</w:t>
      </w:r>
      <w:proofErr w:type="spellEnd"/>
      <w:r w:rsidRPr="00A3614E">
        <w:rPr>
          <w:rFonts w:eastAsiaTheme="minorEastAsia"/>
          <w:color w:val="000000" w:themeColor="text1"/>
          <w:sz w:val="22"/>
          <w:szCs w:val="22"/>
          <w:lang w:eastAsia="zh-CN"/>
        </w:rPr>
        <w:t xml:space="preserve">) further reinforce this signal, while early isolated spikes tend to reduce predicted peaks, reflecting their interpretation as noise rather than evidence of sustained transmission. Structural characteristics of the trajectory refine these effects: higher </w:t>
      </w:r>
      <w:proofErr w:type="spellStart"/>
      <w:r w:rsidRPr="00A3614E">
        <w:rPr>
          <w:rFonts w:eastAsiaTheme="minorEastAsia"/>
          <w:color w:val="000000" w:themeColor="text1"/>
          <w:sz w:val="22"/>
          <w:szCs w:val="22"/>
          <w:lang w:eastAsia="zh-CN"/>
        </w:rPr>
        <w:t>entropy_pairs</w:t>
      </w:r>
      <w:proofErr w:type="spellEnd"/>
      <w:r w:rsidRPr="00A3614E">
        <w:rPr>
          <w:rFonts w:eastAsiaTheme="minorEastAsia"/>
          <w:color w:val="000000" w:themeColor="text1"/>
          <w:sz w:val="22"/>
          <w:szCs w:val="22"/>
          <w:lang w:eastAsia="zh-CN"/>
        </w:rPr>
        <w:t xml:space="preserve"> consistently lowers predictions, indicating that irregular symbolic patterns are not conducive to strong expansion, whereas longer autocorrelation timescales (</w:t>
      </w:r>
      <w:proofErr w:type="spellStart"/>
      <w:r w:rsidRPr="00A3614E">
        <w:rPr>
          <w:rFonts w:eastAsiaTheme="minorEastAsia"/>
          <w:i/>
          <w:iCs/>
          <w:color w:val="000000" w:themeColor="text1"/>
          <w:sz w:val="22"/>
          <w:szCs w:val="22"/>
          <w:lang w:eastAsia="zh-CN"/>
        </w:rPr>
        <w:t>acf_timescale</w:t>
      </w:r>
      <w:proofErr w:type="spellEnd"/>
      <w:r w:rsidRPr="00A3614E">
        <w:rPr>
          <w:rFonts w:eastAsiaTheme="minorEastAsia"/>
          <w:color w:val="000000" w:themeColor="text1"/>
          <w:sz w:val="22"/>
          <w:szCs w:val="22"/>
          <w:lang w:eastAsia="zh-CN"/>
        </w:rPr>
        <w:t>) and moderate short-term fluctuation (</w:t>
      </w:r>
      <w:proofErr w:type="spellStart"/>
      <w:r w:rsidRPr="00A3614E">
        <w:rPr>
          <w:rFonts w:eastAsiaTheme="minorEastAsia"/>
          <w:i/>
          <w:iCs/>
          <w:color w:val="000000" w:themeColor="text1"/>
          <w:sz w:val="22"/>
          <w:szCs w:val="22"/>
          <w:lang w:eastAsia="zh-CN"/>
        </w:rPr>
        <w:t>high_fluctuation</w:t>
      </w:r>
      <w:proofErr w:type="spellEnd"/>
      <w:r w:rsidRPr="00A3614E">
        <w:rPr>
          <w:rFonts w:eastAsiaTheme="minorEastAsia"/>
          <w:color w:val="000000" w:themeColor="text1"/>
          <w:sz w:val="22"/>
          <w:szCs w:val="22"/>
          <w:lang w:eastAsia="zh-CN"/>
        </w:rPr>
        <w:t xml:space="preserve">) reflect more persistent and coherent growth. Measures of geometric and nonlinear structure, including </w:t>
      </w:r>
      <w:proofErr w:type="spellStart"/>
      <w:r w:rsidRPr="00A3614E">
        <w:rPr>
          <w:rFonts w:eastAsiaTheme="minorEastAsia"/>
          <w:i/>
          <w:iCs/>
          <w:color w:val="000000" w:themeColor="text1"/>
          <w:sz w:val="22"/>
          <w:szCs w:val="22"/>
          <w:lang w:eastAsia="zh-CN"/>
        </w:rPr>
        <w:t>embedding_dist</w:t>
      </w:r>
      <w:proofErr w:type="spellEnd"/>
      <w:r w:rsidRPr="00A3614E">
        <w:rPr>
          <w:rFonts w:eastAsiaTheme="minorEastAsia"/>
          <w:color w:val="000000" w:themeColor="text1"/>
          <w:sz w:val="22"/>
          <w:szCs w:val="22"/>
          <w:lang w:eastAsia="zh-CN"/>
        </w:rPr>
        <w:t xml:space="preserve"> and </w:t>
      </w:r>
      <w:r w:rsidRPr="00A3614E">
        <w:rPr>
          <w:rFonts w:eastAsiaTheme="minorEastAsia"/>
          <w:i/>
          <w:iCs/>
          <w:color w:val="000000" w:themeColor="text1"/>
          <w:sz w:val="22"/>
          <w:szCs w:val="22"/>
          <w:lang w:eastAsia="zh-CN"/>
        </w:rPr>
        <w:t>ami2</w:t>
      </w:r>
      <w:r w:rsidRPr="00A3614E">
        <w:rPr>
          <w:rFonts w:eastAsiaTheme="minorEastAsia"/>
          <w:color w:val="000000" w:themeColor="text1"/>
          <w:sz w:val="22"/>
          <w:szCs w:val="22"/>
          <w:lang w:eastAsia="zh-CN"/>
        </w:rPr>
        <w:t>, similarly distinguish lineages whose early trajectories are organized and dynamically consistent. Overall, variants that combine strong early amplification with stable and structurally coherent growth are more likely to achieve high peak share.</w:t>
      </w:r>
    </w:p>
    <w:p w14:paraId="61110B37" w14:textId="77777777"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zh-CN"/>
        </w:rPr>
      </w:pPr>
    </w:p>
    <w:p w14:paraId="65E833E4" w14:textId="6FECE9C4"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The SHAP analysis for dominance duration (&gt;100 days) reveals a distinct pattern from the peak-share outcome (Figure </w:t>
      </w:r>
      <w:r w:rsidR="00064757" w:rsidRPr="00A3614E">
        <w:rPr>
          <w:rFonts w:eastAsiaTheme="minorEastAsia"/>
          <w:color w:val="000000" w:themeColor="text1"/>
          <w:sz w:val="22"/>
          <w:szCs w:val="22"/>
          <w:lang w:eastAsia="ko-KR"/>
        </w:rPr>
        <w:t>2</w:t>
      </w:r>
      <w:r w:rsidRPr="00A3614E">
        <w:rPr>
          <w:rFonts w:eastAsiaTheme="minorEastAsia"/>
          <w:color w:val="000000" w:themeColor="text1"/>
          <w:sz w:val="22"/>
          <w:szCs w:val="22"/>
          <w:lang w:eastAsia="zh-CN"/>
        </w:rPr>
        <w:t xml:space="preserve">b). Early sharp peaks, reflected in </w:t>
      </w:r>
      <w:proofErr w:type="spellStart"/>
      <w:r w:rsidRPr="00A3614E">
        <w:rPr>
          <w:rFonts w:eastAsiaTheme="minorEastAsia"/>
          <w:i/>
          <w:iCs/>
          <w:color w:val="000000" w:themeColor="text1"/>
          <w:sz w:val="22"/>
          <w:szCs w:val="22"/>
          <w:lang w:eastAsia="zh-CN"/>
        </w:rPr>
        <w:t>peak_val</w:t>
      </w:r>
      <w:proofErr w:type="spellEnd"/>
      <w:r w:rsidRPr="00A3614E">
        <w:rPr>
          <w:rFonts w:eastAsiaTheme="minorEastAsia"/>
          <w:i/>
          <w:iCs/>
          <w:color w:val="000000" w:themeColor="text1"/>
          <w:sz w:val="22"/>
          <w:szCs w:val="22"/>
          <w:lang w:eastAsia="zh-CN"/>
        </w:rPr>
        <w:t>,</w:t>
      </w:r>
      <w:r w:rsidRPr="00A3614E">
        <w:rPr>
          <w:rFonts w:eastAsiaTheme="minorEastAsia"/>
          <w:color w:val="000000" w:themeColor="text1"/>
          <w:sz w:val="22"/>
          <w:szCs w:val="22"/>
          <w:lang w:eastAsia="zh-CN"/>
        </w:rPr>
        <w:t xml:space="preserve"> reduce predicted duration, indicating that rapid initial surges are characteristic of short-lived waves rather than sustained circulation. In contrast, greater short-horizon forecast variability (</w:t>
      </w:r>
      <w:proofErr w:type="spellStart"/>
      <w:r w:rsidRPr="00A3614E">
        <w:rPr>
          <w:rFonts w:eastAsiaTheme="minorEastAsia"/>
          <w:i/>
          <w:iCs/>
          <w:color w:val="000000" w:themeColor="text1"/>
          <w:sz w:val="22"/>
          <w:szCs w:val="22"/>
          <w:lang w:eastAsia="zh-CN"/>
        </w:rPr>
        <w:t>forecast_error</w:t>
      </w:r>
      <w:proofErr w:type="spellEnd"/>
      <w:r w:rsidRPr="00A3614E">
        <w:rPr>
          <w:rFonts w:eastAsiaTheme="minorEastAsia"/>
          <w:color w:val="000000" w:themeColor="text1"/>
          <w:sz w:val="22"/>
          <w:szCs w:val="22"/>
          <w:lang w:eastAsia="zh-CN"/>
        </w:rPr>
        <w:t>) and stronger incremental day-to-day fluctuations (</w:t>
      </w:r>
      <w:proofErr w:type="spellStart"/>
      <w:r w:rsidRPr="00A3614E">
        <w:rPr>
          <w:rFonts w:eastAsiaTheme="minorEastAsia"/>
          <w:i/>
          <w:iCs/>
          <w:color w:val="000000" w:themeColor="text1"/>
          <w:sz w:val="22"/>
          <w:szCs w:val="22"/>
          <w:lang w:eastAsia="zh-CN"/>
        </w:rPr>
        <w:t>high_fluctuation</w:t>
      </w:r>
      <w:proofErr w:type="spellEnd"/>
      <w:r w:rsidRPr="00A3614E">
        <w:rPr>
          <w:rFonts w:eastAsiaTheme="minorEastAsia"/>
          <w:color w:val="000000" w:themeColor="text1"/>
          <w:sz w:val="22"/>
          <w:szCs w:val="22"/>
          <w:lang w:eastAsia="zh-CN"/>
        </w:rPr>
        <w:t xml:space="preserve">) contribute positively, suggesting that lineages exhibiting recurrent, moderate short-term variation—rather than a single early spike—are more likely to persist. Higher </w:t>
      </w:r>
      <w:proofErr w:type="spellStart"/>
      <w:r w:rsidRPr="00A3614E">
        <w:rPr>
          <w:rFonts w:eastAsiaTheme="minorEastAsia"/>
          <w:i/>
          <w:iCs/>
          <w:color w:val="000000" w:themeColor="text1"/>
          <w:sz w:val="22"/>
          <w:szCs w:val="22"/>
          <w:lang w:eastAsia="zh-CN"/>
        </w:rPr>
        <w:t>embedding_dist</w:t>
      </w:r>
      <w:proofErr w:type="spellEnd"/>
      <w:r w:rsidRPr="00A3614E">
        <w:rPr>
          <w:rFonts w:eastAsiaTheme="minorEastAsia"/>
          <w:color w:val="000000" w:themeColor="text1"/>
          <w:sz w:val="22"/>
          <w:szCs w:val="22"/>
          <w:lang w:eastAsia="zh-CN"/>
        </w:rPr>
        <w:t xml:space="preserve"> and elevated </w:t>
      </w:r>
      <w:proofErr w:type="spellStart"/>
      <w:r w:rsidRPr="00A3614E">
        <w:rPr>
          <w:rFonts w:eastAsiaTheme="minorEastAsia"/>
          <w:i/>
          <w:iCs/>
          <w:color w:val="000000" w:themeColor="text1"/>
          <w:sz w:val="22"/>
          <w:szCs w:val="22"/>
          <w:lang w:eastAsia="zh-CN"/>
        </w:rPr>
        <w:t>transition_variance</w:t>
      </w:r>
      <w:proofErr w:type="spellEnd"/>
      <w:r w:rsidRPr="00A3614E">
        <w:rPr>
          <w:rFonts w:eastAsiaTheme="minorEastAsia"/>
          <w:color w:val="000000" w:themeColor="text1"/>
          <w:sz w:val="22"/>
          <w:szCs w:val="22"/>
          <w:lang w:eastAsia="zh-CN"/>
        </w:rPr>
        <w:t xml:space="preserve"> reduce predicted duration, implying that geometric irregularity and unstable state-switching signal transient rather than resilient growth. Overall, prolonged dominance appears to arise not from explosive early expansion but from continued small-scale dynamism embedded within a coherent and structurally stable growth trajectory.</w:t>
      </w:r>
    </w:p>
    <w:p w14:paraId="1A0697C6" w14:textId="0DEA74A5" w:rsidR="00010D51" w:rsidRPr="00A3614E" w:rsidRDefault="00010D51" w:rsidP="00010D51">
      <w:pPr>
        <w:pStyle w:val="BodyText"/>
        <w:spacing w:line="276" w:lineRule="auto"/>
        <w:ind w:left="0"/>
        <w:contextualSpacing/>
        <w:jc w:val="both"/>
        <w:rPr>
          <w:rFonts w:eastAsiaTheme="minorEastAsia"/>
          <w:b/>
          <w:bCs/>
          <w:color w:val="000000" w:themeColor="text1"/>
          <w:sz w:val="22"/>
          <w:szCs w:val="22"/>
          <w:lang w:eastAsia="ko-KR"/>
        </w:rPr>
      </w:pPr>
      <w:r w:rsidRPr="00A3614E">
        <w:rPr>
          <w:b/>
          <w:bCs/>
          <w:color w:val="000000" w:themeColor="text1"/>
          <w:sz w:val="22"/>
          <w:szCs w:val="22"/>
        </w:rPr>
        <w:lastRenderedPageBreak/>
        <w:t>Discussion</w:t>
      </w:r>
    </w:p>
    <w:p w14:paraId="09F94F2A" w14:textId="77777777" w:rsidR="00010D51" w:rsidRPr="00A3614E" w:rsidRDefault="00010D51" w:rsidP="00010D51">
      <w:pPr>
        <w:pStyle w:val="BodyText"/>
        <w:spacing w:line="276" w:lineRule="auto"/>
        <w:ind w:left="0"/>
        <w:contextualSpacing/>
        <w:jc w:val="both"/>
        <w:rPr>
          <w:rFonts w:eastAsiaTheme="minorEastAsia"/>
          <w:b/>
          <w:bCs/>
          <w:color w:val="000000" w:themeColor="text1"/>
          <w:sz w:val="22"/>
          <w:szCs w:val="22"/>
          <w:lang w:eastAsia="ko-KR"/>
        </w:rPr>
      </w:pPr>
    </w:p>
    <w:p w14:paraId="3C5EB5A1" w14:textId="77777777" w:rsidR="00010D51" w:rsidRPr="00A3614E" w:rsidRDefault="00010D51" w:rsidP="00010D51">
      <w:pPr>
        <w:pStyle w:val="BodyText"/>
        <w:spacing w:line="276" w:lineRule="auto"/>
        <w:ind w:left="0"/>
        <w:contextualSpacing/>
        <w:jc w:val="both"/>
        <w:rPr>
          <w:rFonts w:eastAsiaTheme="minorEastAsia"/>
          <w:sz w:val="22"/>
          <w:szCs w:val="22"/>
          <w:lang w:eastAsia="ko-KR"/>
        </w:rPr>
      </w:pPr>
      <w:r w:rsidRPr="00A3614E">
        <w:rPr>
          <w:rStyle w:val="citation-69"/>
          <w:rFonts w:eastAsiaTheme="majorEastAsia"/>
          <w:sz w:val="22"/>
          <w:szCs w:val="22"/>
        </w:rPr>
        <w:t>In this study, we demonstrate that the earliest genomic growth trajectories</w:t>
      </w:r>
      <w:r w:rsidRPr="00A3614E">
        <w:rPr>
          <w:rStyle w:val="citation-69"/>
          <w:rFonts w:eastAsiaTheme="majorEastAsia"/>
          <w:sz w:val="22"/>
          <w:szCs w:val="22"/>
          <w:lang w:eastAsia="ko-KR"/>
        </w:rPr>
        <w:t xml:space="preserve">, </w:t>
      </w:r>
      <w:r w:rsidRPr="00A3614E">
        <w:rPr>
          <w:rStyle w:val="citation-69"/>
          <w:rFonts w:eastAsiaTheme="majorEastAsia"/>
          <w:sz w:val="22"/>
          <w:szCs w:val="22"/>
        </w:rPr>
        <w:t>captured within just two to four weeks of a variant’s emergence</w:t>
      </w:r>
      <w:r w:rsidRPr="00A3614E">
        <w:rPr>
          <w:rStyle w:val="citation-69"/>
          <w:rFonts w:eastAsiaTheme="majorEastAsia"/>
          <w:sz w:val="22"/>
          <w:szCs w:val="22"/>
          <w:lang w:eastAsia="ko-KR"/>
        </w:rPr>
        <w:t xml:space="preserve">, </w:t>
      </w:r>
      <w:r w:rsidRPr="00A3614E">
        <w:rPr>
          <w:rStyle w:val="citation-69"/>
          <w:rFonts w:eastAsiaTheme="majorEastAsia"/>
          <w:sz w:val="22"/>
          <w:szCs w:val="22"/>
        </w:rPr>
        <w:t>encode robust and interpretable signals capable of forecasting its eventual epidemiological dominance</w:t>
      </w:r>
      <w:r w:rsidRPr="00A3614E">
        <w:rPr>
          <w:sz w:val="22"/>
          <w:szCs w:val="22"/>
        </w:rPr>
        <w:t xml:space="preserve">. </w:t>
      </w:r>
      <w:r w:rsidRPr="00A3614E">
        <w:rPr>
          <w:rStyle w:val="citation-68"/>
          <w:rFonts w:eastAsiaTheme="majorEastAsia"/>
          <w:sz w:val="22"/>
          <w:szCs w:val="22"/>
        </w:rPr>
        <w:t xml:space="preserve">By integrating domain-specific growth indicators with standardized time-series descriptors, our </w:t>
      </w:r>
      <w:proofErr w:type="spellStart"/>
      <w:r w:rsidRPr="00A3614E">
        <w:rPr>
          <w:rStyle w:val="citation-68"/>
          <w:rFonts w:eastAsiaTheme="majorEastAsia"/>
          <w:sz w:val="22"/>
          <w:szCs w:val="22"/>
        </w:rPr>
        <w:t>SuperLearner</w:t>
      </w:r>
      <w:proofErr w:type="spellEnd"/>
      <w:r w:rsidRPr="00A3614E">
        <w:rPr>
          <w:rStyle w:val="citation-68"/>
          <w:rFonts w:eastAsiaTheme="majorEastAsia"/>
          <w:sz w:val="22"/>
          <w:szCs w:val="22"/>
        </w:rPr>
        <w:t xml:space="preserve"> ensemble framework achieved high predictive accuracy for both peak prevalence and duration across diverse national contexts, consistently outperforming individual algorithms</w:t>
      </w:r>
      <w:r w:rsidRPr="00A3614E">
        <w:rPr>
          <w:sz w:val="22"/>
          <w:szCs w:val="22"/>
        </w:rPr>
        <w:t xml:space="preserve">. </w:t>
      </w:r>
      <w:r w:rsidRPr="00A3614E">
        <w:rPr>
          <w:rStyle w:val="citation-67"/>
          <w:rFonts w:eastAsiaTheme="majorEastAsia"/>
          <w:sz w:val="22"/>
          <w:szCs w:val="22"/>
        </w:rPr>
        <w:t>Crucially, our interpretability analysis reveals that these two dimensions of dominance are driven by distinct dynamical signatures: while high peak prevalence is primarily determined by the magnitude and structural coherence of early expansion, prolonged duration is associated not with explosive initial surges, but with sustained, moderate fluctuations embedded within a stable growth trajectory</w:t>
      </w:r>
      <w:r w:rsidRPr="00A3614E">
        <w:rPr>
          <w:sz w:val="22"/>
          <w:szCs w:val="22"/>
        </w:rPr>
        <w:t xml:space="preserve">. </w:t>
      </w:r>
      <w:r w:rsidRPr="00A3614E">
        <w:rPr>
          <w:rStyle w:val="citation-66"/>
          <w:rFonts w:eastAsiaTheme="majorEastAsia"/>
          <w:sz w:val="22"/>
          <w:szCs w:val="22"/>
        </w:rPr>
        <w:t>These findings validate a scalable, sequence-only approach to real-time surveillance, providing public health systems with a lightweight early-warning tool that operates well before variants approach their national peaks</w:t>
      </w:r>
      <w:r w:rsidRPr="00A3614E">
        <w:rPr>
          <w:sz w:val="22"/>
          <w:szCs w:val="22"/>
        </w:rPr>
        <w:t>.</w:t>
      </w:r>
    </w:p>
    <w:p w14:paraId="186AC43F" w14:textId="77777777" w:rsidR="00010D51" w:rsidRPr="00A3614E" w:rsidRDefault="00010D51" w:rsidP="00010D51">
      <w:pPr>
        <w:pStyle w:val="BodyText"/>
        <w:spacing w:line="276" w:lineRule="auto"/>
        <w:ind w:left="0"/>
        <w:contextualSpacing/>
        <w:jc w:val="both"/>
        <w:rPr>
          <w:rFonts w:eastAsiaTheme="minorEastAsia"/>
          <w:sz w:val="22"/>
          <w:szCs w:val="22"/>
          <w:lang w:eastAsia="ko-KR"/>
        </w:rPr>
      </w:pPr>
    </w:p>
    <w:p w14:paraId="52F767CC" w14:textId="553A067D"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ko-KR"/>
        </w:rPr>
      </w:pPr>
      <w:r w:rsidRPr="00A3614E">
        <w:rPr>
          <w:color w:val="000000" w:themeColor="text1"/>
          <w:sz w:val="22"/>
          <w:szCs w:val="22"/>
        </w:rPr>
        <w:t>In our framework, predictive uncertainty primarily stems from two intertwined sources:</w:t>
      </w:r>
      <w:r w:rsidRPr="00A3614E">
        <w:rPr>
          <w:rFonts w:eastAsiaTheme="minorEastAsia"/>
          <w:color w:val="000000" w:themeColor="text1"/>
          <w:sz w:val="22"/>
          <w:szCs w:val="22"/>
          <w:lang w:eastAsia="ko-KR"/>
        </w:rPr>
        <w:t xml:space="preserve"> </w:t>
      </w:r>
      <w:r w:rsidRPr="00A3614E">
        <w:rPr>
          <w:color w:val="000000" w:themeColor="text1"/>
          <w:sz w:val="22"/>
          <w:szCs w:val="22"/>
        </w:rPr>
        <w:t xml:space="preserve">early growth and detection delay </w:t>
      </w:r>
      <w:r w:rsidRPr="00A3614E">
        <w:rPr>
          <w:color w:val="000000" w:themeColor="text1"/>
          <w:sz w:val="22"/>
          <w:szCs w:val="22"/>
        </w:rPr>
        <w:fldChar w:fldCharType="begin"/>
      </w:r>
      <w:r w:rsidR="002361C0">
        <w:rPr>
          <w:color w:val="000000" w:themeColor="text1"/>
          <w:sz w:val="22"/>
          <w:szCs w:val="22"/>
        </w:rPr>
        <w:instrText xml:space="preserve"> ADDIN ZOTERO_ITEM CSL_CITATION {"citationID":"WYomYOB9","properties":{"formattedCitation":"(9)","plainCitation":"(9)","noteIndex":0},"citationItems":[{"id":706,"uris":["http://zotero.org/users/14790911/items/XZD92YFJ"],"itemData":{"id":706,"type":"article-journal","abstract":"Epidemiological delays are key quantities that inform public health policy and clinical practice. They are used as inputs for mathematical and statistical models, which in turn can guide control strategies. In recent work, we found that censoring, right truncation, and dynamical bias were rarely addressed correctly when estimating delays and that these biases were large enough to have knock-on impacts across a large number of use cases. Here, we formulate a checklist of best practices for estimating and reporting epidemiological delays. We also provide a flowchart to guide practitioners based on their data. Our examples are focused on the incubation period and serial interval due to their importance in outbreak response and modeling, but our recommendations are applicable to other delays. The recommendations, which are based on the literature and our experience estimating epidemiological delay distributions during outbreak responses, can help improve the robustness and utility of reported estimates and provide guidance for the evaluation of estimates for downstream use in transmission models or other analyses.","container-title":"PLOS Computational Biology","DOI":"10.1371/journal.pcbi.1012520","ISSN":"1553-7358","issue":"10","journalAbbreviation":"PLOS Computational Biology","language":"en","page":"e1012520","publisher":"Public Library of Science","source":"PLoS Journals","title":"Best practices for estimating and reporting epidemiological delay distributions of infectious diseases","volume":"20","author":[{"family":"Charniga","given":"Kelly"},{"family":"Park","given":"Sang Woo"},{"family":"Akhmetzhanov","given":"Andrei R."},{"family":"Cori","given":"Anne"},{"family":"Dushoff","given":"Jonathan"},{"family":"Funk","given":"Sebastian"},{"family":"Gostic","given":"Katelyn M."},{"family":"Linton","given":"Natalie M."},{"family":"Lison","given":"Adrian"},{"family":"Overton","given":"Christopher E."},{"family":"Pulliam","given":"Juliet R. C."},{"family":"Ward","given":"Thomas"},{"family":"Cauchemez","given":"Simon"},{"family":"Abbott","given":"Sam"}],"issued":{"date-parts":[["2024",10,28]]}}}],"schema":"https://github.com/citation-style-language/schema/raw/master/csl-citation.json"} </w:instrText>
      </w:r>
      <w:r w:rsidRPr="00A3614E">
        <w:rPr>
          <w:color w:val="000000" w:themeColor="text1"/>
          <w:sz w:val="22"/>
          <w:szCs w:val="22"/>
        </w:rPr>
        <w:fldChar w:fldCharType="separate"/>
      </w:r>
      <w:r w:rsidR="002361C0">
        <w:rPr>
          <w:rFonts w:eastAsiaTheme="minorEastAsia"/>
          <w:color w:val="000000"/>
          <w:sz w:val="22"/>
          <w:szCs w:val="22"/>
          <w:lang w:eastAsia="ko-KR"/>
          <w14:ligatures w14:val="standardContextual"/>
        </w:rPr>
        <w:t>(9)</w:t>
      </w:r>
      <w:r w:rsidRPr="00A3614E">
        <w:rPr>
          <w:color w:val="000000" w:themeColor="text1"/>
          <w:sz w:val="22"/>
          <w:szCs w:val="22"/>
        </w:rPr>
        <w:fldChar w:fldCharType="end"/>
      </w:r>
      <w:r w:rsidRPr="00A3614E">
        <w:rPr>
          <w:color w:val="000000" w:themeColor="text1"/>
          <w:sz w:val="22"/>
          <w:szCs w:val="22"/>
        </w:rPr>
        <w:t xml:space="preserve">—which together shape the heterogeneity observed across countries </w:t>
      </w:r>
      <w:r w:rsidRPr="00A3614E">
        <w:rPr>
          <w:color w:val="000000" w:themeColor="text1"/>
          <w:sz w:val="22"/>
          <w:szCs w:val="22"/>
        </w:rPr>
        <w:fldChar w:fldCharType="begin"/>
      </w:r>
      <w:r w:rsidR="002361C0">
        <w:rPr>
          <w:color w:val="000000" w:themeColor="text1"/>
          <w:sz w:val="22"/>
          <w:szCs w:val="22"/>
        </w:rPr>
        <w:instrText xml:space="preserve"> ADDIN ZOTERO_ITEM CSL_CITATION {"citationID":"l5xHQ9WE","properties":{"formattedCitation":"(10)","plainCitation":"(10)","noteIndex":0},"citationItems":[{"id":708,"uris":["http://zotero.org/users/14790911/items/JNTYHW4U"],"itemData":{"id":708,"type":"article-journal","abstract":"While COVID-19 is rapidly propagating around the globe, the need for providing real-time forecasts of the epidemics pushes fits of dynamical and statistical models to available data beyond their capabilities. Here we focus on statistical predictions of COVID-19 infections performed by fitting asymptotic distributions to actual data. By taking as a case-study the epidemic evolution of total COVID-19 infections in Chinese provinces and Italian regions, we find that predictions are characterized by large uncertainties at the early stages of the epidemic growth. Those uncertainties significantly reduce after the epidemics peak is reached. Differences in the uncertainty of the forecasts at a regional level can be used to highlight the delay in the spread of the virus. Our results warn that long term extrapolation of epidemics counts must be handled with extreme care as they crucially depend not only on the quality of data, but also on the stage of the epidemics, due to the intrinsically non-linear nature of the underlying dynamics. These results suggest that real-time epidemiological projections should include wide uncertainty ranges and urge for the needs of compiling high-quality datasets of infections counts, including asymptomatic patients.","container-title":"Communications in Nonlinear Science &amp; Numerical Simulation","DOI":"10.1016/j.cnsns.2020.105372","ISSN":"1007-5704","journalAbbreviation":"Commun Nonlinear Sci Numer Simul","language":"eng","page":"105372","PMID":"32834701","PMCID":"PMC7263229","source":"PubMed","title":"On the uncertainty of real-time predictions of epidemic growths: A COVID-19 case study for China and Italy","title-short":"On the uncertainty of real-time predictions of epidemic growths","volume":"90","author":[{"family":"Alberti","given":"Tommaso"},{"family":"Faranda","given":"Davide"}],"issued":{"date-parts":[["2020",11]]}}}],"schema":"https://github.com/citation-style-language/schema/raw/master/csl-citation.json"} </w:instrText>
      </w:r>
      <w:r w:rsidRPr="00A3614E">
        <w:rPr>
          <w:color w:val="000000" w:themeColor="text1"/>
          <w:sz w:val="22"/>
          <w:szCs w:val="22"/>
        </w:rPr>
        <w:fldChar w:fldCharType="separate"/>
      </w:r>
      <w:r w:rsidR="002361C0">
        <w:rPr>
          <w:rFonts w:eastAsiaTheme="minorEastAsia"/>
          <w:color w:val="000000"/>
          <w:sz w:val="22"/>
          <w:szCs w:val="22"/>
          <w:lang w:eastAsia="ko-KR"/>
          <w14:ligatures w14:val="standardContextual"/>
        </w:rPr>
        <w:t>(10)</w:t>
      </w:r>
      <w:r w:rsidRPr="00A3614E">
        <w:rPr>
          <w:color w:val="000000" w:themeColor="text1"/>
          <w:sz w:val="22"/>
          <w:szCs w:val="22"/>
        </w:rPr>
        <w:fldChar w:fldCharType="end"/>
      </w:r>
      <w:r w:rsidRPr="00A3614E">
        <w:rPr>
          <w:color w:val="000000" w:themeColor="text1"/>
          <w:sz w:val="22"/>
          <w:szCs w:val="22"/>
        </w:rPr>
        <w:t xml:space="preserve">. Variants exhibiting extremely rapid initial expansion compress both biological signal and stochastic noise into </w:t>
      </w:r>
      <w:proofErr w:type="gramStart"/>
      <w:r w:rsidRPr="00A3614E">
        <w:rPr>
          <w:color w:val="000000" w:themeColor="text1"/>
          <w:sz w:val="22"/>
          <w:szCs w:val="22"/>
        </w:rPr>
        <w:t>short time</w:t>
      </w:r>
      <w:proofErr w:type="gramEnd"/>
      <w:r w:rsidRPr="00A3614E">
        <w:rPr>
          <w:color w:val="000000" w:themeColor="text1"/>
          <w:sz w:val="22"/>
          <w:szCs w:val="22"/>
        </w:rPr>
        <w:t xml:space="preserve"> windows, making growth-related features (e.g., short-window slopes, fluctuation metrics) highly sensitive to sampling variability. In high-coverage settings such as Denmark or the United Kingdom, dense sequencing smooths these fluctuations and yields stable slope estimates; in contrast, sporadic sampling in countries like Brazil or South Korea amplifies volatility, occasionally misclassifying transient spikes as sustainable growth. Detection delays further compound these disparities by shifting each country’s analytical “Day 0” away from the true biological onset. In low-throughput systems, a variant may already be mid-growth when it first exceeds the 1 % threshold, leading to truncated or distorted early trajectories and underestimation of eventual dominance. This asymmetry explains why the model achieved near-perfect accuracy in data-rich settings but tended to underpredict peaks and durations in countries with limited sequencing continuity. </w:t>
      </w:r>
      <w:r w:rsidRPr="00A3614E">
        <w:rPr>
          <w:rFonts w:eastAsiaTheme="minorEastAsia"/>
          <w:color w:val="000000" w:themeColor="text1"/>
          <w:sz w:val="22"/>
          <w:szCs w:val="22"/>
          <w:lang w:eastAsia="zh-CN"/>
        </w:rPr>
        <w:t>Naïve growth-rate models struggle under these conditions, as a single spurious point or reporting lag can heavily bias slope estimates. Machine learning approaches are better suited because they integrate multiple features beyond simple growth rates, capture variability and persistence, and learn from diverse historical examples, making them more robust to noise and heterogeneity.</w:t>
      </w:r>
      <w:r w:rsidRPr="00A3614E">
        <w:rPr>
          <w:rFonts w:eastAsiaTheme="minorEastAsia"/>
          <w:color w:val="000000" w:themeColor="text1"/>
          <w:sz w:val="22"/>
          <w:szCs w:val="22"/>
          <w:lang w:eastAsia="ko-KR"/>
        </w:rPr>
        <w:t xml:space="preserve">  </w:t>
      </w:r>
    </w:p>
    <w:p w14:paraId="7855DED0" w14:textId="77777777"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p>
    <w:p w14:paraId="1151CC60" w14:textId="2A05A6A3"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r w:rsidRPr="00A3614E">
        <w:rPr>
          <w:sz w:val="22"/>
          <w:szCs w:val="22"/>
        </w:rPr>
        <w:t>The country-specific results highlight a fundamental shift in the mechanisms governing variant dominance and forecasting uncertainty over the course of the pandemic. In the early phase, when population immunity was low, variant success was largely driven by intrinsic transmissibility, producing rapid, high-signal selective sweeps that yielded relatively consistent early growth patterns and uniform model performance across countries. As global immunity accumulated—through vaccination and prior infection—variant success increasingly depended on immune escape within heterogeneous national immune landscapes, weakening the direct relationship between early growth rate and eventual peak prevalence and amplifying cross-country heterogeneity. Consistent with this transition, Figgins and Bedford (2025)</w:t>
      </w:r>
      <w:r w:rsidRPr="00A3614E">
        <w:rPr>
          <w:color w:val="000000" w:themeColor="text1"/>
          <w:sz w:val="22"/>
          <w:szCs w:val="22"/>
        </w:rPr>
        <w:fldChar w:fldCharType="begin"/>
      </w:r>
      <w:r w:rsidR="002361C0">
        <w:rPr>
          <w:color w:val="000000" w:themeColor="text1"/>
          <w:sz w:val="22"/>
          <w:szCs w:val="22"/>
        </w:rPr>
        <w:instrText xml:space="preserve"> ADDIN ZOTERO_ITEM CSL_CITATION {"citationID":"OiCizb9e","properties":{"formattedCitation":"(11)","plainCitation":"(11)","noteIndex":0},"citationItems":[{"id":711,"uris":["http://zotero.org/users/14790911/items/35ADAKVE"],"itemData":{"id":711,"type":"article","abstract":"During the COVID-19 pandemic, SARS-CoV-2 variants drove large waves of infections, fueled by increased transmissibility and immune escape. Current models focus on changes in variant frequencies without linking them to underlying transmission mechanisms of intrinsic transmissibility and immune escape. We introduce a framework connecting variant dynamics to these mechanisms, showing how host population immunity interacts with viral transmissibility and immune escape to determine relative variant fitness. We advance a selective pressure metric that provides an early signal of epidemic growth using genetic data alone, crucial with current underreporting of cases. Additionally, we show that a latent immunity space model approximates immunological distances, offering insights into population susceptibility and immune evasion. These insights refine real-time forecasting and lay the groundwork for research into the interplay between viral genetics, immunity, and epidemic growth.","DOI":"10.1101/2024.12.02.24318334","language":"en","license":"© 2025, Posted by Cold Spring Harbor Laboratory. This pre-print is available under a Creative Commons License (Attribution 4.0 International), CC BY 4.0, as described at http://creativecommons.org/licenses/by/4.0/","note":"ISSN: 3067-2007\npage: 2024.12.02.24318334","publisher":"medRxiv","source":"medRxiv","title":"Frequency dynamics predict viral fitness, antigenic relationships and epidemic growth","URL":"https://www.medrxiv.org/content/10.1101/2024.12.02.24318334v3","author":[{"family":"Figgins","given":"Marlin D."},{"family":"Bedford","given":"Trevor"}],"accessed":{"date-parts":[["2025",10,20]]},"issued":{"date-parts":[["2025",9,12]]}}}],"schema":"https://github.com/citation-style-language/schema/raw/master/csl-citation.json"} </w:instrText>
      </w:r>
      <w:r w:rsidRPr="00A3614E">
        <w:rPr>
          <w:color w:val="000000" w:themeColor="text1"/>
          <w:sz w:val="22"/>
          <w:szCs w:val="22"/>
        </w:rPr>
        <w:fldChar w:fldCharType="separate"/>
      </w:r>
      <w:r w:rsidR="002361C0">
        <w:rPr>
          <w:noProof/>
          <w:color w:val="000000" w:themeColor="text1"/>
          <w:sz w:val="22"/>
          <w:szCs w:val="22"/>
        </w:rPr>
        <w:t>(11)</w:t>
      </w:r>
      <w:r w:rsidRPr="00A3614E">
        <w:rPr>
          <w:color w:val="000000" w:themeColor="text1"/>
          <w:sz w:val="22"/>
          <w:szCs w:val="22"/>
        </w:rPr>
        <w:fldChar w:fldCharType="end"/>
      </w:r>
      <w:r w:rsidRPr="00A3614E">
        <w:rPr>
          <w:sz w:val="22"/>
          <w:szCs w:val="22"/>
        </w:rPr>
        <w:t xml:space="preserve"> demonstrated that SARS-CoV-2 fitness evolved from transmissibility-driven to immune-escape–driven dynamics, with time-varying selective pressures shaped by population immunity rather than fixed viral traits. Under these conditions, long-term dominance reflects sustained competitiveness under immune pressure rather than explosive early expansion, explaining why duration is more robustly predicted than peak magnitude in later phases. Importantly, the observed heterogeneity across countries reflects this deeper epidemiological shift toward immune-structured, context-dependent persistence, rather than model failure, underscoring the value of early identification of persistent variants over precise peak prediction in the post-Omicron era.</w:t>
      </w:r>
    </w:p>
    <w:p w14:paraId="0A1A2744" w14:textId="77777777"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p>
    <w:p w14:paraId="28610B82" w14:textId="4F6F1337" w:rsidR="00010D51" w:rsidRPr="00A3614E" w:rsidRDefault="00010D51" w:rsidP="00010D51">
      <w:pPr>
        <w:pStyle w:val="NormalWeb"/>
        <w:spacing w:line="276" w:lineRule="auto"/>
        <w:contextualSpacing/>
        <w:jc w:val="both"/>
        <w:rPr>
          <w:rFonts w:eastAsiaTheme="minorEastAsia"/>
          <w:sz w:val="22"/>
          <w:szCs w:val="22"/>
          <w:lang w:eastAsia="ko-KR"/>
        </w:rPr>
      </w:pPr>
      <w:r w:rsidRPr="00A3614E">
        <w:rPr>
          <w:sz w:val="22"/>
          <w:szCs w:val="22"/>
        </w:rPr>
        <w:t xml:space="preserve">Our findings complement and extend recent molecular-level approaches to forecasting viral evolution, including </w:t>
      </w:r>
      <w:proofErr w:type="spellStart"/>
      <w:r w:rsidRPr="00A3614E">
        <w:rPr>
          <w:rStyle w:val="Strong"/>
          <w:rFonts w:eastAsiaTheme="majorEastAsia"/>
          <w:b w:val="0"/>
          <w:bCs w:val="0"/>
          <w:sz w:val="22"/>
          <w:szCs w:val="22"/>
        </w:rPr>
        <w:t>EVEscape</w:t>
      </w:r>
      <w:proofErr w:type="spellEnd"/>
      <w:r w:rsidRPr="00A3614E">
        <w:rPr>
          <w:rStyle w:val="Strong"/>
          <w:rFonts w:eastAsiaTheme="majorEastAsia"/>
          <w:b w:val="0"/>
          <w:bCs w:val="0"/>
          <w:sz w:val="22"/>
          <w:szCs w:val="22"/>
        </w:rPr>
        <w:t xml:space="preserve"> </w:t>
      </w:r>
      <w:r w:rsidRPr="00A3614E">
        <w:rPr>
          <w:rStyle w:val="Strong"/>
          <w:rFonts w:eastAsiaTheme="majorEastAsia"/>
          <w:b w:val="0"/>
          <w:bCs w:val="0"/>
          <w:sz w:val="22"/>
          <w:szCs w:val="22"/>
        </w:rPr>
        <w:fldChar w:fldCharType="begin"/>
      </w:r>
      <w:r w:rsidR="002361C0">
        <w:rPr>
          <w:rStyle w:val="Strong"/>
          <w:rFonts w:eastAsiaTheme="majorEastAsia"/>
          <w:b w:val="0"/>
          <w:bCs w:val="0"/>
          <w:sz w:val="22"/>
          <w:szCs w:val="22"/>
        </w:rPr>
        <w:instrText xml:space="preserve"> ADDIN ZOTERO_ITEM CSL_CITATION {"citationID":"u7owqjJ3","properties":{"formattedCitation":"(12)","plainCitation":"(12)","noteIndex":0},"citationItems":[{"id":748,"uris":["http://zotero.org/users/14790911/items/TN6VLMWT"],"itemData":{"id":748,"type":"article-journal","abstract":"The ability for viruses to mutate and evade the human immune system and cause infection, called viral escape, remains an obstacle to antiviral and vaccine development. Understanding the complex rules that govern escape could inform therapeutic design. We modeled viral escape with machine learning algorithms originally developed for human natural language. We identified escape mutations as those that preserve viral infectivity but cause a virus to look different to the immune system, akin to word changes that preserve a sentence’s grammaticality but change its meaning. With this approach, language models of influenza hemagglutinin, HIV-1 envelope glycoprotein (HIV Env), and severe acute respiratory syndrome coronavirus 2 (SARS-CoV-2) Spike viral proteins can accurately predict structural escape patterns using sequence data alone. Our study represents a promising conceptual bridge between natural language and viral evolution.","container-title":"Science","DOI":"10.1126/science.abd7331","issue":"6526","page":"284-288","publisher":"American Association for the Advancement of Science","source":"science.org (Atypon)","title":"Learning the language of viral evolution and escape","volume":"371","author":[{"family":"Hie","given":"Brian"},{"family":"Zhong","given":"Ellen D."},{"family":"Berger","given":"Bonnie"},{"family":"Bryson","given":"Bryan"}],"issued":{"date-parts":[["2021",1,15]]}}}],"schema":"https://github.com/citation-style-language/schema/raw/master/csl-citation.json"} </w:instrText>
      </w:r>
      <w:r w:rsidRPr="00A3614E">
        <w:rPr>
          <w:rStyle w:val="Strong"/>
          <w:rFonts w:eastAsiaTheme="majorEastAsia"/>
          <w:b w:val="0"/>
          <w:bCs w:val="0"/>
          <w:sz w:val="22"/>
          <w:szCs w:val="22"/>
        </w:rPr>
        <w:fldChar w:fldCharType="separate"/>
      </w:r>
      <w:r w:rsidR="002361C0">
        <w:rPr>
          <w:rStyle w:val="Strong"/>
          <w:rFonts w:eastAsiaTheme="majorEastAsia"/>
          <w:b w:val="0"/>
          <w:bCs w:val="0"/>
          <w:noProof/>
          <w:sz w:val="22"/>
          <w:szCs w:val="22"/>
        </w:rPr>
        <w:t>(12)</w:t>
      </w:r>
      <w:r w:rsidRPr="00A3614E">
        <w:rPr>
          <w:rStyle w:val="Strong"/>
          <w:rFonts w:eastAsiaTheme="majorEastAsia"/>
          <w:b w:val="0"/>
          <w:bCs w:val="0"/>
          <w:sz w:val="22"/>
          <w:szCs w:val="22"/>
        </w:rPr>
        <w:fldChar w:fldCharType="end"/>
      </w:r>
      <w:r w:rsidRPr="00A3614E">
        <w:rPr>
          <w:rStyle w:val="Strong"/>
          <w:rFonts w:eastAsiaTheme="majorEastAsia"/>
          <w:sz w:val="22"/>
          <w:szCs w:val="22"/>
          <w:lang w:eastAsia="ko-KR"/>
        </w:rPr>
        <w:t xml:space="preserve"> </w:t>
      </w:r>
      <w:r w:rsidRPr="00A3614E">
        <w:rPr>
          <w:rStyle w:val="Strong"/>
          <w:rFonts w:eastAsiaTheme="majorEastAsia"/>
          <w:b w:val="0"/>
          <w:bCs w:val="0"/>
          <w:sz w:val="22"/>
          <w:szCs w:val="22"/>
          <w:lang w:eastAsia="ko-KR"/>
        </w:rPr>
        <w:t>a</w:t>
      </w:r>
      <w:r w:rsidRPr="00A3614E">
        <w:rPr>
          <w:sz w:val="22"/>
          <w:szCs w:val="22"/>
        </w:rPr>
        <w:t xml:space="preserve">nd viral language models. </w:t>
      </w:r>
      <w:r w:rsidRPr="00A3614E">
        <w:rPr>
          <w:rStyle w:val="Strong"/>
          <w:rFonts w:eastAsiaTheme="majorEastAsia"/>
          <w:b w:val="0"/>
          <w:bCs w:val="0"/>
          <w:sz w:val="22"/>
          <w:szCs w:val="22"/>
        </w:rPr>
        <w:t>Thadani et al. (2023)</w:t>
      </w:r>
      <w:r w:rsidRPr="00A3614E">
        <w:rPr>
          <w:rStyle w:val="Strong"/>
          <w:rFonts w:eastAsiaTheme="majorEastAsia"/>
          <w:b w:val="0"/>
          <w:bCs w:val="0"/>
          <w:sz w:val="22"/>
          <w:szCs w:val="22"/>
        </w:rPr>
        <w:fldChar w:fldCharType="begin"/>
      </w:r>
      <w:r w:rsidR="002361C0">
        <w:rPr>
          <w:rStyle w:val="Strong"/>
          <w:rFonts w:eastAsiaTheme="majorEastAsia"/>
          <w:b w:val="0"/>
          <w:bCs w:val="0"/>
          <w:sz w:val="22"/>
          <w:szCs w:val="22"/>
        </w:rPr>
        <w:instrText xml:space="preserve"> ADDIN ZOTERO_ITEM CSL_CITATION {"citationID":"5cbf4udY","properties":{"formattedCitation":"(12)","plainCitation":"(12)","noteIndex":0},"citationItems":[{"id":748,"uris":["http://zotero.org/users/14790911/items/TN6VLMWT"],"itemData":{"id":748,"type":"article-journal","abstract":"The ability for viruses to mutate and evade the human immune system and cause infection, called viral escape, remains an obstacle to antiviral and vaccine development. Understanding the complex rules that govern escape could inform therapeutic design. We modeled viral escape with machine learning algorithms originally developed for human natural language. We identified escape mutations as those that preserve viral infectivity but cause a virus to look different to the immune system, akin to word changes that preserve a sentence’s grammaticality but change its meaning. With this approach, language models of influenza hemagglutinin, HIV-1 envelope glycoprotein (HIV Env), and severe acute respiratory syndrome coronavirus 2 (SARS-CoV-2) Spike viral proteins can accurately predict structural escape patterns using sequence data alone. Our study represents a promising conceptual bridge between natural language and viral evolution.","container-title":"Science","DOI":"10.1126/science.abd7331","issue":"6526","page":"284-288","publisher":"American Association for the Advancement of Science","source":"science.org (Atypon)","title":"Learning the language of viral evolution and escape","volume":"371","author":[{"family":"Hie","given":"Brian"},{"family":"Zhong","given":"Ellen D."},{"family":"Berger","given":"Bonnie"},{"family":"Bryson","given":"Bryan"}],"issued":{"date-parts":[["2021",1,15]]}}}],"schema":"https://github.com/citation-style-language/schema/raw/master/csl-citation.json"} </w:instrText>
      </w:r>
      <w:r w:rsidRPr="00A3614E">
        <w:rPr>
          <w:rStyle w:val="Strong"/>
          <w:rFonts w:eastAsiaTheme="majorEastAsia"/>
          <w:b w:val="0"/>
          <w:bCs w:val="0"/>
          <w:sz w:val="22"/>
          <w:szCs w:val="22"/>
        </w:rPr>
        <w:fldChar w:fldCharType="separate"/>
      </w:r>
      <w:r w:rsidR="002361C0">
        <w:rPr>
          <w:rStyle w:val="Strong"/>
          <w:rFonts w:eastAsiaTheme="majorEastAsia"/>
          <w:b w:val="0"/>
          <w:bCs w:val="0"/>
          <w:noProof/>
          <w:sz w:val="22"/>
          <w:szCs w:val="22"/>
        </w:rPr>
        <w:t>(12)</w:t>
      </w:r>
      <w:r w:rsidRPr="00A3614E">
        <w:rPr>
          <w:rStyle w:val="Strong"/>
          <w:rFonts w:eastAsiaTheme="majorEastAsia"/>
          <w:b w:val="0"/>
          <w:bCs w:val="0"/>
          <w:sz w:val="22"/>
          <w:szCs w:val="22"/>
        </w:rPr>
        <w:fldChar w:fldCharType="end"/>
      </w:r>
      <w:r w:rsidRPr="00A3614E">
        <w:rPr>
          <w:rStyle w:val="Strong"/>
          <w:rFonts w:eastAsiaTheme="majorEastAsia"/>
          <w:sz w:val="22"/>
          <w:szCs w:val="22"/>
          <w:lang w:eastAsia="ko-KR"/>
        </w:rPr>
        <w:t xml:space="preserve"> </w:t>
      </w:r>
      <w:r w:rsidRPr="00A3614E">
        <w:rPr>
          <w:sz w:val="22"/>
          <w:szCs w:val="22"/>
        </w:rPr>
        <w:t xml:space="preserve">demonstrated that pre-pandemic mutational landscapes can anticipate immune escape potential by learning antigenic constraints from deep mutational scanning and structural data, while </w:t>
      </w:r>
      <w:r w:rsidRPr="00A3614E">
        <w:rPr>
          <w:rStyle w:val="Strong"/>
          <w:rFonts w:eastAsiaTheme="majorEastAsia"/>
          <w:b w:val="0"/>
          <w:bCs w:val="0"/>
          <w:sz w:val="22"/>
          <w:szCs w:val="22"/>
        </w:rPr>
        <w:t xml:space="preserve">Hie et al. (2021) </w:t>
      </w:r>
      <w:r w:rsidRPr="00A3614E">
        <w:rPr>
          <w:rStyle w:val="Strong"/>
          <w:rFonts w:eastAsiaTheme="majorEastAsia"/>
          <w:b w:val="0"/>
          <w:bCs w:val="0"/>
          <w:sz w:val="22"/>
          <w:szCs w:val="22"/>
        </w:rPr>
        <w:fldChar w:fldCharType="begin"/>
      </w:r>
      <w:r w:rsidR="002361C0">
        <w:rPr>
          <w:rStyle w:val="Strong"/>
          <w:rFonts w:eastAsiaTheme="majorEastAsia"/>
          <w:b w:val="0"/>
          <w:bCs w:val="0"/>
          <w:sz w:val="22"/>
          <w:szCs w:val="22"/>
        </w:rPr>
        <w:instrText xml:space="preserve"> ADDIN ZOTERO_ITEM CSL_CITATION {"citationID":"MURVZFAD","properties":{"formattedCitation":"(12)","plainCitation":"(12)","noteIndex":0},"citationItems":[{"id":748,"uris":["http://zotero.org/users/14790911/items/TN6VLMWT"],"itemData":{"id":748,"type":"article-journal","abstract":"The ability for viruses to mutate and evade the human immune system and cause infection, called viral escape, remains an obstacle to antiviral and vaccine development. Understanding the complex rules that govern escape could inform therapeutic design. We modeled viral escape with machine learning algorithms originally developed for human natural language. We identified escape mutations as those that preserve viral infectivity but cause a virus to look different to the immune system, akin to word changes that preserve a sentence’s grammaticality but change its meaning. With this approach, language models of influenza hemagglutinin, HIV-1 envelope glycoprotein (HIV Env), and severe acute respiratory syndrome coronavirus 2 (SARS-CoV-2) Spike viral proteins can accurately predict structural escape patterns using sequence data alone. Our study represents a promising conceptual bridge between natural language and viral evolution.","container-title":"Science","DOI":"10.1126/science.abd7331","issue":"6526","page":"284-288","publisher":"American Association for the Advancement of Science","source":"science.org (Atypon)","title":"Learning the language of viral evolution and escape","volume":"371","author":[{"family":"Hie","given":"Brian"},{"family":"Zhong","given":"Ellen D."},{"family":"Berger","given":"Bonnie"},{"family":"Bryson","given":"Bryan"}],"issued":{"date-parts":[["2021",1,15]]}}}],"schema":"https://github.com/citation-style-language/schema/raw/master/csl-citation.json"} </w:instrText>
      </w:r>
      <w:r w:rsidRPr="00A3614E">
        <w:rPr>
          <w:rStyle w:val="Strong"/>
          <w:rFonts w:eastAsiaTheme="majorEastAsia"/>
          <w:b w:val="0"/>
          <w:bCs w:val="0"/>
          <w:sz w:val="22"/>
          <w:szCs w:val="22"/>
        </w:rPr>
        <w:fldChar w:fldCharType="separate"/>
      </w:r>
      <w:r w:rsidR="002361C0">
        <w:rPr>
          <w:rStyle w:val="Strong"/>
          <w:rFonts w:eastAsiaTheme="majorEastAsia"/>
          <w:b w:val="0"/>
          <w:bCs w:val="0"/>
          <w:noProof/>
          <w:sz w:val="22"/>
          <w:szCs w:val="22"/>
        </w:rPr>
        <w:t>(12)</w:t>
      </w:r>
      <w:r w:rsidRPr="00A3614E">
        <w:rPr>
          <w:rStyle w:val="Strong"/>
          <w:rFonts w:eastAsiaTheme="majorEastAsia"/>
          <w:b w:val="0"/>
          <w:bCs w:val="0"/>
          <w:sz w:val="22"/>
          <w:szCs w:val="22"/>
        </w:rPr>
        <w:fldChar w:fldCharType="end"/>
      </w:r>
      <w:r w:rsidRPr="00A3614E">
        <w:rPr>
          <w:rFonts w:eastAsiaTheme="minorEastAsia"/>
          <w:sz w:val="22"/>
          <w:szCs w:val="22"/>
        </w:rPr>
        <w:t xml:space="preserve"> </w:t>
      </w:r>
      <w:r w:rsidRPr="00A3614E">
        <w:rPr>
          <w:sz w:val="22"/>
          <w:szCs w:val="22"/>
        </w:rPr>
        <w:t xml:space="preserve">showed that protein language models encode evolutionary and functional constraints that predict escape at the mutation level. These frameworks effectively identify the intrinsic potential for immune escape by learning </w:t>
      </w:r>
      <w:r w:rsidRPr="00A3614E">
        <w:rPr>
          <w:sz w:val="22"/>
          <w:szCs w:val="22"/>
        </w:rPr>
        <w:lastRenderedPageBreak/>
        <w:t>antigenic and evolutionary constraints from pre-pandemic data, they do not directly resolve how those molecular advantages translate into population-level dominance in a crowded fitness landscape.</w:t>
      </w:r>
      <w:r w:rsidRPr="00A3614E">
        <w:rPr>
          <w:rFonts w:eastAsiaTheme="minorEastAsia"/>
          <w:sz w:val="22"/>
          <w:szCs w:val="22"/>
          <w:lang w:eastAsia="ko-KR"/>
        </w:rPr>
        <w:t xml:space="preserve"> </w:t>
      </w:r>
      <w:r w:rsidRPr="00A3614E">
        <w:rPr>
          <w:sz w:val="22"/>
          <w:szCs w:val="22"/>
        </w:rPr>
        <w:t xml:space="preserve">Our results address this gap by showing that early genomic growth trajectories encode two distinct epidemiological dimensions of fitness: </w:t>
      </w:r>
      <w:r w:rsidRPr="00A3614E">
        <w:rPr>
          <w:rStyle w:val="Strong"/>
          <w:rFonts w:eastAsiaTheme="majorEastAsia"/>
          <w:b w:val="0"/>
          <w:bCs w:val="0"/>
          <w:sz w:val="22"/>
          <w:szCs w:val="22"/>
        </w:rPr>
        <w:t>peak prevalence</w:t>
      </w:r>
      <w:r w:rsidRPr="00A3614E">
        <w:rPr>
          <w:sz w:val="22"/>
          <w:szCs w:val="22"/>
        </w:rPr>
        <w:t xml:space="preserve">, reflecting the strength and coherence of early expansion, and </w:t>
      </w:r>
      <w:r w:rsidRPr="00A3614E">
        <w:rPr>
          <w:rStyle w:val="Strong"/>
          <w:rFonts w:eastAsiaTheme="majorEastAsia"/>
          <w:b w:val="0"/>
          <w:bCs w:val="0"/>
          <w:sz w:val="22"/>
          <w:szCs w:val="22"/>
        </w:rPr>
        <w:t>dominance duration</w:t>
      </w:r>
      <w:r w:rsidRPr="00A3614E">
        <w:rPr>
          <w:sz w:val="22"/>
          <w:szCs w:val="22"/>
        </w:rPr>
        <w:t xml:space="preserve">, reflecting sustained competitiveness within an immune-structured, multi-lineage environment. Importantly, we find that </w:t>
      </w:r>
      <w:r w:rsidRPr="00A3614E">
        <w:rPr>
          <w:rStyle w:val="cf01"/>
          <w:rFonts w:ascii="Times New Roman" w:eastAsiaTheme="majorEastAsia" w:hAnsi="Times New Roman" w:cs="Times New Roman"/>
          <w:sz w:val="22"/>
          <w:szCs w:val="22"/>
        </w:rPr>
        <w:t xml:space="preserve">'molecularly fit' variants do not necessarily achieve prolonged dominance unless their early growth exhibits structural coherence (e.g., moderate sustained fluctuations) rather than just explosive early surges. This distinction is crucial: while molecular models predict the </w:t>
      </w:r>
      <w:r w:rsidRPr="00A3614E">
        <w:rPr>
          <w:rStyle w:val="cf11"/>
          <w:rFonts w:ascii="Times New Roman" w:eastAsiaTheme="majorEastAsia" w:hAnsi="Times New Roman" w:cs="Times New Roman"/>
          <w:sz w:val="22"/>
          <w:szCs w:val="22"/>
        </w:rPr>
        <w:t>capacity</w:t>
      </w:r>
      <w:r w:rsidRPr="00A3614E">
        <w:rPr>
          <w:rStyle w:val="cf01"/>
          <w:rFonts w:ascii="Times New Roman" w:eastAsiaTheme="majorEastAsia" w:hAnsi="Times New Roman" w:cs="Times New Roman"/>
          <w:sz w:val="22"/>
          <w:szCs w:val="22"/>
        </w:rPr>
        <w:t xml:space="preserve"> for escape, our trajectory-based framework captures the </w:t>
      </w:r>
      <w:r w:rsidRPr="00A3614E">
        <w:rPr>
          <w:rStyle w:val="cf11"/>
          <w:rFonts w:ascii="Times New Roman" w:eastAsiaTheme="majorEastAsia" w:hAnsi="Times New Roman" w:cs="Times New Roman"/>
          <w:sz w:val="22"/>
          <w:szCs w:val="22"/>
        </w:rPr>
        <w:t>realization</w:t>
      </w:r>
      <w:r w:rsidRPr="00A3614E">
        <w:rPr>
          <w:rStyle w:val="cf01"/>
          <w:rFonts w:ascii="Times New Roman" w:eastAsiaTheme="majorEastAsia" w:hAnsi="Times New Roman" w:cs="Times New Roman"/>
          <w:sz w:val="22"/>
          <w:szCs w:val="22"/>
        </w:rPr>
        <w:t xml:space="preserve"> of that capacity, revealing that long-term persistence in complex immune landscapes depends on stable, structurally organized growth rather than the sheer magnitude of initial expansion. </w:t>
      </w:r>
      <w:r w:rsidRPr="00A3614E">
        <w:rPr>
          <w:sz w:val="22"/>
          <w:szCs w:val="22"/>
        </w:rPr>
        <w:t>By mapping early sequence-derived growth outcomes—where molecular, immunological, and ecological pressures are already aggregated—to downstream peak and persistence, our framework provides a complementary population-level lens that connects molecular fitness signals to real-time epidemic impact.</w:t>
      </w:r>
    </w:p>
    <w:p w14:paraId="2E034FB9" w14:textId="77777777" w:rsidR="00010D51" w:rsidRPr="00A3614E" w:rsidRDefault="00010D51" w:rsidP="00010D51">
      <w:pPr>
        <w:pStyle w:val="NormalWeb"/>
        <w:spacing w:line="276" w:lineRule="auto"/>
        <w:contextualSpacing/>
        <w:jc w:val="both"/>
        <w:rPr>
          <w:rFonts w:eastAsiaTheme="minorEastAsia"/>
          <w:sz w:val="22"/>
          <w:szCs w:val="22"/>
          <w:lang w:eastAsia="ko-KR"/>
        </w:rPr>
      </w:pPr>
    </w:p>
    <w:p w14:paraId="50162959" w14:textId="77777777" w:rsidR="00010D51" w:rsidRPr="00A3614E" w:rsidRDefault="00010D51" w:rsidP="00010D51">
      <w:pPr>
        <w:pStyle w:val="NormalWeb"/>
        <w:spacing w:line="276" w:lineRule="auto"/>
        <w:contextualSpacing/>
        <w:jc w:val="both"/>
        <w:rPr>
          <w:rFonts w:eastAsiaTheme="minorEastAsia"/>
          <w:sz w:val="22"/>
          <w:szCs w:val="22"/>
          <w:lang w:eastAsia="ko-KR"/>
        </w:rPr>
      </w:pPr>
      <w:r w:rsidRPr="00A3614E">
        <w:rPr>
          <w:rFonts w:eastAsiaTheme="minorEastAsia"/>
          <w:sz w:val="22"/>
          <w:szCs w:val="22"/>
          <w:lang w:eastAsia="ko-KR"/>
        </w:rPr>
        <w:t xml:space="preserve">A major contribution of this study is its systematic cross-country comparison of variant dynamics across distinct pandemic phases, revealing how the drivers of dominance and uncertainty shifted over time. In the early pandemic, low background immunity produced high signal-to-noise, transmissibility-driven selective sweeps, making early slopes and magnitude-based features highly predictive of both peak and duration. In contrast, the Omicron era reflects a crowded fitness landscape shaped by heterogeneous immunity and intense multi-lineage competition, where early growth signals are weaker, noisier, and structurally more complex. Under these conditions, structural descriptors—such as entropy, autocorrelation, and fluctuation dynamics—become critical, and dominance duration is more reliably predicted than peak magnitude. Consistent with this shift, our analyses show that early growth signatures observed within just 2–4 weeks remain highly informative for forecasting both </w:t>
      </w:r>
      <w:r w:rsidRPr="00A3614E">
        <w:rPr>
          <w:rStyle w:val="cf01"/>
          <w:rFonts w:ascii="Times New Roman" w:eastAsiaTheme="majorEastAsia" w:hAnsi="Times New Roman" w:cs="Times New Roman"/>
          <w:sz w:val="22"/>
          <w:szCs w:val="22"/>
          <w:lang w:val="en"/>
        </w:rPr>
        <w:t>peak intensity and persistence, even as the biological drivers of success evolve</w:t>
      </w:r>
      <w:r w:rsidRPr="00A3614E">
        <w:rPr>
          <w:rFonts w:eastAsiaTheme="minorEastAsia"/>
          <w:sz w:val="22"/>
          <w:szCs w:val="22"/>
          <w:lang w:eastAsia="ko-KR"/>
        </w:rPr>
        <w:t xml:space="preserve">, if surveillance thresholds and observation windows are carefully defined. By establishing practical minimum requirements (e.g., ≥100 sequences in the previous 30 days and a 1% detection threshold) and a standardized early-observation framework, we demonstrate that sequence-only time-series features can support accurate, comparable, and scalable forecasting across diverse epidemiological and surveillance settings. </w:t>
      </w:r>
    </w:p>
    <w:p w14:paraId="7D3D1D8F" w14:textId="77777777"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p>
    <w:p w14:paraId="2CA3FC2C" w14:textId="28C06958"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r w:rsidRPr="00A3614E">
        <w:rPr>
          <w:color w:val="000000" w:themeColor="text1"/>
          <w:sz w:val="22"/>
          <w:szCs w:val="22"/>
        </w:rPr>
        <w:t xml:space="preserve">This study has several methodological and data-related limitations that warrant consideration. First, although the analytical window was anchored to the first observation of a 1% variant share to mitigate stochastic noise in the earliest detections, this design inevitably truncates part of the emergence phase for variants with very low eventual prevalence. Consequently, such lineages may lose subtle but informative early dynamics, limiting the model’s ability to fully characterize weakly competitive or self-limiting variants. Second, while pooling data from 15 countries enhanced statistical power and allowed for a robust cross-national framework, it may also have introduced sampling bias toward countries with dense, continuous sequencing efforts (e.g., the United States, Denmark, and the United Kingdom), potentially underrepresenting signals from regions with sparser genomic surveillance. </w:t>
      </w:r>
      <w:r w:rsidRPr="00A3614E">
        <w:rPr>
          <w:rFonts w:eastAsiaTheme="minorEastAsia"/>
          <w:color w:val="000000" w:themeColor="text1"/>
          <w:sz w:val="22"/>
          <w:szCs w:val="22"/>
          <w:lang w:eastAsia="ko-KR"/>
        </w:rPr>
        <w:t xml:space="preserve">Third, </w:t>
      </w:r>
      <w:r w:rsidRPr="00A3614E">
        <w:rPr>
          <w:color w:val="000000" w:themeColor="text1"/>
          <w:sz w:val="22"/>
          <w:szCs w:val="22"/>
        </w:rPr>
        <w:t xml:space="preserve">cross-country heterogeneity in model performance likely reflects structural differences in </w:t>
      </w:r>
      <w:r w:rsidRPr="00A3614E">
        <w:rPr>
          <w:rFonts w:eastAsiaTheme="minorEastAsia"/>
          <w:color w:val="000000" w:themeColor="text1"/>
          <w:sz w:val="22"/>
          <w:szCs w:val="22"/>
          <w:lang w:eastAsia="ko-KR"/>
        </w:rPr>
        <w:t>sequencing intensity, coverage, data continuity, reporting lags</w:t>
      </w:r>
      <w:r w:rsidRPr="00A3614E">
        <w:rPr>
          <w:color w:val="000000" w:themeColor="text1"/>
          <w:sz w:val="22"/>
          <w:szCs w:val="22"/>
        </w:rPr>
        <w:t>, as well as variation in public health interventions and epidemic baselines</w:t>
      </w:r>
      <w:r w:rsidRPr="00A3614E">
        <w:rPr>
          <w:rFonts w:eastAsiaTheme="minorEastAsia"/>
          <w:color w:val="000000" w:themeColor="text1"/>
          <w:sz w:val="22"/>
          <w:szCs w:val="22"/>
          <w:lang w:eastAsia="ko-KR"/>
        </w:rPr>
        <w:t xml:space="preserve">, which </w:t>
      </w:r>
      <w:r w:rsidRPr="00A3614E">
        <w:rPr>
          <w:color w:val="000000" w:themeColor="text1"/>
          <w:sz w:val="22"/>
          <w:szCs w:val="22"/>
        </w:rPr>
        <w:t>mediate how early growth signals translate into eventual dominance.</w:t>
      </w:r>
      <w:r w:rsidRPr="00A3614E">
        <w:rPr>
          <w:rFonts w:eastAsiaTheme="minorEastAsia"/>
          <w:color w:val="000000" w:themeColor="text1"/>
          <w:sz w:val="22"/>
          <w:szCs w:val="22"/>
          <w:lang w:eastAsia="ko-KR"/>
        </w:rPr>
        <w:t xml:space="preserve"> On average, variants required about four months (116 days) to reach their national peak after first surpassing the 1% threshold, with the longest interval observed in Italy (206 days) and the shortest in Denmark (72 days). In contrast, our model relies on only two to five weeks of early data to generate forecasts—capturing signals long before the peak occurs. This substantial gap highlights the model’s practical value as an early-warning tool, capable of anticipating dominant trajectories well ahead of observed epidemic surges.</w:t>
      </w:r>
      <w:r w:rsidRPr="00A3614E">
        <w:rPr>
          <w:rFonts w:eastAsiaTheme="minorEastAsia"/>
          <w:color w:val="000000" w:themeColor="text1"/>
          <w:sz w:val="22"/>
          <w:szCs w:val="22"/>
        </w:rPr>
        <w:t xml:space="preserve"> </w:t>
      </w:r>
      <w:r w:rsidRPr="00A3614E">
        <w:rPr>
          <w:color w:val="000000" w:themeColor="text1"/>
          <w:sz w:val="22"/>
          <w:szCs w:val="22"/>
        </w:rPr>
        <w:t xml:space="preserve">Future studies could incorporate </w:t>
      </w:r>
      <w:r w:rsidRPr="00A3614E">
        <w:rPr>
          <w:rStyle w:val="Strong"/>
          <w:rFonts w:eastAsiaTheme="majorEastAsia"/>
          <w:b w:val="0"/>
          <w:bCs w:val="0"/>
          <w:color w:val="000000" w:themeColor="text1"/>
          <w:sz w:val="22"/>
          <w:szCs w:val="22"/>
        </w:rPr>
        <w:t>hierarchical or region-weighted model extensions</w:t>
      </w:r>
      <w:r w:rsidRPr="00A3614E">
        <w:rPr>
          <w:b/>
          <w:bCs/>
          <w:color w:val="000000" w:themeColor="text1"/>
          <w:sz w:val="22"/>
          <w:szCs w:val="22"/>
        </w:rPr>
        <w:t xml:space="preserve"> </w:t>
      </w:r>
      <w:r w:rsidRPr="00A3614E">
        <w:rPr>
          <w:color w:val="000000" w:themeColor="text1"/>
          <w:sz w:val="22"/>
          <w:szCs w:val="22"/>
        </w:rPr>
        <w:t xml:space="preserve">that account for </w:t>
      </w:r>
      <w:r w:rsidRPr="00A3614E">
        <w:rPr>
          <w:rFonts w:eastAsiaTheme="minorEastAsia"/>
          <w:color w:val="000000" w:themeColor="text1"/>
          <w:sz w:val="22"/>
          <w:szCs w:val="22"/>
          <w:lang w:eastAsia="ko-KR"/>
        </w:rPr>
        <w:t>sampling bias (</w:t>
      </w:r>
      <w:r w:rsidRPr="00A3614E">
        <w:rPr>
          <w:rStyle w:val="Strong"/>
          <w:rFonts w:eastAsiaTheme="majorEastAsia"/>
          <w:b w:val="0"/>
          <w:bCs w:val="0"/>
          <w:color w:val="000000" w:themeColor="text1"/>
          <w:sz w:val="22"/>
          <w:szCs w:val="22"/>
        </w:rPr>
        <w:t>country-specific detection delays</w:t>
      </w:r>
      <w:r w:rsidRPr="00A3614E">
        <w:rPr>
          <w:rStyle w:val="Strong"/>
          <w:rFonts w:eastAsiaTheme="majorEastAsia"/>
          <w:b w:val="0"/>
          <w:bCs w:val="0"/>
          <w:color w:val="000000" w:themeColor="text1"/>
          <w:sz w:val="22"/>
          <w:szCs w:val="22"/>
          <w:lang w:eastAsia="ko-KR"/>
        </w:rPr>
        <w:t xml:space="preserve">, </w:t>
      </w:r>
      <w:r w:rsidRPr="00A3614E">
        <w:rPr>
          <w:rStyle w:val="Strong"/>
          <w:rFonts w:eastAsiaTheme="majorEastAsia"/>
          <w:b w:val="0"/>
          <w:bCs w:val="0"/>
          <w:color w:val="000000" w:themeColor="text1"/>
          <w:sz w:val="22"/>
          <w:szCs w:val="22"/>
        </w:rPr>
        <w:t>surveillance cadence</w:t>
      </w:r>
      <w:r w:rsidRPr="00A3614E">
        <w:rPr>
          <w:rStyle w:val="Strong"/>
          <w:rFonts w:eastAsiaTheme="majorEastAsia"/>
          <w:b w:val="0"/>
          <w:bCs w:val="0"/>
          <w:color w:val="000000" w:themeColor="text1"/>
          <w:sz w:val="22"/>
          <w:szCs w:val="22"/>
          <w:lang w:eastAsia="ko-KR"/>
        </w:rPr>
        <w:t>)</w:t>
      </w:r>
      <w:r w:rsidRPr="00A3614E">
        <w:rPr>
          <w:b/>
          <w:bCs/>
          <w:color w:val="000000" w:themeColor="text1"/>
          <w:sz w:val="22"/>
          <w:szCs w:val="22"/>
        </w:rPr>
        <w:t xml:space="preserve"> </w:t>
      </w:r>
      <w:r w:rsidRPr="00A3614E">
        <w:rPr>
          <w:rFonts w:eastAsiaTheme="minorEastAsia"/>
          <w:color w:val="000000" w:themeColor="text1"/>
          <w:sz w:val="22"/>
          <w:szCs w:val="22"/>
          <w:lang w:eastAsia="ko-KR"/>
        </w:rPr>
        <w:t>and</w:t>
      </w:r>
      <w:r w:rsidRPr="00A3614E">
        <w:rPr>
          <w:rFonts w:eastAsiaTheme="minorEastAsia"/>
          <w:b/>
          <w:bCs/>
          <w:color w:val="000000" w:themeColor="text1"/>
          <w:sz w:val="22"/>
          <w:szCs w:val="22"/>
          <w:lang w:eastAsia="ko-KR"/>
        </w:rPr>
        <w:t xml:space="preserve"> </w:t>
      </w:r>
      <w:r w:rsidRPr="00A3614E">
        <w:rPr>
          <w:rStyle w:val="Strong"/>
          <w:rFonts w:eastAsiaTheme="majorEastAsia"/>
          <w:b w:val="0"/>
          <w:bCs w:val="0"/>
          <w:color w:val="000000" w:themeColor="text1"/>
          <w:sz w:val="22"/>
          <w:szCs w:val="22"/>
        </w:rPr>
        <w:t>evolving immunity landscapes</w:t>
      </w:r>
      <w:r w:rsidRPr="00A3614E">
        <w:rPr>
          <w:rStyle w:val="Strong"/>
          <w:rFonts w:eastAsiaTheme="majorEastAsia"/>
          <w:color w:val="000000" w:themeColor="text1"/>
          <w:sz w:val="22"/>
          <w:szCs w:val="22"/>
        </w:rPr>
        <w:t xml:space="preserve"> </w:t>
      </w:r>
      <w:r w:rsidRPr="00A3614E">
        <w:rPr>
          <w:rStyle w:val="Strong"/>
          <w:rFonts w:eastAsiaTheme="majorEastAsia"/>
          <w:b w:val="0"/>
          <w:bCs w:val="0"/>
          <w:color w:val="000000" w:themeColor="text1"/>
          <w:sz w:val="22"/>
          <w:szCs w:val="22"/>
        </w:rPr>
        <w:fldChar w:fldCharType="begin"/>
      </w:r>
      <w:r w:rsidR="002361C0">
        <w:rPr>
          <w:rStyle w:val="Strong"/>
          <w:rFonts w:eastAsiaTheme="majorEastAsia"/>
          <w:color w:val="000000" w:themeColor="text1"/>
          <w:sz w:val="22"/>
          <w:szCs w:val="22"/>
        </w:rPr>
        <w:instrText xml:space="preserve"> ADDIN ZOTERO_ITEM CSL_CITATION {"citationID":"4zLRv2f4","properties":{"formattedCitation":"(13)","plainCitation":"(13)","noteIndex":0},"citationItems":[{"id":717,"uris":["http://zotero.org/users/14790911/items/ZZAARTDF"],"itemData":{"id":717,"type":"article","abstract":"Accurate, reliable, and timely estimates of pathogen variant risk are essential for informing public health responses. Unprecedented rates of genomic sequencing have generated new insights into variant dynamics. However, estimating the fitness advantage of a novel variant shortly after emergence, or its dynamics more generally in data-sparse settings, remains difficult. This challenge is exacerbated in countries where surveillance is limited or intermittent. To stabilize inference in these data-sparse settings, we develop a hierarchical modeling approach to estimate variant fitness advantage and prevalence by pooling data across geographic regions. We demonstrate our method by reconstructing SARS-CoV-2 BA.5 variant emergence, and assess performance using retrospective, out-of-sample validation. We show that stable and robust estimates can be obtained even when sequencing data are sparse. Finally, we discuss how this method can inform risk assessment of novel variants and provide situational awareness on circulating variants for a range of pathogens and use-cases.","DOI":"10.1101/2023.01.02.23284123","language":"en","license":"© 2023, Posted by Cold Spring Harbor Laboratory. This pre-print is available under a Creative Commons License (Attribution 4.0 International), CC BY 4.0, as described at http://creativecommons.org/licenses/by/4.0/","note":"page: 2023.01.02.23284123","publisher":"medRxiv","source":"medRxiv","title":"Leveraging global genomic sequencing data to estimate local variant dynamics","URL":"https://www.medrxiv.org/content/10.1101/2023.01.02.23284123v4","author":[{"family":"Susswein","given":"Zachary"},{"family":"Johnson","given":"Kaitlyn E."},{"family":"Kassa","given":"Robel"},{"family":"Parastaran","given":"Mina"},{"family":"Peng","given":"Vivian"},{"family":"Wolansky","given":"Leo"},{"family":"Scarpino","given":"Samuel V."},{"family":"Bento","given":"Ana I."}],"accessed":{"date-parts":[["2025",10,20]]},"issued":{"date-parts":[["2023",3,20]]}}}],"schema":"https://github.com/citation-style-language/schema/raw/master/csl-citation.json"} </w:instrText>
      </w:r>
      <w:r w:rsidRPr="00A3614E">
        <w:rPr>
          <w:rStyle w:val="Strong"/>
          <w:rFonts w:eastAsiaTheme="majorEastAsia"/>
          <w:b w:val="0"/>
          <w:bCs w:val="0"/>
          <w:color w:val="000000" w:themeColor="text1"/>
          <w:sz w:val="22"/>
          <w:szCs w:val="22"/>
        </w:rPr>
        <w:fldChar w:fldCharType="separate"/>
      </w:r>
      <w:r w:rsidR="002361C0">
        <w:rPr>
          <w:rFonts w:eastAsiaTheme="minorEastAsia"/>
          <w:color w:val="000000" w:themeColor="text1"/>
          <w:sz w:val="22"/>
          <w:szCs w:val="22"/>
          <w:lang w:eastAsia="ko-KR"/>
          <w14:ligatures w14:val="standardContextual"/>
        </w:rPr>
        <w:t>(13)</w:t>
      </w:r>
      <w:r w:rsidRPr="00A3614E">
        <w:rPr>
          <w:rStyle w:val="Strong"/>
          <w:rFonts w:eastAsiaTheme="majorEastAsia"/>
          <w:b w:val="0"/>
          <w:bCs w:val="0"/>
          <w:color w:val="000000" w:themeColor="text1"/>
          <w:sz w:val="22"/>
          <w:szCs w:val="22"/>
        </w:rPr>
        <w:fldChar w:fldCharType="end"/>
      </w:r>
      <w:r w:rsidRPr="00A3614E">
        <w:rPr>
          <w:rFonts w:eastAsiaTheme="minorEastAsia"/>
          <w:b/>
          <w:bCs/>
          <w:color w:val="000000" w:themeColor="text1"/>
          <w:sz w:val="22"/>
          <w:szCs w:val="22"/>
          <w:lang w:eastAsia="ko-KR"/>
        </w:rPr>
        <w:t>,</w:t>
      </w:r>
      <w:r w:rsidRPr="00A3614E">
        <w:rPr>
          <w:rFonts w:eastAsiaTheme="minorEastAsia"/>
          <w:color w:val="000000" w:themeColor="text1"/>
          <w:sz w:val="22"/>
          <w:szCs w:val="22"/>
          <w:lang w:eastAsia="ko-KR"/>
        </w:rPr>
        <w:t xml:space="preserve"> </w:t>
      </w:r>
      <w:r w:rsidRPr="00A3614E">
        <w:rPr>
          <w:color w:val="000000" w:themeColor="text1"/>
          <w:sz w:val="22"/>
          <w:szCs w:val="22"/>
        </w:rPr>
        <w:t xml:space="preserve">which drive much of the cross-country heterogeneity in forecasting performance. Such enhancements would further improve </w:t>
      </w:r>
      <w:r w:rsidRPr="00A3614E">
        <w:rPr>
          <w:rStyle w:val="Strong"/>
          <w:rFonts w:eastAsiaTheme="majorEastAsia"/>
          <w:b w:val="0"/>
          <w:bCs w:val="0"/>
          <w:color w:val="000000" w:themeColor="text1"/>
          <w:sz w:val="22"/>
          <w:szCs w:val="22"/>
        </w:rPr>
        <w:t>model generalizability and robustness to uneven data quality</w:t>
      </w:r>
      <w:r w:rsidRPr="00A3614E">
        <w:rPr>
          <w:b/>
          <w:bCs/>
          <w:color w:val="000000" w:themeColor="text1"/>
          <w:sz w:val="22"/>
          <w:szCs w:val="22"/>
        </w:rPr>
        <w:t>,</w:t>
      </w:r>
      <w:r w:rsidRPr="00A3614E">
        <w:rPr>
          <w:color w:val="000000" w:themeColor="text1"/>
          <w:sz w:val="22"/>
          <w:szCs w:val="22"/>
        </w:rPr>
        <w:t xml:space="preserve"> supporting the development of </w:t>
      </w:r>
      <w:r w:rsidRPr="00A3614E">
        <w:rPr>
          <w:rStyle w:val="Strong"/>
          <w:rFonts w:eastAsiaTheme="majorEastAsia"/>
          <w:b w:val="0"/>
          <w:bCs w:val="0"/>
          <w:color w:val="000000" w:themeColor="text1"/>
          <w:sz w:val="22"/>
          <w:szCs w:val="22"/>
        </w:rPr>
        <w:t>lightweight, scalable early-warning systems</w:t>
      </w:r>
      <w:r w:rsidRPr="00A3614E">
        <w:rPr>
          <w:color w:val="000000" w:themeColor="text1"/>
          <w:sz w:val="22"/>
          <w:szCs w:val="22"/>
        </w:rPr>
        <w:t xml:space="preserve"> for global genomic surveillance.</w:t>
      </w:r>
      <w:r w:rsidRPr="00A3614E">
        <w:rPr>
          <w:rFonts w:eastAsiaTheme="minorEastAsia"/>
          <w:color w:val="000000" w:themeColor="text1"/>
          <w:sz w:val="22"/>
          <w:szCs w:val="22"/>
          <w:lang w:eastAsia="ko-KR"/>
        </w:rPr>
        <w:t xml:space="preserve"> P</w:t>
      </w:r>
      <w:r w:rsidRPr="00A3614E">
        <w:rPr>
          <w:color w:val="000000" w:themeColor="text1"/>
          <w:sz w:val="22"/>
          <w:szCs w:val="22"/>
        </w:rPr>
        <w:t xml:space="preserve">andemic preparedness will require </w:t>
      </w:r>
      <w:r w:rsidRPr="00A3614E">
        <w:rPr>
          <w:rStyle w:val="Strong"/>
          <w:rFonts w:eastAsiaTheme="majorEastAsia"/>
          <w:b w:val="0"/>
          <w:bCs w:val="0"/>
          <w:color w:val="000000" w:themeColor="text1"/>
          <w:sz w:val="22"/>
          <w:szCs w:val="22"/>
        </w:rPr>
        <w:t>multi-strategic AI frameworks</w:t>
      </w:r>
      <w:r w:rsidRPr="00A3614E">
        <w:rPr>
          <w:color w:val="000000" w:themeColor="text1"/>
          <w:sz w:val="22"/>
          <w:szCs w:val="22"/>
        </w:rPr>
        <w:t xml:space="preserve"> </w:t>
      </w:r>
      <w:r w:rsidRPr="00A3614E">
        <w:rPr>
          <w:color w:val="000000" w:themeColor="text1"/>
          <w:sz w:val="22"/>
          <w:szCs w:val="22"/>
        </w:rPr>
        <w:lastRenderedPageBreak/>
        <w:t>combining genomic, immunological, and host data to anticipate immune escape, guide vaccine updates, and strengthen early-warning systems—while ensuring ethical governance to mitigate dual-use biosecurity risks</w:t>
      </w:r>
      <w:r w:rsidR="003B76D3">
        <w:rPr>
          <w:color w:val="000000" w:themeColor="text1"/>
          <w:sz w:val="22"/>
          <w:szCs w:val="22"/>
        </w:rPr>
        <w:t xml:space="preserve"> </w:t>
      </w:r>
      <w:r w:rsidR="008E0142">
        <w:rPr>
          <w:color w:val="000000" w:themeColor="text1"/>
          <w:sz w:val="22"/>
          <w:szCs w:val="22"/>
        </w:rPr>
        <w:fldChar w:fldCharType="begin"/>
      </w:r>
      <w:r w:rsidR="008E0142">
        <w:rPr>
          <w:color w:val="000000" w:themeColor="text1"/>
          <w:sz w:val="22"/>
          <w:szCs w:val="22"/>
        </w:rPr>
        <w:instrText xml:space="preserve"> ADDIN ZOTERO_ITEM CSL_CITATION {"citationID":"54ma82oG","properties":{"unsorted":false,"formattedCitation":"(5)","plainCitation":"(5)","noteIndex":0},"citationItems":[{"id":651,"uris":["http://zotero.org/users/14790911/items/GMTTX4TA"],"itemData":{"id":651,"type":"article-journal","abstract":"The integration of viral genomic data into public health surveillance has revolutionized our ability to track and forecast infectious disease dynamics. This review addresses two critical aspects of infectious disease forecasting and monitoring: the methodological workflow for epidemic forecasting and the transformative role of molecular surveillance. We first present a detailed approach for validating epidemic models, emphasizing an iterative workflow that utilizes ordinary differential equation (ODE)-based models to investigate and forecast disease dynamics. We recommend a more structured approach to model validation, systematically addressing key stages such as model calibration, assessment of structural and practical parameter identifiability, and effective uncertainty propagation in forecasts. Furthermore, we underscore the importance of incorporating multiple data streams by applying both simulated and real epidemiological data from the COVID-19 pandemic to produce more reliable forecasts with quantified uncertainty. Additionally, we emphasize the pivotal role of viral genomic data in tracking transmission dynamics and pathogen evolution. By leveraging advanced computational tools such as Bayesian phylogenetics and phylodynamics, researchers can more accurately estimate transmission clusters and reconstruct outbreak histories, thereby improving data-driven modeling and forecasting and informing targeted public health interventions. Finally, we discuss the transformative potential of integrating molecular epidemiology with mathematical modeling to complement and enhance epidemic forecasting and optimize public health strategies.","container-title":"Physics of Life Reviews","DOI":"10.1016/j.plrev.2024.10.011","ISSN":"1571-0645","journalAbbreviation":"Physics of Life Reviews","page":"294-327","source":"ScienceDirect","title":"Investigating and forecasting infectious disease dynamics using epidemiological and molecular surveillance data","volume":"51","author":[{"family":"Chowell","given":"Gerardo"},{"family":"Skums","given":"Pavel"}],"issued":{"date-parts":[["2024",12,1]]}}}],"schema":"https://github.com/citation-style-language/schema/raw/master/csl-citation.json"} </w:instrText>
      </w:r>
      <w:r w:rsidR="008E0142">
        <w:rPr>
          <w:color w:val="000000" w:themeColor="text1"/>
          <w:sz w:val="22"/>
          <w:szCs w:val="22"/>
        </w:rPr>
        <w:fldChar w:fldCharType="separate"/>
      </w:r>
      <w:r w:rsidR="008E0142">
        <w:rPr>
          <w:noProof/>
          <w:color w:val="000000" w:themeColor="text1"/>
          <w:sz w:val="22"/>
          <w:szCs w:val="22"/>
        </w:rPr>
        <w:t>(5)</w:t>
      </w:r>
      <w:r w:rsidR="008E0142">
        <w:rPr>
          <w:color w:val="000000" w:themeColor="text1"/>
          <w:sz w:val="22"/>
          <w:szCs w:val="22"/>
        </w:rPr>
        <w:fldChar w:fldCharType="end"/>
      </w:r>
      <w:r w:rsidRPr="00A3614E">
        <w:rPr>
          <w:color w:val="000000" w:themeColor="text1"/>
          <w:sz w:val="22"/>
          <w:szCs w:val="22"/>
        </w:rPr>
        <w:t>.</w:t>
      </w:r>
    </w:p>
    <w:p w14:paraId="2A0DFC54" w14:textId="77777777" w:rsidR="00010D51" w:rsidRPr="00A3614E" w:rsidRDefault="00010D51" w:rsidP="00010D51">
      <w:pPr>
        <w:pStyle w:val="BodyText"/>
        <w:spacing w:line="276" w:lineRule="auto"/>
        <w:ind w:left="0"/>
        <w:contextualSpacing/>
        <w:jc w:val="both"/>
        <w:rPr>
          <w:rFonts w:eastAsiaTheme="minorEastAsia"/>
          <w:b/>
          <w:bCs/>
          <w:color w:val="000000" w:themeColor="text1"/>
          <w:sz w:val="22"/>
          <w:szCs w:val="22"/>
          <w:lang w:eastAsia="zh-CN"/>
        </w:rPr>
      </w:pPr>
    </w:p>
    <w:p w14:paraId="7595DBE8" w14:textId="77777777"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color w:val="000000" w:themeColor="text1"/>
          <w:sz w:val="22"/>
          <w:szCs w:val="22"/>
          <w:lang w:eastAsia="ko-KR"/>
        </w:rPr>
        <w:t>This study introduces a scalable, sequence-only forecasting framework that predicts SARS-CoV-2 variant dominance using just 2–4 weeks of early genomic growth data after a lineage first exceeds 1% prevalence. By integrating handcrafted growth indicators with a standardized set of Rcatch22 time-series descriptors, the approach captures both the magnitude and structural coherence of early expansion. Across 15 countries, the Super Learner ensemble, which combines GLM, Elastic Net, and CART, consistently outperformed individual models, achieving up to 0.85 accuracy for peak-share classification and 0.77 accuracy for dominance-duration prediction. These results demonstrate that reliable forecasts of both peak intensity and persistence can be obtained months before variants reach their national peak, highlighting the utility of early genomic trajectories for real-time epidemic intelligence. Beyond predictive performance, this work establishes a unified framework for genomic surveillance, including minimum sampling thresholds (≥100 sequences within 30 days), a 1% detection benchmark for defining emergence, standardized variant-grouping procedures, and noise-filtering rules that ensure comparability across heterogeneous sequencing environments. SHAP analyses further reveal that variants achieving high peaks are characterized by strong but structurally coherent early growth, whereas longer dominance durations are associated with sustained moderate fluctuations rather than sharp early surges. Together, these methodological and interpretive advances provide a lightweight, reproducible, and globally scalable foundation for early-warning systems capable of anticipating emerging variant trajectories and supporting proactive public health decision-making across diverse resource settings.</w:t>
      </w:r>
    </w:p>
    <w:p w14:paraId="7550C69C" w14:textId="77777777" w:rsidR="00E6133D" w:rsidRPr="00A3614E" w:rsidRDefault="00E6133D" w:rsidP="00010D51">
      <w:pPr>
        <w:pBdr>
          <w:top w:val="nil"/>
          <w:left w:val="nil"/>
          <w:bottom w:val="nil"/>
          <w:right w:val="nil"/>
          <w:between w:val="nil"/>
        </w:pBdr>
        <w:spacing w:after="0"/>
        <w:contextualSpacing/>
        <w:rPr>
          <w:rFonts w:ascii="Times New Roman" w:hAnsi="Times New Roman" w:cs="Times New Roman"/>
          <w:b/>
          <w:color w:val="000000"/>
          <w:sz w:val="20"/>
          <w:szCs w:val="20"/>
        </w:rPr>
      </w:pPr>
    </w:p>
    <w:p w14:paraId="36E04416" w14:textId="77777777" w:rsidR="00980C22" w:rsidRPr="00A3614E" w:rsidRDefault="00980C22" w:rsidP="00010D51">
      <w:pPr>
        <w:pBdr>
          <w:top w:val="nil"/>
          <w:left w:val="nil"/>
          <w:bottom w:val="nil"/>
          <w:right w:val="nil"/>
          <w:between w:val="nil"/>
        </w:pBdr>
        <w:spacing w:after="0"/>
        <w:contextualSpacing/>
        <w:rPr>
          <w:rFonts w:ascii="Times New Roman" w:hAnsi="Times New Roman" w:cs="Times New Roman"/>
          <w:b/>
          <w:color w:val="000000"/>
          <w:sz w:val="20"/>
          <w:szCs w:val="20"/>
        </w:rPr>
      </w:pPr>
    </w:p>
    <w:p w14:paraId="37B52A5D" w14:textId="1C31BA26" w:rsidR="00E6133D" w:rsidRPr="00A3614E" w:rsidRDefault="00E6133D" w:rsidP="00010D51">
      <w:pPr>
        <w:pBdr>
          <w:top w:val="nil"/>
          <w:left w:val="nil"/>
          <w:bottom w:val="nil"/>
          <w:right w:val="nil"/>
          <w:between w:val="nil"/>
        </w:pBdr>
        <w:spacing w:after="0"/>
        <w:contextualSpacing/>
        <w:rPr>
          <w:rFonts w:ascii="Times New Roman" w:hAnsi="Times New Roman" w:cs="Times New Roman"/>
          <w:color w:val="000000"/>
        </w:rPr>
      </w:pPr>
      <w:r w:rsidRPr="00A3614E">
        <w:rPr>
          <w:rFonts w:ascii="Times New Roman" w:hAnsi="Times New Roman" w:cs="Times New Roman"/>
          <w:b/>
          <w:color w:val="000000"/>
        </w:rPr>
        <w:t>Materials and Methods</w:t>
      </w:r>
    </w:p>
    <w:p w14:paraId="3C2712AB" w14:textId="77777777" w:rsidR="00E6133D" w:rsidRPr="00A3614E" w:rsidRDefault="00E6133D" w:rsidP="00010D51">
      <w:pPr>
        <w:pBdr>
          <w:top w:val="nil"/>
          <w:left w:val="nil"/>
          <w:bottom w:val="nil"/>
          <w:right w:val="nil"/>
          <w:between w:val="nil"/>
        </w:pBdr>
        <w:spacing w:after="0"/>
        <w:contextualSpacing/>
        <w:rPr>
          <w:rFonts w:ascii="Times New Roman" w:hAnsi="Times New Roman" w:cs="Times New Roman"/>
          <w:b/>
          <w:color w:val="000000"/>
        </w:rPr>
      </w:pPr>
    </w:p>
    <w:p w14:paraId="05BA843C" w14:textId="598A0087" w:rsidR="00141AC3" w:rsidRPr="003126AD" w:rsidRDefault="00010D51" w:rsidP="000761EF">
      <w:pPr>
        <w:spacing w:after="0" w:line="276" w:lineRule="auto"/>
        <w:jc w:val="both"/>
        <w:rPr>
          <w:rFonts w:ascii="Times New Roman" w:eastAsia="Times New Roman" w:hAnsi="Times New Roman" w:cs="Times New Roman"/>
          <w:color w:val="0E0E0E"/>
          <w:sz w:val="21"/>
          <w:szCs w:val="21"/>
          <w:lang w:eastAsia="zh-CN"/>
        </w:rPr>
      </w:pPr>
      <w:r w:rsidRPr="003126AD">
        <w:rPr>
          <w:rFonts w:ascii="Times New Roman" w:hAnsi="Times New Roman" w:cs="Times New Roman"/>
          <w:b/>
          <w:bCs/>
          <w:color w:val="000000" w:themeColor="text1"/>
          <w:lang w:eastAsia="ko-KR"/>
        </w:rPr>
        <w:t xml:space="preserve">Data source. </w:t>
      </w:r>
      <w:r w:rsidRPr="003126AD">
        <w:rPr>
          <w:rFonts w:ascii="Times New Roman" w:hAnsi="Times New Roman" w:cs="Times New Roman"/>
          <w:color w:val="000000" w:themeColor="text1"/>
          <w:lang w:eastAsia="zh-CN"/>
        </w:rPr>
        <w:t xml:space="preserve">Genomic data for this study were obtained from </w:t>
      </w:r>
      <w:bookmarkStart w:id="3" w:name="_Hlk211879956"/>
      <w:r w:rsidRPr="003126AD">
        <w:rPr>
          <w:rFonts w:ascii="Times New Roman" w:hAnsi="Times New Roman" w:cs="Times New Roman"/>
          <w:color w:val="000000" w:themeColor="text1"/>
          <w:lang w:eastAsia="zh-CN"/>
        </w:rPr>
        <w:t xml:space="preserve">GISAID </w:t>
      </w:r>
      <w:bookmarkEnd w:id="3"/>
      <w:r w:rsidRPr="003126AD">
        <w:rPr>
          <w:rFonts w:ascii="Times New Roman" w:hAnsi="Times New Roman" w:cs="Times New Roman"/>
          <w:color w:val="000000" w:themeColor="text1"/>
          <w:lang w:eastAsia="zh-CN"/>
        </w:rPr>
        <w:t xml:space="preserve">(https://www.gisaid.org/) </w:t>
      </w:r>
      <w:r w:rsidRPr="003126AD">
        <w:rPr>
          <w:rFonts w:ascii="Times New Roman" w:hAnsi="Times New Roman" w:cs="Times New Roman"/>
          <w:color w:val="000000" w:themeColor="text1"/>
          <w:lang w:eastAsia="zh-CN"/>
        </w:rPr>
        <w:fldChar w:fldCharType="begin"/>
      </w:r>
      <w:r w:rsidR="008E0142">
        <w:rPr>
          <w:rFonts w:ascii="Times New Roman" w:hAnsi="Times New Roman" w:cs="Times New Roman"/>
          <w:color w:val="000000" w:themeColor="text1"/>
          <w:lang w:eastAsia="zh-CN"/>
        </w:rPr>
        <w:instrText xml:space="preserve"> ADDIN ZOTERO_ITEM CSL_CITATION {"citationID":"iLlcuKlh","properties":{"formattedCitation":"(14)","plainCitation":"(14)","noteIndex":0},"citationItems":[{"id":654,"uris":["http://zotero.org/users/14790911/items/DWGZ8FXE"],"itemData":{"id":654,"type":"dataset","DOI":"10.55876/gis8.220330me","language":"en","source":"DOI.org (Crossref)","title":"GISAID","URL":"https://epicov.org/epi3/epi_set/EPI_SET_20220330me","author":[{"literal":"GISAID"}],"accessed":{"date-parts":[["2025",10,20]]}}}],"schema":"https://github.com/citation-style-language/schema/raw/master/csl-citation.json"} </w:instrText>
      </w:r>
      <w:r w:rsidRPr="003126AD">
        <w:rPr>
          <w:rFonts w:ascii="Times New Roman" w:hAnsi="Times New Roman" w:cs="Times New Roman"/>
          <w:color w:val="000000" w:themeColor="text1"/>
          <w:lang w:eastAsia="zh-CN"/>
        </w:rPr>
        <w:fldChar w:fldCharType="separate"/>
      </w:r>
      <w:r w:rsidR="008E0142">
        <w:rPr>
          <w:rFonts w:ascii="Times New Roman" w:hAnsi="Times New Roman" w:cs="Times New Roman"/>
          <w:color w:val="000000" w:themeColor="text1"/>
          <w:lang w:eastAsia="ko-KR"/>
          <w14:ligatures w14:val="standardContextual"/>
        </w:rPr>
        <w:t>(14)</w:t>
      </w:r>
      <w:r w:rsidRPr="003126AD">
        <w:rPr>
          <w:rFonts w:ascii="Times New Roman" w:hAnsi="Times New Roman" w:cs="Times New Roman"/>
          <w:color w:val="000000" w:themeColor="text1"/>
          <w:lang w:eastAsia="zh-CN"/>
        </w:rPr>
        <w:fldChar w:fldCharType="end"/>
      </w:r>
      <w:r w:rsidRPr="003126AD">
        <w:rPr>
          <w:rFonts w:ascii="Times New Roman" w:hAnsi="Times New Roman" w:cs="Times New Roman"/>
          <w:color w:val="000000" w:themeColor="text1"/>
          <w:lang w:eastAsia="zh-CN"/>
        </w:rPr>
        <w:t xml:space="preserve">. Established in 2017 as the Global Initiative on Sharing All Influenza Data and later expanded with its </w:t>
      </w:r>
      <w:proofErr w:type="spellStart"/>
      <w:r w:rsidRPr="003126AD">
        <w:rPr>
          <w:rFonts w:ascii="Times New Roman" w:hAnsi="Times New Roman" w:cs="Times New Roman"/>
          <w:color w:val="000000" w:themeColor="text1"/>
          <w:lang w:eastAsia="zh-CN"/>
        </w:rPr>
        <w:t>EpiCoV</w:t>
      </w:r>
      <w:proofErr w:type="spellEnd"/>
      <w:r w:rsidRPr="003126AD">
        <w:rPr>
          <w:rFonts w:ascii="Times New Roman" w:hAnsi="Times New Roman" w:cs="Times New Roman"/>
          <w:color w:val="000000" w:themeColor="text1"/>
          <w:lang w:eastAsia="zh-CN"/>
        </w:rPr>
        <w:t xml:space="preserve"> repository to include SARS-CoV-2 sequences, GISAID now provides access to millions of viral genomes complete with collection dates, geographic origins and sequencing-platform metadata—</w:t>
      </w:r>
      <w:r w:rsidRPr="003126AD">
        <w:rPr>
          <w:rFonts w:ascii="Times New Roman" w:hAnsi="Times New Roman" w:cs="Times New Roman"/>
          <w:color w:val="000000" w:themeColor="text1"/>
          <w:shd w:val="clear" w:color="auto" w:fill="FFFFFF"/>
        </w:rPr>
        <w:t>enabling researchers worldwide to track the virus's evolution, transmission, and mutations. Since its launch in January 2020, GISAID has been regularly updated with submissions from various countries, showcasing collaborative efforts in combating the pandemic. Within this shared framework, viral evolution is tracked through the Pango lineage system, in which lineages are defined when clusters of sequences exhibit consistent genetic divergence and epidemiological relevance. Early variants were labeled with letters for major clades (A, B) and numbered sequentially for descendant lineages, providing a standardized and scalable naming structure.</w:t>
      </w:r>
      <w:r w:rsidRPr="003126AD">
        <w:rPr>
          <w:rFonts w:ascii="Times New Roman" w:hAnsi="Times New Roman" w:cs="Times New Roman"/>
          <w:color w:val="000000" w:themeColor="text1"/>
          <w:shd w:val="clear" w:color="auto" w:fill="FFFFFF"/>
          <w:lang w:eastAsia="zh-CN"/>
        </w:rPr>
        <w:t xml:space="preserve"> </w:t>
      </w:r>
      <w:r w:rsidRPr="003126AD">
        <w:rPr>
          <w:rFonts w:ascii="Times New Roman" w:hAnsi="Times New Roman" w:cs="Times New Roman"/>
          <w:color w:val="000000" w:themeColor="text1"/>
          <w:lang w:eastAsia="zh-CN"/>
        </w:rPr>
        <w:t xml:space="preserve">Following the WHO/CDC-endorsed Pango lineage nomenclature, the classified lineages collectively comprise 14.3 million publicly available SARS-CoV-2 sequences reported across 223 countries as of September 9, 2024. To ensure broad and representative genomic coverage, we restricted our analysis to the 15 countries with the largest cumulative numbers of reported sequences, yielding a final dataset of 8.2 million sequences spanning 3,680 lineages, collected between December 2019 and September 2024. Among these countries, the United States contributed the largest number of sequences (4.6 million), whereas Austria contributed the fewest (0.2 million). </w:t>
      </w:r>
      <w:r w:rsidR="0061707B" w:rsidRPr="003126AD">
        <w:rPr>
          <w:rFonts w:ascii="Times New Roman" w:hAnsi="Times New Roman" w:cs="Times New Roman"/>
          <w:color w:val="000000" w:themeColor="text1"/>
          <w:lang w:eastAsia="zh-CN"/>
        </w:rPr>
        <w:t>Table 2 summarizes key descriptive statistics for the United States, the United Kingdom, and South Korea, including annual sequencing totals and the five most prevalent variants with their corresponding yearly proportions. Corresponding descriptive statistics for all 15 study countries are provided in Table S</w:t>
      </w:r>
      <w:r w:rsidR="0091501C">
        <w:rPr>
          <w:rFonts w:ascii="Times New Roman" w:hAnsi="Times New Roman" w:cs="Times New Roman"/>
          <w:color w:val="000000" w:themeColor="text1"/>
          <w:lang w:eastAsia="zh-CN"/>
        </w:rPr>
        <w:t>3</w:t>
      </w:r>
      <w:r w:rsidR="0061707B" w:rsidRPr="003126AD">
        <w:rPr>
          <w:rFonts w:ascii="Times New Roman" w:hAnsi="Times New Roman" w:cs="Times New Roman"/>
          <w:color w:val="000000" w:themeColor="text1"/>
          <w:lang w:eastAsia="zh-CN"/>
        </w:rPr>
        <w:t>.</w:t>
      </w:r>
      <w:r w:rsidR="00141AC3" w:rsidRPr="003126AD">
        <w:rPr>
          <w:rFonts w:ascii="Times New Roman" w:hAnsi="Times New Roman" w:cs="Times New Roman"/>
          <w:color w:val="0E0E0E"/>
          <w:sz w:val="21"/>
          <w:szCs w:val="21"/>
        </w:rPr>
        <w:t xml:space="preserve"> </w:t>
      </w:r>
      <w:r w:rsidR="00141AC3" w:rsidRPr="003126AD">
        <w:rPr>
          <w:rFonts w:ascii="Times New Roman" w:eastAsia="Times New Roman" w:hAnsi="Times New Roman" w:cs="Times New Roman"/>
          <w:color w:val="0E0E0E"/>
          <w:sz w:val="21"/>
          <w:szCs w:val="21"/>
          <w:lang w:eastAsia="zh-CN"/>
        </w:rPr>
        <w:t xml:space="preserve">Table 2 summarizes key descriptive statistics for the United States, the United Kingdom, and South Korea, including annual sequencing totals and the five most prevalent variants with their corresponding yearly proportions. </w:t>
      </w:r>
    </w:p>
    <w:p w14:paraId="36689ADA" w14:textId="5F6FB156" w:rsidR="00010D51" w:rsidRPr="00A3614E" w:rsidRDefault="00010D51" w:rsidP="000761EF">
      <w:pPr>
        <w:pStyle w:val="BodyText"/>
        <w:kinsoku w:val="0"/>
        <w:overflowPunct w:val="0"/>
        <w:spacing w:line="276" w:lineRule="auto"/>
        <w:ind w:left="0"/>
        <w:contextualSpacing/>
        <w:jc w:val="both"/>
        <w:rPr>
          <w:rFonts w:eastAsiaTheme="minorEastAsia"/>
          <w:color w:val="000000" w:themeColor="text1"/>
          <w:sz w:val="22"/>
          <w:szCs w:val="22"/>
          <w:lang w:eastAsia="zh-CN"/>
        </w:rPr>
      </w:pPr>
    </w:p>
    <w:p w14:paraId="5C6348C7" w14:textId="51559CCB" w:rsidR="00010D51" w:rsidRPr="00A3614E" w:rsidRDefault="00010D51" w:rsidP="000761EF">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b/>
          <w:bCs/>
          <w:color w:val="000000" w:themeColor="text1"/>
          <w:spacing w:val="-10"/>
          <w:sz w:val="22"/>
          <w:szCs w:val="22"/>
          <w:lang w:eastAsia="ko-KR"/>
        </w:rPr>
        <w:t xml:space="preserve">Data processing. </w:t>
      </w:r>
      <w:r w:rsidRPr="00A3614E">
        <w:rPr>
          <w:rFonts w:eastAsiaTheme="minorEastAsia"/>
          <w:color w:val="000000" w:themeColor="text1"/>
          <w:sz w:val="22"/>
          <w:szCs w:val="22"/>
          <w:lang w:eastAsia="zh-CN"/>
        </w:rPr>
        <w:t xml:space="preserve">To ensure the reliability of national-level share estimates, we identified valid analytical periods for each country using sequencing coverage standards recommended by the World Health Organization </w:t>
      </w:r>
      <w:r w:rsidRPr="00A3614E">
        <w:rPr>
          <w:rFonts w:eastAsiaTheme="minorEastAsia"/>
          <w:color w:val="000000" w:themeColor="text1"/>
          <w:sz w:val="22"/>
          <w:szCs w:val="22"/>
          <w:lang w:eastAsia="zh-CN"/>
        </w:rPr>
        <w:fldChar w:fldCharType="begin"/>
      </w:r>
      <w:r w:rsidR="008E0142">
        <w:rPr>
          <w:rFonts w:eastAsiaTheme="minorEastAsia"/>
          <w:color w:val="000000" w:themeColor="text1"/>
          <w:sz w:val="22"/>
          <w:szCs w:val="22"/>
          <w:lang w:eastAsia="zh-CN"/>
        </w:rPr>
        <w:instrText xml:space="preserve"> ADDIN ZOTERO_ITEM CSL_CITATION {"citationID":"jXop7atp","properties":{"formattedCitation":"(15)","plainCitation":"(15)","noteIndex":0},"citationItems":[{"id":557,"uris":["http://zotero.org/users/14790911/items/UJVA5ASW"],"itemData":{"id":557,"type":"article-journal","abstract":"20 p.","language":"en","license":"CC BY-NC-SA 3.0 IGO","note":"Accepted: 2021-01-08T09:58:14Z\nnumber: WHO/2019-nCoV/genomic_sequencing/2021.1","publisher":"World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Health"}],"accessed":{"date-parts":[["2025",7,16]]},"issued":{"date-parts":[["2021"]]}}}],"schema":"https://github.com/citation-style-language/schema/raw/master/csl-citation.json"} </w:instrText>
      </w:r>
      <w:r w:rsidRPr="00A3614E">
        <w:rPr>
          <w:rFonts w:eastAsiaTheme="minorEastAsia"/>
          <w:color w:val="000000" w:themeColor="text1"/>
          <w:sz w:val="22"/>
          <w:szCs w:val="22"/>
          <w:lang w:eastAsia="zh-CN"/>
        </w:rPr>
        <w:fldChar w:fldCharType="separate"/>
      </w:r>
      <w:r w:rsidR="008E0142">
        <w:rPr>
          <w:rFonts w:eastAsiaTheme="minorEastAsia"/>
          <w:noProof/>
          <w:color w:val="000000" w:themeColor="text1"/>
          <w:sz w:val="22"/>
          <w:szCs w:val="22"/>
          <w:lang w:eastAsia="zh-CN"/>
        </w:rPr>
        <w:t>(15)</w:t>
      </w:r>
      <w:r w:rsidRPr="00A3614E">
        <w:rPr>
          <w:rFonts w:eastAsiaTheme="minorEastAsia"/>
          <w:color w:val="000000" w:themeColor="text1"/>
          <w:sz w:val="22"/>
          <w:szCs w:val="22"/>
          <w:lang w:eastAsia="zh-CN"/>
        </w:rPr>
        <w:fldChar w:fldCharType="end"/>
      </w:r>
      <w:r w:rsidRPr="00A3614E">
        <w:rPr>
          <w:rFonts w:eastAsiaTheme="minorEastAsia"/>
          <w:color w:val="000000" w:themeColor="text1"/>
          <w:sz w:val="22"/>
          <w:szCs w:val="22"/>
          <w:lang w:eastAsia="zh-CN"/>
        </w:rPr>
        <w:t xml:space="preserve">. A valid period was defined as a continuous stretch of at least three calendar weeks, each containing at least 100 sequences and at least four days with non-zero sampling. This criterion was designed to mitigate the substantial noise and bias introduced by sparse or irregular sampling, which has been shown to distort early growth estimates and peak prevalence inference, particularly in </w:t>
      </w:r>
      <w:r w:rsidRPr="00A3614E">
        <w:rPr>
          <w:rFonts w:eastAsiaTheme="minorEastAsia"/>
          <w:color w:val="000000" w:themeColor="text1"/>
          <w:sz w:val="22"/>
          <w:szCs w:val="22"/>
          <w:lang w:eastAsia="zh-CN"/>
        </w:rPr>
        <w:lastRenderedPageBreak/>
        <w:t>later pandemic phases characterized by slower, noisier, and more heterogeneous variant dynamics</w:t>
      </w:r>
      <w:r w:rsidR="00EB7B8C">
        <w:rPr>
          <w:rFonts w:eastAsiaTheme="minorEastAsia"/>
          <w:color w:val="000000" w:themeColor="text1"/>
          <w:sz w:val="22"/>
          <w:szCs w:val="22"/>
          <w:lang w:eastAsia="zh-CN"/>
        </w:rPr>
        <w:fldChar w:fldCharType="begin"/>
      </w:r>
      <w:r w:rsidR="00AA3F36">
        <w:rPr>
          <w:rFonts w:eastAsiaTheme="minorEastAsia"/>
          <w:color w:val="000000" w:themeColor="text1"/>
          <w:sz w:val="22"/>
          <w:szCs w:val="22"/>
          <w:lang w:eastAsia="zh-CN"/>
        </w:rPr>
        <w:instrText xml:space="preserve"> ADDIN ZOTERO_ITEM CSL_CITATION {"citationID":"TJIWGmy4","properties":{"unsorted":false,"formattedCitation":"(16,17)","plainCitation":"(16,17)","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resumes.","container-title":"Nature","DOI":"10.1038/s41586-021-03677-y","ISSN":"1476-4687","issue":"7869","journalAbbreviation":"Nature","language":"eng","page":"707-712","PMID":"34098568","source":"PubMed","title":"Spread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England)","DOI":"10.1093/bioinformatics/btab856","ISSN":"1367-4811","issue":"6","journalAbbreviation":"Bioinformatics","language":"eng","page":"1735-1737","PMID":"34954792","PMCID":"PMC8896605","source":"PubMed","title":"CoV-Spectrum: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00EB7B8C">
        <w:rPr>
          <w:rFonts w:eastAsiaTheme="minorEastAsia"/>
          <w:color w:val="000000" w:themeColor="text1"/>
          <w:sz w:val="22"/>
          <w:szCs w:val="22"/>
          <w:lang w:eastAsia="zh-CN"/>
        </w:rPr>
        <w:fldChar w:fldCharType="separate"/>
      </w:r>
      <w:r w:rsidR="00AA3F36">
        <w:rPr>
          <w:rFonts w:eastAsiaTheme="minorEastAsia"/>
          <w:noProof/>
          <w:color w:val="000000" w:themeColor="text1"/>
          <w:sz w:val="22"/>
          <w:szCs w:val="22"/>
          <w:lang w:eastAsia="zh-CN"/>
        </w:rPr>
        <w:t>(16,17)</w:t>
      </w:r>
      <w:r w:rsidR="00EB7B8C">
        <w:rPr>
          <w:rFonts w:eastAsiaTheme="minorEastAsia"/>
          <w:color w:val="000000" w:themeColor="text1"/>
          <w:sz w:val="22"/>
          <w:szCs w:val="22"/>
          <w:lang w:eastAsia="zh-CN"/>
        </w:rPr>
        <w:fldChar w:fldCharType="end"/>
      </w:r>
      <w:r w:rsidRPr="00A3614E">
        <w:rPr>
          <w:rFonts w:eastAsiaTheme="minorEastAsia"/>
          <w:color w:val="000000" w:themeColor="text1"/>
          <w:sz w:val="22"/>
          <w:szCs w:val="22"/>
          <w:lang w:eastAsia="zh-CN"/>
        </w:rPr>
        <w:t>.</w:t>
      </w:r>
      <w:r w:rsidRPr="00A3614E">
        <w:rPr>
          <w:rFonts w:eastAsiaTheme="minorEastAsia"/>
          <w:color w:val="000000" w:themeColor="text1"/>
          <w:sz w:val="22"/>
          <w:szCs w:val="22"/>
          <w:lang w:eastAsia="ko-KR"/>
        </w:rPr>
        <w:t xml:space="preserve"> </w:t>
      </w:r>
      <w:r w:rsidR="003126AD" w:rsidRPr="003126AD">
        <w:rPr>
          <w:rFonts w:eastAsiaTheme="minorEastAsia"/>
          <w:color w:val="000000" w:themeColor="text1"/>
          <w:sz w:val="22"/>
          <w:szCs w:val="22"/>
          <w:lang w:eastAsia="ko-KR"/>
        </w:rPr>
        <w:t>The resulting analytical periods for all countries are shown in Fi</w:t>
      </w:r>
      <w:r w:rsidR="003126AD">
        <w:rPr>
          <w:rFonts w:eastAsiaTheme="minorEastAsia"/>
          <w:color w:val="000000" w:themeColor="text1"/>
          <w:sz w:val="22"/>
          <w:szCs w:val="22"/>
          <w:lang w:eastAsia="ko-KR"/>
        </w:rPr>
        <w:t>gure</w:t>
      </w:r>
      <w:r w:rsidR="003126AD" w:rsidRPr="003126AD">
        <w:rPr>
          <w:rFonts w:eastAsiaTheme="minorEastAsia" w:hint="eastAsia"/>
          <w:color w:val="000000" w:themeColor="text1"/>
          <w:sz w:val="22"/>
          <w:szCs w:val="22"/>
          <w:lang w:eastAsia="zh-CN"/>
        </w:rPr>
        <w:t xml:space="preserve"> </w:t>
      </w:r>
      <w:r w:rsidR="003126AD" w:rsidRPr="003126AD">
        <w:rPr>
          <w:rFonts w:eastAsiaTheme="minorEastAsia"/>
          <w:color w:val="000000" w:themeColor="text1"/>
          <w:sz w:val="22"/>
          <w:szCs w:val="22"/>
          <w:lang w:eastAsia="ko-KR"/>
        </w:rPr>
        <w:t>S1.</w:t>
      </w:r>
      <w:r w:rsidR="003126AD">
        <w:rPr>
          <w:rFonts w:eastAsiaTheme="minorEastAsia" w:hint="eastAsia"/>
          <w:color w:val="000000" w:themeColor="text1"/>
          <w:sz w:val="22"/>
          <w:szCs w:val="22"/>
          <w:lang w:eastAsia="zh-CN"/>
        </w:rPr>
        <w:t xml:space="preserve"> </w:t>
      </w:r>
      <w:r w:rsidRPr="00A3614E">
        <w:rPr>
          <w:rFonts w:eastAsiaTheme="minorEastAsia"/>
          <w:color w:val="000000" w:themeColor="text1"/>
          <w:sz w:val="22"/>
          <w:szCs w:val="22"/>
          <w:lang w:eastAsia="zh-CN"/>
        </w:rPr>
        <w:t xml:space="preserve">To reliably characterize fitness using early trajectory features, we retained only variant–country combinations fully observed within valid analytical periods. This criterion preserved 24,286 of 26,152 lineages (93%), ensuring that growth and peak prevalence estimates reflect consistent surveillance data rather than artifacts of intermittent sampling. </w:t>
      </w:r>
      <w:r w:rsidR="00BE6274" w:rsidRPr="00BE6274">
        <w:rPr>
          <w:rFonts w:eastAsiaTheme="minorEastAsia"/>
          <w:color w:val="000000" w:themeColor="text1"/>
          <w:sz w:val="22"/>
          <w:szCs w:val="22"/>
          <w:lang w:eastAsia="zh-CN"/>
        </w:rPr>
        <w:t>Variants excluded because they fell outside the defined analytical periods are shown in Fig</w:t>
      </w:r>
      <w:r w:rsidR="00BE6274">
        <w:rPr>
          <w:rFonts w:eastAsiaTheme="minorEastAsia"/>
          <w:color w:val="000000" w:themeColor="text1"/>
          <w:sz w:val="22"/>
          <w:szCs w:val="22"/>
          <w:lang w:eastAsia="zh-CN"/>
        </w:rPr>
        <w:t>ure</w:t>
      </w:r>
      <w:r w:rsidR="00BE6274" w:rsidRPr="00BE6274">
        <w:rPr>
          <w:rFonts w:eastAsiaTheme="minorEastAsia"/>
          <w:color w:val="000000" w:themeColor="text1"/>
          <w:sz w:val="22"/>
          <w:szCs w:val="22"/>
          <w:lang w:eastAsia="zh-CN"/>
        </w:rPr>
        <w:t xml:space="preserve"> S2, which displays, for each country, the six variants with the largest overall sample sizes.</w:t>
      </w:r>
      <w:r w:rsidR="00BE6274">
        <w:rPr>
          <w:rFonts w:eastAsiaTheme="minorEastAsia"/>
          <w:color w:val="000000" w:themeColor="text1"/>
          <w:sz w:val="22"/>
          <w:szCs w:val="22"/>
          <w:lang w:eastAsia="zh-CN"/>
        </w:rPr>
        <w:t xml:space="preserve"> </w:t>
      </w:r>
      <w:r w:rsidRPr="00A3614E">
        <w:rPr>
          <w:rFonts w:eastAsiaTheme="minorEastAsia"/>
          <w:color w:val="000000" w:themeColor="text1"/>
          <w:sz w:val="22"/>
          <w:szCs w:val="22"/>
          <w:lang w:eastAsia="zh-CN"/>
        </w:rPr>
        <w:t xml:space="preserve">The overall data processing workflow, including data cleaning, phase-based variant grouping, analytical-period selection, and model data generation, is summarized in Figure </w:t>
      </w:r>
      <w:r w:rsidR="00F06DEB" w:rsidRPr="00A3614E">
        <w:rPr>
          <w:rFonts w:eastAsiaTheme="minorEastAsia"/>
          <w:color w:val="000000" w:themeColor="text1"/>
          <w:sz w:val="22"/>
          <w:szCs w:val="22"/>
          <w:lang w:eastAsia="ko-KR"/>
        </w:rPr>
        <w:t>4</w:t>
      </w:r>
      <w:r w:rsidRPr="00A3614E">
        <w:rPr>
          <w:rFonts w:eastAsiaTheme="minorEastAsia"/>
          <w:color w:val="000000" w:themeColor="text1"/>
          <w:sz w:val="22"/>
          <w:szCs w:val="22"/>
          <w:lang w:eastAsia="zh-CN"/>
        </w:rPr>
        <w:t>.</w:t>
      </w:r>
    </w:p>
    <w:p w14:paraId="67EBE570" w14:textId="77777777"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ko-KR"/>
        </w:rPr>
      </w:pPr>
    </w:p>
    <w:p w14:paraId="5FCDF026" w14:textId="77777777" w:rsidR="00010D51" w:rsidRPr="00A3614E" w:rsidRDefault="00010D51" w:rsidP="00010D51">
      <w:pPr>
        <w:pStyle w:val="p1"/>
        <w:spacing w:before="0" w:beforeAutospacing="0" w:after="0" w:afterAutospacing="0" w:line="276" w:lineRule="auto"/>
        <w:contextualSpacing/>
        <w:jc w:val="both"/>
        <w:rPr>
          <w:rFonts w:eastAsiaTheme="minorEastAsia"/>
          <w:color w:val="000000" w:themeColor="text1"/>
          <w:sz w:val="22"/>
          <w:szCs w:val="22"/>
          <w:lang w:eastAsia="ko-KR"/>
        </w:rPr>
      </w:pPr>
      <w:r w:rsidRPr="00A3614E">
        <w:rPr>
          <w:rFonts w:eastAsiaTheme="minorEastAsia"/>
          <w:b/>
          <w:bCs/>
          <w:color w:val="000000" w:themeColor="text1"/>
          <w:spacing w:val="-10"/>
          <w:sz w:val="22"/>
          <w:szCs w:val="22"/>
          <w:lang w:eastAsia="ko-KR"/>
        </w:rPr>
        <w:t>Variants grouping.</w:t>
      </w:r>
      <w:r w:rsidRPr="00A3614E">
        <w:rPr>
          <w:rFonts w:eastAsiaTheme="minorEastAsia"/>
          <w:color w:val="000000" w:themeColor="text1"/>
          <w:spacing w:val="-10"/>
          <w:sz w:val="22"/>
          <w:szCs w:val="22"/>
          <w:lang w:eastAsia="ko-KR"/>
        </w:rPr>
        <w:t xml:space="preserve"> </w:t>
      </w:r>
      <w:r w:rsidRPr="00A3614E">
        <w:rPr>
          <w:color w:val="000000" w:themeColor="text1"/>
          <w:sz w:val="22"/>
          <w:szCs w:val="22"/>
        </w:rPr>
        <w:t>We segmented the global epidemic into six lineage-specific periods aligned with WHO-recognized phases: pre-VOC (Dec 2019–Sep 2020), Alpha (Oct 2020–May 2021), Delta (Jun–Nov 2021), early Omicron BA.1/BA.2 (Dec 2021–May 2022), mid-Omicron BA.4/BA.5 (Jun–Dec 2022), and late Omicron XBB/JN (Jan 2023–Sep 2024). Within each period, we grouped SARS-CoV-2 lineages into variants using country- and period-specific aggregated case proportions rather than a single global threshold, allowing for substantial cross-country and temporal heterogeneity in genomic surveillance and competitive dynamics.</w:t>
      </w:r>
      <w:r w:rsidRPr="00A3614E">
        <w:rPr>
          <w:rFonts w:eastAsiaTheme="minorEastAsia"/>
          <w:color w:val="000000" w:themeColor="text1"/>
          <w:sz w:val="22"/>
          <w:szCs w:val="22"/>
          <w:lang w:eastAsia="ko-KR"/>
        </w:rPr>
        <w:t xml:space="preserve"> </w:t>
      </w:r>
      <w:r w:rsidRPr="00A3614E">
        <w:rPr>
          <w:color w:val="000000" w:themeColor="text1"/>
          <w:sz w:val="22"/>
          <w:szCs w:val="22"/>
        </w:rPr>
        <w:t>This approach reflects a fundamental shift in selective pressures over time. Early waves were dominated by transmissibility-driven selective sweeps, producing relatively consistent growth and replacement patterns across settings. In contrast, the Omicron era has been shaped by high and heterogeneous background immunity, frequent co-circulation of closely related lineages, and more constrained and variable peak shares. Applying a uniform global grouping rule across all countries and phases would conflate these distinct competitive regimes and systematically under-identify epidemiologically meaningful variants in later periods, where success often appears as moderate but sustained circulation rather than near-complete replacement.</w:t>
      </w:r>
    </w:p>
    <w:p w14:paraId="7A82C24F" w14:textId="77777777" w:rsidR="00010D51" w:rsidRPr="00A3614E" w:rsidRDefault="00010D51" w:rsidP="00010D51">
      <w:pPr>
        <w:pStyle w:val="p1"/>
        <w:spacing w:before="0" w:beforeAutospacing="0" w:after="0" w:afterAutospacing="0" w:line="276" w:lineRule="auto"/>
        <w:contextualSpacing/>
        <w:jc w:val="both"/>
        <w:rPr>
          <w:rFonts w:eastAsiaTheme="minorEastAsia"/>
          <w:color w:val="000000" w:themeColor="text1"/>
          <w:sz w:val="22"/>
          <w:szCs w:val="22"/>
          <w:lang w:eastAsia="ko-KR"/>
        </w:rPr>
      </w:pPr>
    </w:p>
    <w:p w14:paraId="05654F1B" w14:textId="2A90A3E1" w:rsidR="00010D51" w:rsidRPr="00A3614E" w:rsidRDefault="00010D51" w:rsidP="00010D51">
      <w:pPr>
        <w:pStyle w:val="BodyText"/>
        <w:spacing w:line="276" w:lineRule="auto"/>
        <w:ind w:left="0"/>
        <w:contextualSpacing/>
        <w:jc w:val="both"/>
        <w:rPr>
          <w:color w:val="000000" w:themeColor="text1"/>
          <w:sz w:val="22"/>
          <w:szCs w:val="22"/>
          <w:lang w:eastAsia="zh-CN"/>
        </w:rPr>
      </w:pPr>
      <w:r w:rsidRPr="00A3614E">
        <w:rPr>
          <w:color w:val="000000" w:themeColor="text1"/>
          <w:sz w:val="22"/>
          <w:szCs w:val="22"/>
          <w:lang w:eastAsia="zh-CN"/>
        </w:rPr>
        <w:t xml:space="preserve">Variant grouping was performed independently within each period. To obtain a global set of grouped variants across the whole study horizon, variant identities were subsequently aggregated across periods based on their unique lineage composition, such that each grouped variant was counted only once globally, even if it met the 1% threshold in multiple periods or countries. Across the six periods, this procedure yielded 1,040 distinct grouped variants, while all remaining low-frequency lineages were collectively assigned to the “others” category within each period. This classification consolidates highly granular lineage data into a tractable number of epidemiologically meaningful groups. Figure </w:t>
      </w:r>
      <w:r w:rsidR="00F06DEB" w:rsidRPr="00A3614E">
        <w:rPr>
          <w:rFonts w:eastAsiaTheme="minorEastAsia"/>
          <w:color w:val="000000" w:themeColor="text1"/>
          <w:sz w:val="22"/>
          <w:szCs w:val="22"/>
          <w:lang w:eastAsia="ko-KR"/>
        </w:rPr>
        <w:t>5</w:t>
      </w:r>
      <w:r w:rsidRPr="00A3614E">
        <w:rPr>
          <w:color w:val="000000" w:themeColor="text1"/>
          <w:sz w:val="22"/>
          <w:szCs w:val="22"/>
          <w:lang w:eastAsia="zh-CN"/>
        </w:rPr>
        <w:t xml:space="preserve"> illustrates the evolving landscape of</w:t>
      </w:r>
      <w:r w:rsidRPr="00A3614E">
        <w:rPr>
          <w:rFonts w:eastAsiaTheme="minorEastAsia"/>
          <w:color w:val="000000" w:themeColor="text1"/>
          <w:sz w:val="22"/>
          <w:szCs w:val="22"/>
          <w:lang w:eastAsia="ko-KR"/>
        </w:rPr>
        <w:t xml:space="preserve"> grouped</w:t>
      </w:r>
      <w:r w:rsidRPr="00A3614E">
        <w:rPr>
          <w:color w:val="000000" w:themeColor="text1"/>
          <w:sz w:val="22"/>
          <w:szCs w:val="22"/>
          <w:lang w:eastAsia="zh-CN"/>
        </w:rPr>
        <w:t xml:space="preserve"> SARS-CoV-2 variants in the United States, the United Kingdom, and South Korea.</w:t>
      </w:r>
    </w:p>
    <w:p w14:paraId="4A8EB7DB" w14:textId="77777777" w:rsidR="00010D51" w:rsidRPr="00A3614E" w:rsidRDefault="00010D51" w:rsidP="00010D51">
      <w:pPr>
        <w:pStyle w:val="BodyText"/>
        <w:spacing w:line="276" w:lineRule="auto"/>
        <w:ind w:left="0"/>
        <w:contextualSpacing/>
        <w:jc w:val="both"/>
        <w:rPr>
          <w:rFonts w:eastAsiaTheme="minorEastAsia"/>
          <w:b/>
          <w:bCs/>
          <w:color w:val="000000" w:themeColor="text1"/>
          <w:spacing w:val="-10"/>
          <w:lang w:eastAsia="zh-CN"/>
        </w:rPr>
      </w:pPr>
    </w:p>
    <w:p w14:paraId="603032E9" w14:textId="6A7501FF" w:rsidR="00010D51" w:rsidRPr="00A3614E" w:rsidRDefault="00010D51" w:rsidP="00010D51">
      <w:pPr>
        <w:pStyle w:val="BodyText"/>
        <w:spacing w:line="276" w:lineRule="auto"/>
        <w:ind w:left="0"/>
        <w:contextualSpacing/>
        <w:jc w:val="both"/>
        <w:rPr>
          <w:noProof/>
          <w:color w:val="000000" w:themeColor="text1"/>
          <w:sz w:val="22"/>
          <w:szCs w:val="22"/>
          <w:lang w:eastAsia="zh-CN"/>
        </w:rPr>
      </w:pPr>
      <w:r w:rsidRPr="00A3614E">
        <w:rPr>
          <w:rFonts w:eastAsiaTheme="minorEastAsia"/>
          <w:b/>
          <w:bCs/>
          <w:color w:val="000000" w:themeColor="text1"/>
          <w:spacing w:val="-10"/>
          <w:sz w:val="22"/>
          <w:szCs w:val="22"/>
          <w:lang w:eastAsia="ko-KR"/>
        </w:rPr>
        <w:t>Outcome measures.</w:t>
      </w:r>
      <w:r w:rsidRPr="00A3614E">
        <w:rPr>
          <w:rFonts w:eastAsiaTheme="minorEastAsia"/>
          <w:color w:val="000000" w:themeColor="text1"/>
          <w:spacing w:val="-10"/>
          <w:sz w:val="22"/>
          <w:szCs w:val="22"/>
          <w:lang w:eastAsia="ko-KR"/>
        </w:rPr>
        <w:t xml:space="preserve"> </w:t>
      </w:r>
      <w:r w:rsidRPr="00A3614E">
        <w:rPr>
          <w:color w:val="000000" w:themeColor="text1"/>
          <w:sz w:val="22"/>
          <w:szCs w:val="22"/>
          <w:lang w:eastAsia="zh-CN"/>
        </w:rPr>
        <w:t xml:space="preserve">We examine whether early growth patterns of SARS-CoV-2 variants—captured by their initial national-level share trajectories—forecast two outcomes: the weekly maximum domestic share (peak) and the number of days (duration) a variant maintains a domestic share above 10% </w:t>
      </w:r>
      <w:r w:rsidRPr="00A3614E">
        <w:rPr>
          <w:color w:val="000000" w:themeColor="text1"/>
          <w:sz w:val="22"/>
          <w:szCs w:val="22"/>
          <w:lang w:eastAsia="zh-CN"/>
        </w:rPr>
        <w:fldChar w:fldCharType="begin"/>
      </w:r>
      <w:r w:rsidR="00AA3F36">
        <w:rPr>
          <w:color w:val="000000" w:themeColor="text1"/>
          <w:sz w:val="22"/>
          <w:szCs w:val="22"/>
          <w:lang w:eastAsia="zh-CN"/>
        </w:rPr>
        <w:instrText xml:space="preserve"> ADDIN ZOTERO_ITEM CSL_CITATION {"citationID":"ZS5Ngnw7","properties":{"formattedCitation":"(18)","plainCitation":"(18)","noteIndex":0},"citationItems":[{"id":666,"uris":["http://zotero.org/users/14790911/items/WYKM6EPU"],"itemData":{"id":666,"type":"article-journal","abstract":"Understanding the causes and consequences of the emergence of severe acute respiratory syndrome coronavirus 2 (SARS-CoV-2) variants of concern is crucial to pandemic control yet difficult to achieve because they arise in the context of variable human behavior and immunity. We investigated the spatial invasion dynamics of lineage B.1.1.7 by jointly analyzing UK human mobility, virus genomes, and community-based polymerase chain reaction data. We identified a multistage spatial invasion process in which early B.1.1.7 growth rates were associated with mobility and asymmetric lineage export from a dominant source location, enhancing the effects of B.1.1.7’s increased intrinsic transmissibility. We further explored how B.1.1.7 spread was shaped by nonpharmaceutical interventions and spatial variation in previous attack rates. Our findings show that careful accounting of the behavioral and epidemiological context within which variants of concern emerge is necessary to interpret correctly their observed relative growth rates.","container-title":"Science","DOI":"10.1126/science.abj0113","issue":"6557","page":"889-895","publisher":"American Association for the Advancement of Science","source":"science.org (Atypon)","title":"Spatiotemporal invasion dynamics of SARS-CoV-2 lineage B.1.1.7 emergence","volume":"373","author":[{"family":"Kraemer","given":"Moritz U. G."},{"family":"Hill","given":"Verity"},{"family":"Ruis","given":"Christopher"},{"family":"Dellicour","given":"Simon"},{"family":"Bajaj","given":"Sumali"},{"family":"McCrone","given":"John T."},{"family":"Baele","given":"Guy"},{"family":"Parag","given":"Kris V."},{"family":"Battle","given":"Anya Lindström"},{"family":"Gutierrez","given":"Bernardo"},{"family":"Jackson","given":"Ben"},{"family":"Colquhoun","given":"Rachel"},{"family":"O’Toole","given":"Áine"},{"family":"Klein","given":"Brennan"},{"family":"Vespignani","given":"Alessandro"},{"literal":"COVID-19 Genomics UK (COG-UK) Consortium"},{"family":"Volz","given":"Erik"},{"family":"Faria","given":"Nuno R."},{"family":"Aanensen","given":"David M."},{"family":"Loman","given":"Nicholas J."},{"family":"Plessis","given":"Louis","non-dropping-particle":"du"},{"family":"Cauchemez","given":"Simon"},{"family":"Rambaut","given":"Andrew"},{"family":"Scarpino","given":"Samuel V."},{"family":"Pybus","given":"Oliver G."}],"issued":{"date-parts":[["2021",8,20]]}}}],"schema":"https://github.com/citation-style-language/schema/raw/master/csl-citation.json"} </w:instrText>
      </w:r>
      <w:r w:rsidRPr="00A3614E">
        <w:rPr>
          <w:color w:val="000000" w:themeColor="text1"/>
          <w:sz w:val="22"/>
          <w:szCs w:val="22"/>
          <w:lang w:eastAsia="zh-CN"/>
        </w:rPr>
        <w:fldChar w:fldCharType="separate"/>
      </w:r>
      <w:r w:rsidR="00AA3F36">
        <w:rPr>
          <w:rFonts w:eastAsiaTheme="minorEastAsia"/>
          <w:color w:val="000000" w:themeColor="text1"/>
          <w:sz w:val="22"/>
          <w:szCs w:val="22"/>
          <w:lang w:eastAsia="ko-KR"/>
          <w14:ligatures w14:val="standardContextual"/>
        </w:rPr>
        <w:t>(18)</w:t>
      </w:r>
      <w:r w:rsidRPr="00A3614E">
        <w:rPr>
          <w:color w:val="000000" w:themeColor="text1"/>
          <w:sz w:val="22"/>
          <w:szCs w:val="22"/>
          <w:lang w:eastAsia="zh-CN"/>
        </w:rPr>
        <w:fldChar w:fldCharType="end"/>
      </w:r>
      <w:r w:rsidRPr="00A3614E">
        <w:rPr>
          <w:color w:val="000000" w:themeColor="text1"/>
          <w:sz w:val="22"/>
          <w:szCs w:val="22"/>
          <w:lang w:eastAsia="zh-CN"/>
        </w:rPr>
        <w:t>. Both outcomes are discretized into categorical levels for the primary analyses to facilitate robust comparison across variants and countries.</w:t>
      </w:r>
      <w:r w:rsidRPr="00A3614E">
        <w:rPr>
          <w:rFonts w:eastAsiaTheme="minorEastAsia"/>
          <w:color w:val="000000" w:themeColor="text1"/>
          <w:sz w:val="22"/>
          <w:szCs w:val="22"/>
          <w:lang w:eastAsia="ko-KR"/>
        </w:rPr>
        <w:t xml:space="preserve"> These two measures better capture a variant’s competitive strength and epidemiological relevance than cumulative share–based metrics, which can be inflated by prolonged low-level circulation.</w:t>
      </w:r>
      <w:r w:rsidRPr="00A3614E">
        <w:rPr>
          <w:rFonts w:eastAsiaTheme="minorEastAsia"/>
          <w:color w:val="000000" w:themeColor="text1"/>
          <w:sz w:val="22"/>
          <w:szCs w:val="22"/>
          <w:lang w:eastAsia="zh-CN"/>
        </w:rPr>
        <w:t xml:space="preserve"> </w:t>
      </w:r>
      <w:r w:rsidRPr="00A3614E">
        <w:rPr>
          <w:color w:val="000000" w:themeColor="text1"/>
          <w:sz w:val="22"/>
          <w:szCs w:val="22"/>
          <w:lang w:eastAsia="zh-CN"/>
        </w:rPr>
        <w:t>Daily sequence counts were aggregated using a rolling seven-day window, within which the variant’s proportion was computed as its sequence count divided by the total sequences collected over the same window. This windowed formulation reduces sensitivity to day-level reporting noise while capturing the variant’s strongest observed competitive position</w:t>
      </w:r>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{"citationID":"GNUzl4z0","properties":{"formattedCitation":"(19)","plainCitation":"(19)","noteIndex":0},"citationItems":[{"id":584,"uris":["http://zotero.org/users/14790911/items/KGB6LWRM"],"itemData":{"id":584,"type":"article-journal","abstract":"The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number.","container-title":"Nature","DOI":"10.1038/s41586-021-03470-x","ISSN":"1476-4687","issue":"7858","journalAbbreviation":"Nature","language":"eng","page":"266-269","PMID":"33767447","source":"PubMed","title":"Assessing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(19)</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This continuous measure, ranging from 0 to 1, characterizes the intensity of a variant’s competitive advantage. Its empirical distribution is highly right-skewed, with most variants attaining only modest peaks (median ≈ 0.08; IQR: 0.03–0.20). To mitigate the influence of extreme values and enhance model stability, we discretized peak share into an ordered three-level outcome: 0-9%, 10–19%, and ≥20%.  The category thresholds were informed by the empirical distribution of peak share, with cut points guided by the observed interquartile range. A &gt;20% domestic share was considered dominant, as high background immunity and multi-lineage competition in the post-Omicron era constrain peak prevalence, making such levels indicative of a clear competitive advantage. Given that values exceeding 20% fall within the extreme upper tail of the distribution, this uppermost category is interpreted as representing high-peak, or dominant, variants. Similarly, the empirical distribution of duration is highly skewed, with nearly one-third of variants never exceeding </w:t>
      </w:r>
      <w:r w:rsidRPr="00A3614E">
        <w:rPr>
          <w:noProof/>
          <w:color w:val="000000" w:themeColor="text1"/>
          <w:sz w:val="22"/>
          <w:szCs w:val="22"/>
          <w:lang w:eastAsia="zh-CN"/>
        </w:rPr>
        <w:lastRenderedPageBreak/>
        <w:t xml:space="preserve">the 10% threshold for more than 30 days. Using duration as a continuous outcome would therefore place disproportionate weight on a small number of long-lasting variants and yield unstable estimates for the majority of low-duration observations. To reduce sensitivity to extreme values while preserving epidemiologically meaningful distinctions in persistence, duration was discretized into three ordinal categories: 0–29, 30–99, and ≥100 days </w:t>
      </w:r>
      <w:bookmarkStart w:id="4" w:name="OLE_LINK1"/>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{"citationID":"pUwyokq3","properties":{"formattedCitation":"(20)","plainCitation":"(20)","noteIndex":0},"citationItems":[{"id":668,"uris":["http://zotero.org/users/14790911/items/KSTMV3Y7"],"itemData":{"id":668,"type":"article-journal","abstract":"The arcsine square root transformation has long been standard procedure when analyzing proportional data in ecology, with applications in data sets containing binomial and non-binomial response variables. Here, we argue that the arcsine transform should not be used in either circumstance. For binomial data, logistic regression has greater interpretability and higher power than analyses of transformed data. However, it is important to check the data for additional unexplained variation, i.e., overdispersion, and to account for it via the inclusion of random effects in the model if found. For non-binomial data, the arcsine transform is undesirable on the grounds of interpretability, and because it can produce nonsensical predictions. The logit transformation is proposed as an alternative approach to address these issues. Examples are presented in both cases to illustrate these advantages, comparing various methods of analyzing proportions including untransformed, arcsine- and logit-transformed linear models and logistic regression (with or without random effects). Simulations demonstrate that logistic regression usually provides a gain in power over other methods.","container-title":"Ecology","DOI":"10.1890/10-0340.1","ISSN":"1939-9170","issue":"1","language":"en","license":"© 2011 by the Ecological Society of America","note":"_eprint: https://esajournals.onlinelibrary.wiley.com/doi/pdf/10.1890/10-0340.1","page":"3-10","source":"Wiley Online Library","title":"The arcsine is asinine: the analysis of proportions in ecology","title-short":"The arcsine is asinine","volume":"92","author":[{"family":"Warton","given":"David I."},{"family":"Hui","given":"Francis K. C."}],"issued":{"date-parts":[["2011"]]}}}],"schema":"https://github.com/citation-style-language/schema/raw/master/csl-citation.json"}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(20)</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w:t>
      </w:r>
    </w:p>
    <w:p w14:paraId="341DF321" w14:textId="77777777" w:rsidR="00010D51" w:rsidRPr="00A3614E" w:rsidRDefault="00010D51" w:rsidP="00010D51">
      <w:pPr>
        <w:pStyle w:val="BodyText"/>
        <w:spacing w:line="276" w:lineRule="auto"/>
        <w:ind w:left="0"/>
        <w:contextualSpacing/>
        <w:jc w:val="both"/>
        <w:rPr>
          <w:noProof/>
          <w:color w:val="000000" w:themeColor="text1"/>
          <w:sz w:val="22"/>
          <w:szCs w:val="22"/>
          <w:lang w:eastAsia="zh-CN"/>
        </w:rPr>
      </w:pPr>
    </w:p>
    <w:p w14:paraId="7C0514B2" w14:textId="784070C6" w:rsidR="00010D51" w:rsidRPr="00A3614E" w:rsidRDefault="00010D51" w:rsidP="00010D51">
      <w:pPr>
        <w:pStyle w:val="BodyText"/>
        <w:spacing w:line="276" w:lineRule="auto"/>
        <w:ind w:left="0"/>
        <w:contextualSpacing/>
        <w:jc w:val="both"/>
        <w:rPr>
          <w:noProof/>
          <w:color w:val="000000" w:themeColor="text1"/>
          <w:sz w:val="22"/>
          <w:szCs w:val="22"/>
          <w:lang w:eastAsia="zh-CN"/>
        </w:rPr>
      </w:pPr>
      <w:r w:rsidRPr="00A3614E">
        <w:rPr>
          <w:b/>
          <w:bCs/>
          <w:noProof/>
          <w:color w:val="000000" w:themeColor="text1"/>
          <w:sz w:val="22"/>
          <w:szCs w:val="22"/>
          <w:lang w:eastAsia="zh-CN"/>
        </w:rPr>
        <w:t>Predictive features.</w:t>
      </w:r>
      <w:r w:rsidRPr="00A3614E">
        <w:rPr>
          <w:noProof/>
          <w:color w:val="000000" w:themeColor="text1"/>
          <w:sz w:val="22"/>
          <w:szCs w:val="22"/>
          <w:lang w:eastAsia="zh-CN"/>
        </w:rPr>
        <w:t xml:space="preserve"> The start point of the initial period was defined as the first time the variants reached a 1% share in their respective countries. This threshold was selected to mark a reproducible surveillance-relevant onset, at which variant detection is sufficiently stable to support reliable estimation of early growth dynamics. From this point, we considered a different set of observation periods from 14 to 28 days. </w:t>
      </w:r>
      <w:bookmarkEnd w:id="4"/>
      <w:r w:rsidRPr="00A3614E">
        <w:rPr>
          <w:noProof/>
          <w:color w:val="000000" w:themeColor="text1"/>
          <w:sz w:val="22"/>
          <w:szCs w:val="22"/>
          <w:lang w:eastAsia="zh-CN"/>
        </w:rPr>
        <w:t xml:space="preserve">From these early share sequences, we then constructed two complementary sets of predictors. The first group comprised handcrafted, epidemiologically motivated predictors designed to capture basic growth dynamics. These included the overall log-linear slope (overall growth or decline rate), short-window slopes over seven days, the longest increasing run (consecutive growth days), and the non-zero count (number of days with non-zero share). All features were computed from early-stage share trajectories using base R functions and custom routines. The second set was drawn from the </w:t>
      </w:r>
      <w:r w:rsidRPr="00A3614E">
        <w:rPr>
          <w:i/>
          <w:iCs/>
          <w:noProof/>
          <w:color w:val="000000" w:themeColor="text1"/>
          <w:sz w:val="22"/>
          <w:szCs w:val="22"/>
          <w:lang w:eastAsia="zh-CN"/>
        </w:rPr>
        <w:t>catch22</w:t>
      </w:r>
      <w:r w:rsidRPr="00A3614E">
        <w:rPr>
          <w:noProof/>
          <w:color w:val="000000" w:themeColor="text1"/>
          <w:sz w:val="22"/>
          <w:szCs w:val="22"/>
          <w:lang w:eastAsia="zh-CN"/>
        </w:rPr>
        <w:t xml:space="preserve"> library </w:t>
      </w:r>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{"citationID":"LTPOurYT","properties":{"formattedCitation":"(21)","plainCitation":"(21)","noteIndex":0},"citationItems":[{"id":675,"uris":["http://zotero.org/users/14790911/items/XRTMXHDS"],"itemData":{"id":675,"type":"article","abstract":"Capturing the dynamical properties of time series concisely as interpretable feature vectors can enable efficient clustering and classification for time-series applications across science and industry. Selecting an appropriate feature-based representation of time series for a given application can be achieved through systematic comparison across a comprehensive time-series feature library, such as those in the hctsa toolbox. However, this approach is computationally expensive and involves evaluating many similar features, limiting the widespread adoption of feature-based representations of time series for real-world applications. In this work, we introduce a method to infer small sets of time-series features that (i) exhibit strong classification performance across a given collection of time-series problems, and (ii) are minimally redundant. Applying our method to a set of 93 time-series classification datasets (containing over 147000 time series) and using a filtered version of the hctsa feature library (4791 features), we introduce a generically useful set of 22 CAnonical Time-series CHaracteristics, catch22. This dimensionality reduction, from 4791 to 22, is associated with an approximately 1000-fold reduction in computation time and near linear scaling with time-series length, despite an average reduction in classification accuracy of just 7%. catch22 captures a diverse and interpretable signature of time series in terms of their properties, including linear and non-linear autocorrelation, successive differences, value distributions and outliers, and fluctuation scaling properties. We provide an efficient implementation of catch22, accessible from many programming environments, that facilitates feature-based time-series analysis for scientific, industrial, financial and medical applications using a common language of interpretable time-series properties.","DOI":"10.48550/arXiv.1901.10200","note":"arXiv:1901.10200 [cs]","number":"arXiv:1901.10200","publisher":"arXiv","source":"arXiv.org","title":"catch22: CAnonical Time-series CHaracteristics","title-short":"catch22","URL":"http://arxiv.org/abs/1901.10200","author":[{"family":"Lubba","given":"Carl H."},{"family":"Sethi","given":"Sarab S."},{"family":"Knaute","given":"Philip"},{"family":"Schultz","given":"Simon R."},{"family":"Fulcher","given":"Ben D."},{"family":"Jones","given":"Nick S."}],"accessed":{"date-parts":[["2025",10,20]]},"issued":{"date-parts":[["2019",1,30]]}}}],"schema":"https://github.com/citation-style-language/schema/raw/master/csl-citation.json"}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(21)</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accessed via the </w:t>
      </w:r>
      <w:r w:rsidRPr="00A3614E">
        <w:rPr>
          <w:i/>
          <w:iCs/>
          <w:noProof/>
          <w:color w:val="000000" w:themeColor="text1"/>
          <w:sz w:val="22"/>
          <w:szCs w:val="22"/>
          <w:lang w:eastAsia="zh-CN"/>
        </w:rPr>
        <w:t>Rcatch22</w:t>
      </w:r>
      <w:r w:rsidRPr="00A3614E">
        <w:rPr>
          <w:noProof/>
          <w:color w:val="000000" w:themeColor="text1"/>
          <w:sz w:val="22"/>
          <w:szCs w:val="22"/>
          <w:lang w:eastAsia="zh-CN"/>
        </w:rPr>
        <w:t xml:space="preserve"> package, which provides 22 minimally redundant descriptors of time-series structure such as entropy, fluctuation scaling, and motif frequency. The catch22 features are computationally efficient, robust to short and noisy sequences, and broadly applicable without parameter tuning, which can capture the heterogeneit</w:t>
      </w:r>
      <w:r w:rsidRPr="00A3614E">
        <w:rPr>
          <w:rFonts w:eastAsiaTheme="minorEastAsia"/>
          <w:noProof/>
          <w:color w:val="000000" w:themeColor="text1"/>
          <w:sz w:val="22"/>
          <w:szCs w:val="22"/>
          <w:lang w:eastAsia="ko-KR"/>
        </w:rPr>
        <w:t xml:space="preserve">y </w:t>
      </w:r>
      <w:r w:rsidRPr="00A3614E">
        <w:rPr>
          <w:noProof/>
          <w:color w:val="000000" w:themeColor="text1"/>
          <w:sz w:val="22"/>
          <w:szCs w:val="22"/>
          <w:lang w:eastAsia="zh-CN"/>
        </w:rPr>
        <w:t xml:space="preserve">of early trajectories. By combining interpretable, domain-informed measures with standardized machine-learning–oriented descriptors, this approach balances epidemiological interpretability with statistical power and enhances generalizability across diverse variant profiles. Together, these features quantify each trajectory’s level, variability, early acceleration, and persistence, providing a rich basis for downstream prediction of peak share and time to dominance. </w:t>
      </w:r>
      <w:bookmarkStart w:id="5" w:name="OLE_LINK2"/>
      <w:r w:rsidRPr="00A3614E">
        <w:rPr>
          <w:noProof/>
          <w:color w:val="000000" w:themeColor="text1"/>
          <w:sz w:val="22"/>
          <w:szCs w:val="22"/>
          <w:lang w:eastAsia="zh-CN"/>
        </w:rPr>
        <w:t>The specific feature set was derived following established frameworks for interpretable time-series feature extraction and prior applications to SARS-CoV-2 variant growth.</w:t>
      </w:r>
      <w:r w:rsidR="001A1AF4">
        <w:rPr>
          <w:rFonts w:hint="eastAsia"/>
          <w:noProof/>
          <w:color w:val="000000" w:themeColor="text1"/>
          <w:sz w:val="22"/>
          <w:szCs w:val="22"/>
          <w:lang w:eastAsia="zh-CN"/>
        </w:rPr>
        <w:t xml:space="preserve"> </w:t>
      </w:r>
      <w:r w:rsidR="001A1AF4" w:rsidRPr="001A1AF4">
        <w:rPr>
          <w:noProof/>
          <w:color w:val="000000" w:themeColor="text1"/>
          <w:sz w:val="22"/>
          <w:szCs w:val="22"/>
          <w:lang w:eastAsia="zh-CN"/>
        </w:rPr>
        <w:t xml:space="preserve">Abbreviations and detailed definitions for all hand-crafted epidemiological features and </w:t>
      </w:r>
      <w:r w:rsidR="001A1AF4" w:rsidRPr="00A3614E">
        <w:rPr>
          <w:i/>
          <w:iCs/>
          <w:noProof/>
          <w:color w:val="000000" w:themeColor="text1"/>
          <w:sz w:val="22"/>
          <w:szCs w:val="22"/>
          <w:lang w:eastAsia="zh-CN"/>
        </w:rPr>
        <w:t>Rcatch22</w:t>
      </w:r>
      <w:r w:rsidR="001A1AF4" w:rsidRPr="00A3614E">
        <w:rPr>
          <w:noProof/>
          <w:color w:val="000000" w:themeColor="text1"/>
          <w:sz w:val="22"/>
          <w:szCs w:val="22"/>
          <w:lang w:eastAsia="zh-CN"/>
        </w:rPr>
        <w:t xml:space="preserve"> </w:t>
      </w:r>
      <w:r w:rsidR="001A1AF4" w:rsidRPr="001A1AF4">
        <w:rPr>
          <w:noProof/>
          <w:color w:val="000000" w:themeColor="text1"/>
          <w:sz w:val="22"/>
          <w:szCs w:val="22"/>
          <w:lang w:eastAsia="zh-CN"/>
        </w:rPr>
        <w:t>-based features are provided in Table S</w:t>
      </w:r>
      <w:r w:rsidR="00E517EB">
        <w:rPr>
          <w:rFonts w:hint="eastAsia"/>
          <w:noProof/>
          <w:color w:val="000000" w:themeColor="text1"/>
          <w:sz w:val="22"/>
          <w:szCs w:val="22"/>
          <w:lang w:eastAsia="zh-CN"/>
        </w:rPr>
        <w:t>4</w:t>
      </w:r>
      <w:r w:rsidR="001A1AF4" w:rsidRPr="001A1AF4">
        <w:rPr>
          <w:noProof/>
          <w:color w:val="000000" w:themeColor="text1"/>
          <w:sz w:val="22"/>
          <w:szCs w:val="22"/>
          <w:lang w:eastAsia="zh-CN"/>
        </w:rPr>
        <w:t>.</w:t>
      </w:r>
    </w:p>
    <w:bookmarkEnd w:id="5"/>
    <w:p w14:paraId="69F7FD74" w14:textId="77777777" w:rsidR="00010D51" w:rsidRPr="00A3614E" w:rsidRDefault="00010D51" w:rsidP="00010D51">
      <w:pPr>
        <w:pStyle w:val="BodyText"/>
        <w:spacing w:line="276" w:lineRule="auto"/>
        <w:ind w:left="0"/>
        <w:contextualSpacing/>
        <w:jc w:val="both"/>
        <w:rPr>
          <w:noProof/>
          <w:color w:val="000000" w:themeColor="text1"/>
          <w:sz w:val="22"/>
          <w:szCs w:val="22"/>
          <w:lang w:eastAsia="zh-CN"/>
        </w:rPr>
      </w:pPr>
    </w:p>
    <w:p w14:paraId="69C330AB" w14:textId="41254800" w:rsidR="00010D51" w:rsidRPr="00A3614E" w:rsidRDefault="00010D51" w:rsidP="00010D51">
      <w:pPr>
        <w:pStyle w:val="BodyText"/>
        <w:spacing w:line="276" w:lineRule="auto"/>
        <w:ind w:left="0"/>
        <w:contextualSpacing/>
        <w:jc w:val="both"/>
        <w:rPr>
          <w:rFonts w:eastAsiaTheme="minorEastAsia"/>
          <w:noProof/>
          <w:color w:val="000000" w:themeColor="text1"/>
          <w:sz w:val="22"/>
          <w:szCs w:val="22"/>
          <w:lang w:eastAsia="ko-KR"/>
        </w:rPr>
      </w:pPr>
      <w:r w:rsidRPr="00A3614E">
        <w:rPr>
          <w:b/>
          <w:bCs/>
          <w:noProof/>
          <w:color w:val="000000" w:themeColor="text1"/>
          <w:sz w:val="22"/>
          <w:szCs w:val="22"/>
          <w:lang w:eastAsia="zh-CN"/>
        </w:rPr>
        <w:t xml:space="preserve">Prediction </w:t>
      </w:r>
      <w:r w:rsidRPr="00A3614E">
        <w:rPr>
          <w:rFonts w:eastAsiaTheme="minorEastAsia"/>
          <w:b/>
          <w:bCs/>
          <w:noProof/>
          <w:color w:val="000000" w:themeColor="text1"/>
          <w:sz w:val="22"/>
          <w:szCs w:val="22"/>
          <w:lang w:eastAsia="ko-KR"/>
        </w:rPr>
        <w:t>m</w:t>
      </w:r>
      <w:r w:rsidRPr="00A3614E">
        <w:rPr>
          <w:b/>
          <w:bCs/>
          <w:noProof/>
          <w:color w:val="000000" w:themeColor="text1"/>
          <w:sz w:val="22"/>
          <w:szCs w:val="22"/>
          <w:lang w:eastAsia="zh-CN"/>
        </w:rPr>
        <w:t>odel.</w:t>
      </w:r>
      <w:r w:rsidRPr="00A3614E">
        <w:rPr>
          <w:noProof/>
          <w:color w:val="000000" w:themeColor="text1"/>
          <w:sz w:val="22"/>
          <w:szCs w:val="22"/>
          <w:lang w:eastAsia="zh-CN"/>
        </w:rPr>
        <w:t xml:space="preserve"> We employed a diverse set of machine learning regressors suited for heterogeneous temporal data. These included generalized linear models</w:t>
      </w:r>
      <w:r w:rsidR="005D3DA6">
        <w:rPr>
          <w:noProof/>
          <w:color w:val="000000" w:themeColor="text1"/>
          <w:sz w:val="22"/>
          <w:szCs w:val="22"/>
          <w:lang w:eastAsia="zh-CN"/>
        </w:rPr>
        <w:t xml:space="preserve"> </w:t>
      </w:r>
      <w:r w:rsidR="005D3DA6">
        <w:rPr>
          <w:noProof/>
          <w:color w:val="000000" w:themeColor="text1"/>
          <w:sz w:val="22"/>
          <w:szCs w:val="22"/>
          <w:lang w:eastAsia="zh-CN"/>
        </w:rPr>
        <w:fldChar w:fldCharType="begin"/>
      </w:r>
      <w:r w:rsidR="005D3DA6">
        <w:rPr>
          <w:noProof/>
          <w:color w:val="000000" w:themeColor="text1"/>
          <w:sz w:val="22"/>
          <w:szCs w:val="22"/>
          <w:lang w:eastAsia="zh-CN"/>
        </w:rPr>
        <w:instrText xml:space="preserve"> ADDIN ZOTERO_ITEM CSL_CITATION {"citationID":"dthtcN8j","properties":{"unsorted":false,"formattedCitation":"(22)","plainCitation":"(22)","noteIndex":0},"citationItems":[{"id":753,"uris":["http://zotero.org/users/14790911/items/TKZG2EHL"],"itemData":{"id":753,"type":"article-journal","container-title":"European Journal of Operational Research","DOI":"10.1016/0377-2217(84)90282-0","ISSN":"0377-2217","issue":"3","journalAbbreviation":"European Journal of Operational Research","page":"285-292","source":"ScienceDirect","title":"Generalized linear models","volume":"16","author":[{"family":"McCullagh","given":"Peter"}],"issued":{"date-parts":[["1984",6,1]]}}}],"schema":"https://github.com/citation-style-language/schema/raw/master/csl-citation.json"} </w:instrText>
      </w:r>
      <w:r w:rsidR="005D3DA6">
        <w:rPr>
          <w:noProof/>
          <w:color w:val="000000" w:themeColor="text1"/>
          <w:sz w:val="22"/>
          <w:szCs w:val="22"/>
          <w:lang w:eastAsia="zh-CN"/>
        </w:rPr>
        <w:fldChar w:fldCharType="separate"/>
      </w:r>
      <w:r w:rsidR="005D3DA6">
        <w:rPr>
          <w:noProof/>
          <w:color w:val="000000" w:themeColor="text1"/>
          <w:sz w:val="22"/>
          <w:szCs w:val="22"/>
          <w:lang w:eastAsia="zh-CN"/>
        </w:rPr>
        <w:t>(22)</w:t>
      </w:r>
      <w:r w:rsidR="005D3DA6">
        <w:rPr>
          <w:noProof/>
          <w:color w:val="000000" w:themeColor="text1"/>
          <w:sz w:val="22"/>
          <w:szCs w:val="22"/>
          <w:lang w:eastAsia="zh-CN"/>
        </w:rPr>
        <w:fldChar w:fldCharType="end"/>
      </w:r>
      <w:r w:rsidRPr="00A3614E">
        <w:rPr>
          <w:noProof/>
          <w:color w:val="000000" w:themeColor="text1"/>
          <w:sz w:val="22"/>
          <w:szCs w:val="22"/>
          <w:lang w:eastAsia="zh-CN"/>
        </w:rPr>
        <w:t xml:space="preserve">, generalized additive models </w:t>
      </w:r>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{"citationID":"mzPY9HkX","properties":{"formattedCitation":"(23)","plainCitation":"(23)","noteIndex":0},"citationItems":[{"id":680,"uris":["http://zotero.org/users/14790911/items/X9DJR6CV"],"itemData":{"id":680,"type":"book","abstract":"The first edition of this book has established itself as one of the leading references on generalized additive models (GAMs), and the only book on the topic to be introductory in nature with a wealth of practical examples and software implementation. It is self-contained, providing the necessary background in linear models, linear mixed models, and generalized linear models (GLMs), before presenting a balanced treatment of the theory and applications of GAMs and related models. \n\nThe author bases his approach on a framework of penalized regression splines, and while firmly focused on the practical aspects of GAMs, discussions include fairly full explanations of the theory underlying the methods. Use of R software helps explain the theory and illustrates the practical application of the methodology. Each chapter contains an extensive set of exercises, with solutions in an appendix or in the book’s R data package gamair, to enable use as a course text or for self-study.","DOI":"10.1201/9781315370279","edition":"2","ISBN":"978-1-315-37027-9","number-of-pages":"496","publisher":"Chapman and Hall/CRC","publisher-place":"New York","title":"Generalized Additive Models: An Introduction with R, Second Edition","title-short":"Generalized Additive Models","author":[{"family":"Wood","given":"Simon N."}],"issued":{"date-parts":[["2017",5,17]]}}}],"schema":"https://github.com/citation-style-language/schema/raw/master/csl-citation.json"}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(23)</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regularized methods such as Elastic Net </w:t>
      </w:r>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{"citationID":"itiD2tqB","properties":{"formattedCitation":"(24)","plainCitation":"(24)","noteIndex":0},"citationItems":[{"id":682,"uris":["http://zotero.org/users/14790911/items/E553XU9C"],"itemData":{"id":682,"type":"article-journal","container-title":"Journal of the Royal Statistical Society Series B: Statistical Methodology","DOI":"10.1111/j.1467-9868.2005.00527.x","ISSN":"1369-7412","issue":"5","journalAbbreviation":"J. R. Stat. Soc. Ser. B. Stat. Methodol.","page":"768","source":"Silverchair","title":"Addendum: Regularization and Variable Selection Via the Elastic Net","title-short":"Addendum","volume":"67","author":[{"family":"Zou","given":"Hui"},{"family":"Hastie","given":"Trevor"}],"issued":{"date-parts":[["2005",11,1]]}}}],"schema":"https://github.com/citation-style-language/schema/raw/master/csl-citation.json"}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(24)</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kernel-based models </w:t>
      </w:r>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{"citationID":"THj8fjO8","properties":{"formattedCitation":"(25)","plainCitation":"(25)","noteIndex":0},"citationItems":[{"id":685,"uris":["http://zotero.org/users/14790911/items/BNEHXB7W"],"itemData":{"id":685,"type":"article-journal","abstract":"Thesupport-vector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data.","container-title":"Machine Learning","DOI":"10.1007/BF00994018","ISSN":"1573-0565","issue":"3","journalAbbreviation":"Mach Learn","language":"en","page":"273-297","source":"Springer Link","title":"Support-vector networks","volume":"20","author":[{"family":"Cortes","given":"Corinna"},{"family":"Vapnik","given":"Vladimir"}],"issued":{"date-parts":[["1995",9,1]]}}}],"schema":"https://github.com/citation-style-language/schema/raw/master/csl-citation.json"}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(25)</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neural networks </w:t>
      </w:r>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{"citationID":"gng0NXA3","properties":{"formattedCitation":"(26)","plainCitation":"(26)","noteIndex":0},"citationItems":[{"id":689,"uris":["http://zotero.org/users/14790911/items/QGS4UJQJ"],"itemData":{"id":689,"type":"book","abstract":"This 1996 book is a reliable account of the statistical framework for pattern recognition and machine learning. With unparalleled coverage and a wealth of case-studies this book gives valuable insight into both the theory and the enormously diverse applications (which can be found in remote sensing, astrophysics, engineering and medicine, for example). So that readers can develop their skills and understanding, many of the real data sets used in the book are available from the author's website: www.stats.ox.ac.uk/~ripley/PRbook/. For the same reason, many examples are included to illustrate real problems in pattern recognition. Unifying principles are highlighted, and the author gives an overview of the state of the subject, making the book valuable to experienced researchers in statistics, machine learning/artificial intelligence and engineering. The clear writing style means that the book is also a superb introduction for non-specialists.","DOI":"10.1017/CBO9780511812651","ISBN":"978-0-521-71770-0","publisher":"Cambridge University Press","publisher-place":"Cambridge","source":"Cambridge University Press","title":"Pattern Recognition and Neural Networks","URL":"https://www.cambridge.org/core/books/pattern-recognition-and-neural-networks/4E038249C9BAA06C8F4EE6F044D09C5C","author":[{"family":"Ripley","given":"Brian D."}],"accessed":{"date-parts":[["2025",10,20]]},"issued":{"date-parts":[["1996"]]}}}],"schema":"https://github.com/citation-style-language/schema/raw/master/csl-citation.json"}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(26)</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and tree-based approaches </w:t>
      </w:r>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{"citationID":"oVtFUsyH","properties":{"formattedCitation":"(27)","plainCitation":"(27)","noteIndex":0},"citationItems":[{"id":692,"uris":["http://zotero.org/users/14790911/items/9VMQ7P87"],"itemData":{"id":692,"type":"book","abstract":"The methodology used to construct tree structured rules is the focus of this monograph. Unlike many other statistical procedures, which moved from pencil and paper to calculators, this text's use of trees was unthinkable before computers. Both the practical and theoretical sides have been developed in the authors' study of tree methods. Classification and Regression Trees reflects these two sides, covering the use of trees as a data analysis method, and in a more mathematical framework, proving some of their fundamental properties.","DOI":"10.1201/9781315139470","ISBN":"978-1-315-13947-0","number-of-pages":"368","publisher":"Chapman and Hall/CRC","publisher-place":"New York","title":"Classification and Regression Trees","author":[{"family":"Breiman","given":"Leo"},{"family":"Friedman","given":"Jerome"},{"family":"Olshen","given":"R. A."},{"family":"Stone","given":"Charles J."}],"issued":{"date-parts":[["2017",10,18]]}}}],"schema":"https://github.com/citation-style-language/schema/raw/master/csl-citation.json"}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(27)</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We further applied the SuperLearner R package </w:t>
      </w:r>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{"citationID":"7Sh4JDjn","properties":{"formattedCitation":"(28)","plainCitation":"(28)","noteIndex":0},"citationItems":[{"id":693,"uris":["http://zotero.org/users/14790911/items/4CKSSF5E"],"itemData":{"id":693,"type":"article-journal","container-title":"U.C. Berkeley Division of Biostatistics Working Paper Series","source":"COinS","title":"Super Learner In Prediction","URL":"https://biostats.bepress.com/ucbbiostat/paper266","author":[{"family":"Polley","given":"Eric"},{"family":"Laan","given":"Mark","dropping-particle":"van der"}],"issued":{"date-parts":[["2010",5,3]]}}}],"schema":"https://github.com/citation-style-language/schema/raw/master/csl-citation.json"}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(28)</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an ensemble learning framework that optimally combines multiple algorithms. Specifically, we applied a SuperLearner ensemble to balance interpretability, flexibility, and regularization, which pools complementary models—CART for nonlinear patterns, GLM for main effects, and Elastic Net for correlated predictors—through cross-validated stacking to approximate the optimal weighted combination. By jointly borrowing strength across countries and feature sets, the approach stabilizes variant fitness estimates and reduces noise in data-sparse settings. Variant share trajectories are inherently dependent, as they are derived from relative proportions and observed longitudinally over time. This dependence is explicitly acknowledged and is compatible with the predictive focus of the analysis, which does not rely on independence assumptions required for formal statistical </w:t>
      </w:r>
      <w:r w:rsidR="002E6E64">
        <w:rPr>
          <w:noProof/>
          <w:color w:val="000000" w:themeColor="text1"/>
          <w:sz w:val="22"/>
          <w:szCs w:val="22"/>
          <w:lang w:eastAsia="zh-CN"/>
        </w:rPr>
        <w:t>inference</w:t>
      </w:r>
      <w:r w:rsidRPr="00A3614E">
        <w:rPr>
          <w:noProof/>
          <w:color w:val="000000" w:themeColor="text1"/>
          <w:sz w:val="22"/>
          <w:szCs w:val="22"/>
          <w:lang w:eastAsia="zh-CN"/>
        </w:rPr>
        <w:t xml:space="preserve">. Variants were randomly partitioned into training (50%) and test (50%) sets across all countries and epidemic periods. Model hyperparameters were optimized within the training set using five-fold cross-validation, with fold-averaged accuracy and macro-F1 used as selection criteria </w:t>
      </w:r>
      <w:r w:rsidRPr="00A3614E">
        <w:rPr>
          <w:noProof/>
          <w:color w:val="000000" w:themeColor="text1"/>
          <w:sz w:val="22"/>
          <w:szCs w:val="22"/>
          <w:lang w:eastAsia="zh-CN"/>
        </w:rPr>
        <w:fldChar w:fldCharType="begin"/>
      </w:r>
      <w:r w:rsidR="00AA3F36">
        <w:rPr>
          <w:noProof/>
          <w:color w:val="000000" w:themeColor="text1"/>
          <w:sz w:val="22"/>
          <w:szCs w:val="22"/>
          <w:lang w:eastAsia="zh-CN"/>
        </w:rPr>
        <w:instrText xml:space="preserve"> ADDIN ZOTERO_ITEM CSL_CITATION {"citationID":"mxjRb4hx","properties":{"unsorted":false,"formattedCitation":"(29)","plainCitation":"(29)","noteIndex":0},"citationItems":[{"id":750,"uris":["http://zotero.org/users/14790911/items/7MNH8R7G"],"itemData":{"id":750,"type":"article-journal","abstract":"This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Management","DOI":"10.1016/j.ipm.2009.03.002","ISSN":"0306-4573","issue":"4","journalAbbreviation":"Information Processing &amp; Management","page":"427-437","source":"ScienceDirect","title":"A systematic analysis of performance measures for classification tasks","volume":"45","author":[{"family":"Sokolova","given":"Marina"},{"family":"Lapalme","given":"Guy"}],"issued":{"date-parts":[["2009",7,1]]}}}],"schema":"https://github.com/citation-style-language/schema/raw/master/csl-citation.json"} </w:instrText>
      </w:r>
      <w:r w:rsidRPr="00A3614E">
        <w:rPr>
          <w:noProof/>
          <w:color w:val="000000" w:themeColor="text1"/>
          <w:sz w:val="22"/>
          <w:szCs w:val="22"/>
          <w:lang w:eastAsia="zh-CN"/>
        </w:rPr>
        <w:fldChar w:fldCharType="separate"/>
      </w:r>
      <w:r w:rsidR="00AA3F36">
        <w:rPr>
          <w:noProof/>
          <w:color w:val="000000" w:themeColor="text1"/>
          <w:sz w:val="22"/>
          <w:szCs w:val="22"/>
          <w:lang w:eastAsia="zh-CN"/>
        </w:rPr>
        <w:t>(29)</w:t>
      </w:r>
      <w:r w:rsidRPr="00A3614E">
        <w:rPr>
          <w:noProof/>
          <w:color w:val="000000" w:themeColor="text1"/>
          <w:sz w:val="22"/>
          <w:szCs w:val="22"/>
          <w:lang w:eastAsia="zh-CN"/>
        </w:rPr>
        <w:fldChar w:fldCharType="end"/>
      </w:r>
      <w:r w:rsidRPr="00A3614E">
        <w:rPr>
          <w:noProof/>
          <w:color w:val="000000" w:themeColor="text1"/>
          <w:sz w:val="22"/>
          <w:szCs w:val="22"/>
          <w:lang w:eastAsia="zh-CN"/>
        </w:rPr>
        <w:t>. Final model performance was evaluated on the independent test set, which was not involved in model fitting or tuning.</w:t>
      </w:r>
    </w:p>
    <w:p w14:paraId="3F8B7AAF" w14:textId="77777777" w:rsidR="00004672" w:rsidRPr="00A3614E" w:rsidRDefault="00004672" w:rsidP="00010D51">
      <w:pPr>
        <w:pStyle w:val="BodyText"/>
        <w:spacing w:line="276" w:lineRule="auto"/>
        <w:ind w:left="0"/>
        <w:contextualSpacing/>
        <w:jc w:val="both"/>
        <w:rPr>
          <w:rFonts w:eastAsiaTheme="minorEastAsia"/>
          <w:noProof/>
          <w:color w:val="000000" w:themeColor="text1"/>
          <w:sz w:val="22"/>
          <w:szCs w:val="22"/>
          <w:lang w:eastAsia="ko-KR"/>
        </w:rPr>
      </w:pPr>
    </w:p>
    <w:p w14:paraId="002EEEAF" w14:textId="14B76D94" w:rsidR="00010D51" w:rsidRPr="00A3614E" w:rsidRDefault="00004672" w:rsidP="00010D51">
      <w:pPr>
        <w:pStyle w:val="BodyText"/>
        <w:spacing w:line="276" w:lineRule="auto"/>
        <w:ind w:left="0"/>
        <w:contextualSpacing/>
        <w:jc w:val="both"/>
        <w:rPr>
          <w:noProof/>
          <w:color w:val="000000" w:themeColor="text1"/>
          <w:sz w:val="22"/>
          <w:szCs w:val="22"/>
          <w:lang w:eastAsia="zh-CN"/>
        </w:rPr>
      </w:pPr>
      <w:r w:rsidRPr="00A3614E">
        <w:rPr>
          <w:rFonts w:eastAsiaTheme="minorEastAsia"/>
          <w:b/>
          <w:bCs/>
          <w:color w:val="000000" w:themeColor="text1"/>
          <w:sz w:val="22"/>
          <w:szCs w:val="22"/>
          <w:lang w:eastAsia="ko-KR"/>
        </w:rPr>
        <w:t>Evaluation of model performance and interpretation</w:t>
      </w:r>
      <w:r w:rsidRPr="00A3614E">
        <w:rPr>
          <w:rFonts w:eastAsiaTheme="minorEastAsia"/>
          <w:color w:val="000000" w:themeColor="text1"/>
          <w:sz w:val="22"/>
          <w:szCs w:val="22"/>
          <w:lang w:eastAsia="ko-KR"/>
        </w:rPr>
        <w:t>.</w:t>
      </w:r>
      <w:r w:rsidRPr="00A3614E">
        <w:rPr>
          <w:color w:val="000000" w:themeColor="text1"/>
          <w:sz w:val="22"/>
          <w:szCs w:val="22"/>
          <w:lang w:eastAsia="zh-CN"/>
        </w:rPr>
        <w:t xml:space="preserve"> For the categorical outcomes of weekly peak share and dominance duration, we report out-of-sample overall accuracy and macro-F1, evaluated on the held-out test set. Accuracy summarizes the proportion of correctly classified variants, while macro-F1 equally weights precision and recall across classes to account for class imbalance</w:t>
      </w:r>
      <w:r w:rsidR="00097129">
        <w:rPr>
          <w:color w:val="000000" w:themeColor="text1"/>
          <w:sz w:val="22"/>
          <w:szCs w:val="22"/>
          <w:lang w:eastAsia="zh-CN"/>
        </w:rPr>
        <w:t xml:space="preserve"> </w:t>
      </w:r>
      <w:r w:rsidR="00097129">
        <w:rPr>
          <w:color w:val="000000" w:themeColor="text1"/>
          <w:sz w:val="22"/>
          <w:szCs w:val="22"/>
          <w:lang w:eastAsia="zh-CN"/>
        </w:rPr>
        <w:fldChar w:fldCharType="begin"/>
      </w:r>
      <w:r w:rsidR="00E521EF">
        <w:rPr>
          <w:color w:val="000000" w:themeColor="text1"/>
          <w:sz w:val="22"/>
          <w:szCs w:val="22"/>
          <w:lang w:eastAsia="zh-CN"/>
        </w:rPr>
        <w:instrText xml:space="preserve"> ADDIN ZOTERO_ITEM CSL_CITATION {"citationID":"nJwnyv2Q","properties":{"unsorted":false,"formattedCitation":"(29)","plainCitation":"(29)","noteIndex":0},"citationItems":[{"id":750,"uris":["http://zotero.org/users/14790911/items/7MNH8R7G"],"itemData":{"id":750,"type":"article-journal","abstract":"This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Management","DOI":"10.1016/j.ipm.2009.03.002","ISSN":"0306-4573","issue":"4","journalAbbreviation":"Information Processing &amp; Management","page":"427-437","source":"ScienceDirect","title":"A systematic analysis of performance measures for classification tasks","volume":"45","author":[{"family":"Sokolova","given":"Marina"},{"family":"Lapalme","given":"Guy"}],"issued":{"date-parts":[["2009",7,1]]}}}],"schema":"https://github.com/citation-style-language/schema/raw/master/csl-citation.json"} </w:instrText>
      </w:r>
      <w:r w:rsidR="00097129">
        <w:rPr>
          <w:color w:val="000000" w:themeColor="text1"/>
          <w:sz w:val="22"/>
          <w:szCs w:val="22"/>
          <w:lang w:eastAsia="zh-CN"/>
        </w:rPr>
        <w:fldChar w:fldCharType="separate"/>
      </w:r>
      <w:r w:rsidR="00E521EF">
        <w:rPr>
          <w:noProof/>
          <w:color w:val="000000" w:themeColor="text1"/>
          <w:sz w:val="22"/>
          <w:szCs w:val="22"/>
          <w:lang w:eastAsia="zh-CN"/>
        </w:rPr>
        <w:t>(29)</w:t>
      </w:r>
      <w:r w:rsidR="00097129">
        <w:rPr>
          <w:color w:val="000000" w:themeColor="text1"/>
          <w:sz w:val="22"/>
          <w:szCs w:val="22"/>
          <w:lang w:eastAsia="zh-CN"/>
        </w:rPr>
        <w:fldChar w:fldCharType="end"/>
      </w:r>
      <w:r w:rsidRPr="00A3614E">
        <w:rPr>
          <w:color w:val="000000" w:themeColor="text1"/>
          <w:sz w:val="22"/>
          <w:szCs w:val="22"/>
          <w:lang w:eastAsia="zh-CN"/>
        </w:rPr>
        <w:t xml:space="preserve">. Classification decision thresholds and model hyperparameters were selected within the training set via cross-validation and then fixed for evaluation on the test set. To further interpret model behavior, we applied variable importance analysis and SHAP decomposition </w:t>
      </w:r>
      <w:r w:rsidRPr="00A3614E">
        <w:rPr>
          <w:color w:val="000000" w:themeColor="text1"/>
          <w:sz w:val="22"/>
          <w:szCs w:val="22"/>
          <w:lang w:eastAsia="zh-CN"/>
        </w:rPr>
        <w:fldChar w:fldCharType="begin"/>
      </w:r>
      <w:r w:rsidR="00E521EF">
        <w:rPr>
          <w:color w:val="000000" w:themeColor="text1"/>
          <w:sz w:val="22"/>
          <w:szCs w:val="22"/>
          <w:lang w:eastAsia="zh-CN"/>
        </w:rPr>
        <w:instrText xml:space="preserve"> ADDIN ZOTERO_ITEM CSL_CITATION {"citationID":"99x8lwSH","properties":{"formattedCitation":"(30)","plainCitation":"(30)","noteIndex":0},"citationItems":[{"id":700,"uris":["http://zotero.org/users/14790911/items/YVFQ8PHQ"],"itemData":{"id":700,"type":"article","abstract":"Understanding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10,20]]},"issued":{"date-parts":[["2017",11,25]]}}}],"schema":"https://github.com/citation-style-language/schema/raw/master/csl-citation.json"} </w:instrText>
      </w:r>
      <w:r w:rsidRPr="00A3614E">
        <w:rPr>
          <w:color w:val="000000" w:themeColor="text1"/>
          <w:sz w:val="22"/>
          <w:szCs w:val="22"/>
          <w:lang w:eastAsia="zh-CN"/>
        </w:rPr>
        <w:fldChar w:fldCharType="separate"/>
      </w:r>
      <w:r w:rsidR="00E521EF">
        <w:rPr>
          <w:rFonts w:eastAsiaTheme="minorEastAsia"/>
          <w:color w:val="000000"/>
          <w:sz w:val="22"/>
          <w:szCs w:val="22"/>
          <w:lang w:eastAsia="ko-KR"/>
          <w14:ligatures w14:val="standardContextual"/>
        </w:rPr>
        <w:t>(30)</w:t>
      </w:r>
      <w:r w:rsidRPr="00A3614E">
        <w:rPr>
          <w:color w:val="000000" w:themeColor="text1"/>
          <w:sz w:val="22"/>
          <w:szCs w:val="22"/>
          <w:lang w:eastAsia="zh-CN"/>
        </w:rPr>
        <w:fldChar w:fldCharType="end"/>
      </w:r>
      <w:r w:rsidRPr="00A3614E">
        <w:rPr>
          <w:color w:val="000000" w:themeColor="text1"/>
          <w:sz w:val="22"/>
          <w:szCs w:val="22"/>
          <w:lang w:eastAsia="zh-CN"/>
        </w:rPr>
        <w:t xml:space="preserve">, which together identify key predictors and quantify their contributions at both global and local levels. The entire workflow, from feature extraction to model fitting, evaluation, and interpretation, is summarized in Figure </w:t>
      </w:r>
      <w:r w:rsidRPr="00A3614E">
        <w:rPr>
          <w:rFonts w:eastAsiaTheme="minorEastAsia"/>
          <w:color w:val="000000" w:themeColor="text1"/>
          <w:sz w:val="22"/>
          <w:szCs w:val="22"/>
          <w:lang w:eastAsia="ko-KR"/>
        </w:rPr>
        <w:t>6</w:t>
      </w:r>
      <w:r w:rsidRPr="00A3614E">
        <w:rPr>
          <w:color w:val="000000" w:themeColor="text1"/>
          <w:sz w:val="22"/>
          <w:szCs w:val="22"/>
          <w:lang w:eastAsia="zh-CN"/>
        </w:rPr>
        <w:t>.</w:t>
      </w:r>
      <w:r w:rsidR="00B05BB8">
        <w:rPr>
          <w:color w:val="000000" w:themeColor="text1"/>
          <w:sz w:val="22"/>
          <w:szCs w:val="22"/>
          <w:lang w:eastAsia="zh-CN"/>
        </w:rPr>
        <w:t xml:space="preserve"> </w:t>
      </w:r>
      <w:r w:rsidR="00B05BB8" w:rsidRPr="00B05BB8">
        <w:rPr>
          <w:color w:val="000000" w:themeColor="text1"/>
          <w:sz w:val="22"/>
          <w:szCs w:val="22"/>
          <w:lang w:eastAsia="zh-CN"/>
        </w:rPr>
        <w:t xml:space="preserve">Variants that never exceeded the 1% detection threshold, as well as variants that had already </w:t>
      </w:r>
      <w:r w:rsidR="00B05BB8" w:rsidRPr="00B05BB8">
        <w:rPr>
          <w:color w:val="000000" w:themeColor="text1"/>
          <w:sz w:val="22"/>
          <w:szCs w:val="22"/>
          <w:lang w:eastAsia="zh-CN"/>
        </w:rPr>
        <w:lastRenderedPageBreak/>
        <w:t>exceeded a 20% share at the start of the initial window, were excluded from model fitting because they do not contain informative early-stage dynamics. Details of excluded variants are listed in Table S</w:t>
      </w:r>
      <w:r w:rsidR="00E517EB">
        <w:rPr>
          <w:rFonts w:hint="eastAsia"/>
          <w:color w:val="000000" w:themeColor="text1"/>
          <w:sz w:val="22"/>
          <w:szCs w:val="22"/>
          <w:lang w:eastAsia="zh-CN"/>
        </w:rPr>
        <w:t>5</w:t>
      </w:r>
      <w:r w:rsidR="00B05BB8" w:rsidRPr="00B05BB8">
        <w:rPr>
          <w:color w:val="000000" w:themeColor="text1"/>
          <w:sz w:val="22"/>
          <w:szCs w:val="22"/>
          <w:lang w:eastAsia="zh-CN"/>
        </w:rPr>
        <w:t>.</w:t>
      </w:r>
      <w:r w:rsidR="00B05BB8">
        <w:rPr>
          <w:color w:val="000000" w:themeColor="text1"/>
          <w:sz w:val="22"/>
          <w:szCs w:val="22"/>
          <w:lang w:eastAsia="zh-CN"/>
        </w:rPr>
        <w:t xml:space="preserve"> </w:t>
      </w:r>
    </w:p>
    <w:p w14:paraId="2B69C891" w14:textId="77777777"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ko-KR"/>
        </w:rPr>
      </w:pPr>
    </w:p>
    <w:p w14:paraId="2140C003" w14:textId="45094FC8" w:rsidR="00010D51" w:rsidRPr="00A3614E" w:rsidRDefault="00010D51" w:rsidP="00010D51">
      <w:pPr>
        <w:pStyle w:val="BodyText"/>
        <w:spacing w:line="276" w:lineRule="auto"/>
        <w:ind w:left="0"/>
        <w:jc w:val="both"/>
        <w:rPr>
          <w:rFonts w:eastAsiaTheme="minorEastAsia"/>
          <w:color w:val="000000" w:themeColor="text1"/>
          <w:sz w:val="22"/>
          <w:szCs w:val="22"/>
          <w:lang w:eastAsia="zh-CN"/>
        </w:rPr>
      </w:pPr>
      <w:r w:rsidRPr="00A3614E">
        <w:rPr>
          <w:rFonts w:eastAsiaTheme="minorEastAsia"/>
          <w:b/>
          <w:bCs/>
          <w:color w:val="000000" w:themeColor="text1"/>
          <w:sz w:val="22"/>
          <w:szCs w:val="22"/>
          <w:lang w:eastAsia="zh-CN"/>
        </w:rPr>
        <w:t>Data and Code Availability</w:t>
      </w:r>
      <w:r w:rsidR="00BC62D3" w:rsidRPr="00A3614E">
        <w:rPr>
          <w:rFonts w:eastAsiaTheme="minorEastAsia"/>
          <w:b/>
          <w:bCs/>
          <w:color w:val="000000" w:themeColor="text1"/>
          <w:sz w:val="22"/>
          <w:szCs w:val="22"/>
          <w:lang w:eastAsia="ko-KR"/>
        </w:rPr>
        <w:t xml:space="preserve">: </w:t>
      </w:r>
      <w:r w:rsidRPr="00A3614E">
        <w:rPr>
          <w:rFonts w:eastAsiaTheme="minorEastAsia"/>
          <w:color w:val="000000" w:themeColor="text1"/>
          <w:sz w:val="22"/>
          <w:szCs w:val="22"/>
          <w:lang w:eastAsia="zh-CN"/>
        </w:rPr>
        <w:t>All analysis code and processed data used in this study are publicly available at:</w:t>
      </w:r>
    </w:p>
    <w:p w14:paraId="4C130177" w14:textId="77777777" w:rsidR="00010D51" w:rsidRPr="00A3614E" w:rsidRDefault="00010D51" w:rsidP="00010D51">
      <w:pPr>
        <w:pStyle w:val="BodyText"/>
        <w:spacing w:line="276" w:lineRule="auto"/>
        <w:ind w:left="0"/>
        <w:jc w:val="both"/>
        <w:rPr>
          <w:rFonts w:eastAsiaTheme="minorEastAsia"/>
          <w:color w:val="000000" w:themeColor="text1"/>
          <w:sz w:val="22"/>
          <w:szCs w:val="22"/>
          <w:lang w:eastAsia="zh-CN"/>
        </w:rPr>
      </w:pPr>
      <w:r w:rsidRPr="00A3614E">
        <w:rPr>
          <w:rFonts w:eastAsiaTheme="minorEastAsia"/>
          <w:color w:val="000000" w:themeColor="text1"/>
          <w:sz w:val="22"/>
          <w:szCs w:val="22"/>
          <w:lang w:eastAsia="zh-CN"/>
        </w:rPr>
        <w:t>https://github.com/UConn-Health-Disease-Modeling/2025_Variants_Prediction.git</w:t>
      </w:r>
    </w:p>
    <w:p w14:paraId="102C0BEC" w14:textId="77777777" w:rsidR="00010D51" w:rsidRPr="00A3614E" w:rsidRDefault="00010D51" w:rsidP="00010D51">
      <w:pPr>
        <w:pStyle w:val="BodyText"/>
        <w:spacing w:line="276" w:lineRule="auto"/>
        <w:ind w:left="0"/>
        <w:jc w:val="both"/>
        <w:rPr>
          <w:rFonts w:eastAsiaTheme="minorEastAsia"/>
          <w:color w:val="000000" w:themeColor="text1"/>
          <w:sz w:val="22"/>
          <w:szCs w:val="22"/>
          <w:lang w:eastAsia="zh-CN"/>
        </w:rPr>
      </w:pPr>
    </w:p>
    <w:p w14:paraId="6B3E2171" w14:textId="57195ED2" w:rsidR="00010D51" w:rsidRDefault="00010D51" w:rsidP="00BC62D3">
      <w:pPr>
        <w:pStyle w:val="BodyText"/>
        <w:spacing w:line="276" w:lineRule="auto"/>
        <w:ind w:left="0"/>
        <w:jc w:val="both"/>
        <w:rPr>
          <w:rFonts w:eastAsiaTheme="minorEastAsia"/>
          <w:color w:val="000000" w:themeColor="text1"/>
          <w:sz w:val="22"/>
          <w:szCs w:val="22"/>
        </w:rPr>
      </w:pPr>
      <w:r w:rsidRPr="00A3614E">
        <w:rPr>
          <w:rFonts w:eastAsiaTheme="minorEastAsia"/>
          <w:b/>
          <w:bCs/>
          <w:color w:val="000000" w:themeColor="text1"/>
          <w:sz w:val="22"/>
          <w:szCs w:val="22"/>
          <w:lang w:eastAsia="zh-CN"/>
        </w:rPr>
        <w:t>Funding</w:t>
      </w:r>
      <w:r w:rsidR="00BC62D3" w:rsidRPr="00A3614E">
        <w:rPr>
          <w:rFonts w:eastAsiaTheme="minorEastAsia"/>
          <w:b/>
          <w:bCs/>
          <w:color w:val="000000" w:themeColor="text1"/>
          <w:sz w:val="22"/>
          <w:szCs w:val="22"/>
          <w:lang w:eastAsia="ko-KR"/>
        </w:rPr>
        <w:t xml:space="preserve">: </w:t>
      </w:r>
      <w:r w:rsidRPr="00A3614E">
        <w:rPr>
          <w:rFonts w:eastAsia="Malgun Gothic"/>
          <w:sz w:val="22"/>
          <w:szCs w:val="22"/>
        </w:rPr>
        <w:t>This research was supported by a grant of the Korea Disease Control and Prevention Agency (KDCA), Republic of Korea (grant number: 2025-03-002)</w:t>
      </w:r>
      <w:r w:rsidRPr="00A3614E">
        <w:rPr>
          <w:rFonts w:eastAsia="Malgun Gothic"/>
          <w:sz w:val="22"/>
          <w:szCs w:val="22"/>
          <w:lang w:eastAsia="ko-KR"/>
        </w:rPr>
        <w:t xml:space="preserve"> and New Faculty Startup Fund from UConn Health (grant number 208069-10100-72525-10)</w:t>
      </w:r>
      <w:r w:rsidRPr="00A3614E">
        <w:rPr>
          <w:rFonts w:eastAsia="Malgun Gothic"/>
          <w:sz w:val="22"/>
          <w:szCs w:val="22"/>
        </w:rPr>
        <w:t>.</w:t>
      </w:r>
      <w:r w:rsidRPr="00A3614E">
        <w:rPr>
          <w:rFonts w:eastAsia="Malgun Gothic"/>
          <w:sz w:val="22"/>
          <w:szCs w:val="22"/>
          <w:lang w:eastAsia="ko-KR"/>
        </w:rPr>
        <w:t xml:space="preserve"> </w:t>
      </w:r>
      <w:r w:rsidRPr="00A3614E">
        <w:rPr>
          <w:rFonts w:eastAsiaTheme="minorEastAsia"/>
          <w:color w:val="000000" w:themeColor="text1"/>
          <w:sz w:val="22"/>
          <w:szCs w:val="22"/>
        </w:rPr>
        <w:t>The funders had no role in study design, data collection and analysis, decision to publish, or preparation of the manuscript.</w:t>
      </w:r>
    </w:p>
    <w:p w14:paraId="747151CF" w14:textId="77777777" w:rsidR="000761EF" w:rsidRDefault="000761EF" w:rsidP="00BC62D3">
      <w:pPr>
        <w:pStyle w:val="BodyText"/>
        <w:spacing w:line="276" w:lineRule="auto"/>
        <w:ind w:left="0"/>
        <w:jc w:val="both"/>
        <w:rPr>
          <w:rFonts w:eastAsiaTheme="minorEastAsia"/>
          <w:color w:val="000000" w:themeColor="text1"/>
          <w:sz w:val="22"/>
          <w:szCs w:val="22"/>
        </w:rPr>
      </w:pPr>
    </w:p>
    <w:p w14:paraId="7EBA677C" w14:textId="77777777" w:rsidR="00010D51" w:rsidRDefault="00010D51" w:rsidP="00010D51">
      <w:pPr>
        <w:pStyle w:val="BodyText"/>
        <w:spacing w:line="276" w:lineRule="auto"/>
        <w:ind w:left="0"/>
        <w:jc w:val="both"/>
        <w:rPr>
          <w:rFonts w:eastAsiaTheme="minorEastAsia"/>
          <w:b/>
          <w:bCs/>
          <w:color w:val="000000" w:themeColor="text1"/>
          <w:lang w:eastAsia="ko-KR"/>
        </w:rPr>
      </w:pPr>
      <w:r w:rsidRPr="00A3614E">
        <w:rPr>
          <w:rFonts w:eastAsiaTheme="minorEastAsia"/>
          <w:b/>
          <w:bCs/>
          <w:color w:val="000000" w:themeColor="text1"/>
          <w:lang w:eastAsia="ko-KR"/>
        </w:rPr>
        <w:t>References</w:t>
      </w:r>
    </w:p>
    <w:p w14:paraId="0D720F21" w14:textId="77777777" w:rsidR="00AB428D" w:rsidRPr="00A3614E" w:rsidRDefault="00AB428D" w:rsidP="00010D51">
      <w:pPr>
        <w:pStyle w:val="BodyText"/>
        <w:spacing w:line="276" w:lineRule="auto"/>
        <w:ind w:left="0"/>
        <w:jc w:val="both"/>
        <w:rPr>
          <w:rFonts w:eastAsiaTheme="minorEastAsia"/>
          <w:b/>
          <w:bCs/>
          <w:color w:val="000000" w:themeColor="text1"/>
          <w:lang w:eastAsia="ko-KR"/>
        </w:rPr>
      </w:pPr>
    </w:p>
    <w:bookmarkStart w:id="6" w:name="_Hlk221745633"/>
    <w:p w14:paraId="4E898585" w14:textId="77777777" w:rsidR="00AF51C0" w:rsidRPr="00AF51C0" w:rsidRDefault="00010D51" w:rsidP="00AF51C0">
      <w:pPr>
        <w:pStyle w:val="Bibliography"/>
      </w:pPr>
      <w:r w:rsidRPr="00A3614E">
        <w:rPr>
          <w:color w:val="000000" w:themeColor="text1"/>
        </w:rPr>
        <w:fldChar w:fldCharType="begin"/>
      </w:r>
      <w:r w:rsidR="00AF51C0">
        <w:rPr>
          <w:color w:val="000000" w:themeColor="text1"/>
        </w:rPr>
        <w:instrText xml:space="preserve"> ADDIN ZOTERO_BIBL {"uncited":[],"omitted":[],"custom":[]} CSL_BIBLIOGRAPHY </w:instrText>
      </w:r>
      <w:r w:rsidRPr="00A3614E">
        <w:rPr>
          <w:color w:val="000000" w:themeColor="text1"/>
        </w:rPr>
        <w:fldChar w:fldCharType="separate"/>
      </w:r>
      <w:r w:rsidR="00AF51C0" w:rsidRPr="00AF51C0">
        <w:t>1.</w:t>
      </w:r>
      <w:r w:rsidR="00AF51C0" w:rsidRPr="00AF51C0">
        <w:tab/>
        <w:t xml:space="preserve">Harvey WT, Carabelli AM, Jackson B, Gupta RK, Thomson EC, Harrison EM, et al. SARS-CoV-2 variants, spike mutations and immune escape. Nat Rev Microbiol. 2021 Jul;19(7):409–24. </w:t>
      </w:r>
    </w:p>
    <w:p w14:paraId="0CD4156A" w14:textId="77777777" w:rsidR="00AF51C0" w:rsidRPr="00AF51C0" w:rsidRDefault="00AF51C0" w:rsidP="00AF51C0">
      <w:pPr>
        <w:pStyle w:val="Bibliography"/>
      </w:pPr>
      <w:r w:rsidRPr="00AF51C0">
        <w:t>2.</w:t>
      </w:r>
      <w:r w:rsidRPr="00AF51C0">
        <w:tab/>
        <w:t>Tracking SARS-CoV-2 variants [Internet]. [cited 2025 Oct 20]. Available from: https://www.who.int/activities/tracking-SARS-CoV-2-variants</w:t>
      </w:r>
    </w:p>
    <w:p w14:paraId="3F462BAB" w14:textId="77777777" w:rsidR="00AF51C0" w:rsidRPr="00AF51C0" w:rsidRDefault="00AF51C0" w:rsidP="00AF51C0">
      <w:pPr>
        <w:pStyle w:val="Bibliography"/>
      </w:pPr>
      <w:r w:rsidRPr="00AF51C0">
        <w:t>3.</w:t>
      </w:r>
      <w:r w:rsidRPr="00AF51C0">
        <w:tab/>
        <w:t>CDC. COVID-19. 2025 [cited 2025 Oct 20]. CDC’s Role in Tracking Variants. Available from: https://www.cdc.gov/covid/php/variants/index.html</w:t>
      </w:r>
    </w:p>
    <w:p w14:paraId="020626C0" w14:textId="77777777" w:rsidR="00AF51C0" w:rsidRPr="00AF51C0" w:rsidRDefault="00AF51C0" w:rsidP="00AF51C0">
      <w:pPr>
        <w:pStyle w:val="Bibliography"/>
      </w:pPr>
      <w:r w:rsidRPr="00AF51C0">
        <w:t>4.</w:t>
      </w:r>
      <w:r w:rsidRPr="00AF51C0">
        <w:tab/>
        <w:t xml:space="preserve">Brito AF, Semenova E, Dudas G, Hassler GW, Kalinich CC, Kraemer MUG, et al. Global disparities in SARS-CoV-2 genomic surveillance. Nat Commun. 2022 Nov 16;13(1):7003. </w:t>
      </w:r>
    </w:p>
    <w:p w14:paraId="41094F3E" w14:textId="77777777" w:rsidR="00AF51C0" w:rsidRPr="00AF51C0" w:rsidRDefault="00AF51C0" w:rsidP="00AF51C0">
      <w:pPr>
        <w:pStyle w:val="Bibliography"/>
      </w:pPr>
      <w:r w:rsidRPr="00AF51C0">
        <w:t>5.</w:t>
      </w:r>
      <w:r w:rsidRPr="00AF51C0">
        <w:tab/>
        <w:t xml:space="preserve">Chowell G, Skums P. Investigating and forecasting infectious disease dynamics using epidemiological and molecular surveillance data. Phys Life Rev. 2024 Dec 1;51:294–327. </w:t>
      </w:r>
    </w:p>
    <w:p w14:paraId="1D31DFE9" w14:textId="77777777" w:rsidR="00AF51C0" w:rsidRPr="00AF51C0" w:rsidRDefault="00AF51C0" w:rsidP="00AF51C0">
      <w:pPr>
        <w:pStyle w:val="Bibliography"/>
      </w:pPr>
      <w:r w:rsidRPr="00AF51C0">
        <w:t>6.</w:t>
      </w:r>
      <w:r w:rsidRPr="00AF51C0">
        <w:tab/>
        <w:t xml:space="preserve">Hamelin DJ, Scicluna M, Saadie I, Mostefai F, Grenier JC, Baron C, et al. Predicting pathogen evolution and immune evasion in the age of artificial intelligence. Comput Struct Biotechnol J. 2025 Jan 1;27:1370–82. </w:t>
      </w:r>
    </w:p>
    <w:p w14:paraId="1D67A4B8" w14:textId="77777777" w:rsidR="00AF51C0" w:rsidRPr="00AF51C0" w:rsidRDefault="00AF51C0" w:rsidP="00AF51C0">
      <w:pPr>
        <w:pStyle w:val="Bibliography"/>
      </w:pPr>
      <w:r w:rsidRPr="00AF51C0">
        <w:t>7.</w:t>
      </w:r>
      <w:r w:rsidRPr="00AF51C0">
        <w:tab/>
        <w:t xml:space="preserve">Obermeyer F, Jankowiak M, Barkas N, Schaffner SF, Pyle JD, Yurkovetskiy L, et al. Analysis of 6.4 million SARS-CoV-2 genomes identifies mutations associated with fitness. Science. 2022 Jun 17;376(6599):1327–32. </w:t>
      </w:r>
    </w:p>
    <w:p w14:paraId="2C26EDBA" w14:textId="77777777" w:rsidR="00AF51C0" w:rsidRPr="00AF51C0" w:rsidRDefault="00AF51C0" w:rsidP="00AF51C0">
      <w:pPr>
        <w:pStyle w:val="Bibliography"/>
      </w:pPr>
      <w:r w:rsidRPr="00AF51C0">
        <w:t>8.</w:t>
      </w:r>
      <w:r w:rsidRPr="00AF51C0">
        <w:tab/>
        <w:t xml:space="preserve">Abousamra E, Figgins M, Bedford T. Fitness models provide accurate short-term forecasts of SARS-CoV-2 variant frequency. PLOS Comput Biol. 2024 Sep 6;20(9):e1012443. </w:t>
      </w:r>
    </w:p>
    <w:p w14:paraId="6C7ACBF7" w14:textId="77777777" w:rsidR="00AF51C0" w:rsidRPr="00AF51C0" w:rsidRDefault="00AF51C0" w:rsidP="00AF51C0">
      <w:pPr>
        <w:pStyle w:val="Bibliography"/>
      </w:pPr>
      <w:r w:rsidRPr="00AF51C0">
        <w:t>9.</w:t>
      </w:r>
      <w:r w:rsidRPr="00AF51C0">
        <w:tab/>
        <w:t xml:space="preserve">Charniga K, Park SW, Akhmetzhanov AR, Cori A, Dushoff J, Funk S, et al. Best practices for estimating and reporting epidemiological delay distributions of infectious diseases. PLOS Comput Biol. 2024 Oct 28;20(10):e1012520. </w:t>
      </w:r>
    </w:p>
    <w:p w14:paraId="3DEFA2F0" w14:textId="77777777" w:rsidR="00AF51C0" w:rsidRPr="00AF51C0" w:rsidRDefault="00AF51C0" w:rsidP="00AF51C0">
      <w:pPr>
        <w:pStyle w:val="Bibliography"/>
      </w:pPr>
      <w:r w:rsidRPr="00AF51C0">
        <w:t>10.</w:t>
      </w:r>
      <w:r w:rsidRPr="00AF51C0">
        <w:tab/>
        <w:t xml:space="preserve">Alberti T, Faranda D. On the uncertainty of real-time predictions of epidemic growths: A COVID-19 case study for China and Italy. Commun Nonlinear Sci Numer Simul. 2020 Nov;90:105372. </w:t>
      </w:r>
    </w:p>
    <w:p w14:paraId="2D4AB3B8" w14:textId="77777777" w:rsidR="00AF51C0" w:rsidRPr="00AF51C0" w:rsidRDefault="00AF51C0" w:rsidP="00AF51C0">
      <w:pPr>
        <w:pStyle w:val="Bibliography"/>
      </w:pPr>
      <w:r w:rsidRPr="00AF51C0">
        <w:t>11.</w:t>
      </w:r>
      <w:r w:rsidRPr="00AF51C0">
        <w:tab/>
        <w:t>Figgins MD, Bedford T. Frequency dynamics predict viral fitness, antigenic relationships and epidemic growth [Internet]. medRxiv; 2025 [cited 2025 Oct 20]. p. 2024.12.02.24318334. Available from: https://www.medrxiv.org/content/10.1101/2024.12.02.24318334v3</w:t>
      </w:r>
    </w:p>
    <w:p w14:paraId="25DD6E37" w14:textId="77777777" w:rsidR="00AF51C0" w:rsidRPr="00AF51C0" w:rsidRDefault="00AF51C0" w:rsidP="00AF51C0">
      <w:pPr>
        <w:pStyle w:val="Bibliography"/>
      </w:pPr>
      <w:r w:rsidRPr="00AF51C0">
        <w:lastRenderedPageBreak/>
        <w:t>12.</w:t>
      </w:r>
      <w:r w:rsidRPr="00AF51C0">
        <w:tab/>
        <w:t xml:space="preserve">Hie B, Zhong ED, Berger B, Bryson B. Learning the language of viral evolution and escape. Science. 2021 Jan 15;371(6526):284–8. </w:t>
      </w:r>
    </w:p>
    <w:p w14:paraId="3AD9FBB0" w14:textId="77777777" w:rsidR="00AF51C0" w:rsidRPr="00AF51C0" w:rsidRDefault="00AF51C0" w:rsidP="00AF51C0">
      <w:pPr>
        <w:pStyle w:val="Bibliography"/>
      </w:pPr>
      <w:r w:rsidRPr="00AF51C0">
        <w:t>13.</w:t>
      </w:r>
      <w:r w:rsidRPr="00AF51C0">
        <w:tab/>
        <w:t>Susswein Z, Johnson KE, Kassa R, Parastaran M, Peng V, Wolansky L, et al. Leveraging global genomic sequencing data to estimate local variant dynamics [Internet]. medRxiv; 2023 [cited 2025 Oct 20]. p. 2023.01.02.23284123. Available from: https://www.medrxiv.org/content/10.1101/2023.01.02.23284123v4</w:t>
      </w:r>
    </w:p>
    <w:p w14:paraId="57996242" w14:textId="77777777" w:rsidR="00AF51C0" w:rsidRPr="00AF51C0" w:rsidRDefault="00AF51C0" w:rsidP="00AF51C0">
      <w:pPr>
        <w:pStyle w:val="Bibliography"/>
      </w:pPr>
      <w:r w:rsidRPr="00AF51C0">
        <w:t>14.</w:t>
      </w:r>
      <w:r w:rsidRPr="00AF51C0">
        <w:tab/>
        <w:t>GISAID. GISAID [Internet]. [cited 2025 Oct 20]. Available from: https://epicov.org/epi3/epi_set/EPI_SET_20220330me</w:t>
      </w:r>
    </w:p>
    <w:p w14:paraId="325B5738" w14:textId="77777777" w:rsidR="00AF51C0" w:rsidRPr="00AF51C0" w:rsidRDefault="00AF51C0" w:rsidP="00AF51C0">
      <w:pPr>
        <w:pStyle w:val="Bibliography"/>
      </w:pPr>
      <w:r w:rsidRPr="00AF51C0">
        <w:t>15.</w:t>
      </w:r>
      <w:r w:rsidRPr="00AF51C0">
        <w:tab/>
        <w:t>Organization WH. SARS-CoV-2 genomic sequencing for public health goals: interim guidance, 8 January 2021. 2021 [cited 2025 Jul 16]; Available from: https://iris.who.int/handle/10665/338483</w:t>
      </w:r>
    </w:p>
    <w:p w14:paraId="752DBFA1" w14:textId="77777777" w:rsidR="00AF51C0" w:rsidRPr="00AF51C0" w:rsidRDefault="00AF51C0" w:rsidP="00AF51C0">
      <w:pPr>
        <w:pStyle w:val="Bibliography"/>
      </w:pPr>
      <w:r w:rsidRPr="00AF51C0">
        <w:t>16.</w:t>
      </w:r>
      <w:r w:rsidRPr="00AF51C0">
        <w:tab/>
        <w:t xml:space="preserve">Hodcroft EB, Zuber M, Nadeau S, Vaughan TG, Crawford KHD, Althaus CL, et al. Spread of a SARS-CoV-2 variant through Europe in the summer of 2020. Nature. 2021 Jul;595(7869):707–12. </w:t>
      </w:r>
    </w:p>
    <w:p w14:paraId="771D7DD8" w14:textId="77777777" w:rsidR="00AF51C0" w:rsidRPr="00AF51C0" w:rsidRDefault="00AF51C0" w:rsidP="00AF51C0">
      <w:pPr>
        <w:pStyle w:val="Bibliography"/>
      </w:pPr>
      <w:r w:rsidRPr="00AF51C0">
        <w:t>17.</w:t>
      </w:r>
      <w:r w:rsidRPr="00AF51C0">
        <w:tab/>
        <w:t xml:space="preserve">Chen C, Nadeau S, Yared M, Voinov P, Xie N, Roemer C, et al. CoV-Spectrum: analysis of globally shared SARS-CoV-2 data to identify and characterize new variants. Bioinforma Oxf Engl. 2022 Mar 4;38(6):1735–7. </w:t>
      </w:r>
    </w:p>
    <w:p w14:paraId="4171B923" w14:textId="77777777" w:rsidR="00AF51C0" w:rsidRPr="00AF51C0" w:rsidRDefault="00AF51C0" w:rsidP="00AF51C0">
      <w:pPr>
        <w:pStyle w:val="Bibliography"/>
      </w:pPr>
      <w:r w:rsidRPr="00AF51C0">
        <w:t>18.</w:t>
      </w:r>
      <w:r w:rsidRPr="00AF51C0">
        <w:tab/>
        <w:t xml:space="preserve">Kraemer MUG, Hill V, Ruis C, Dellicour S, Bajaj S, McCrone JT, et al. Spatiotemporal invasion dynamics of SARS-CoV-2 lineage B.1.1.7 emergence. Science. 2021 Aug 20;373(6557):889–95. </w:t>
      </w:r>
    </w:p>
    <w:p w14:paraId="42D83C52" w14:textId="77777777" w:rsidR="00AF51C0" w:rsidRPr="00AF51C0" w:rsidRDefault="00AF51C0" w:rsidP="00AF51C0">
      <w:pPr>
        <w:pStyle w:val="Bibliography"/>
      </w:pPr>
      <w:r w:rsidRPr="00AF51C0">
        <w:t>19.</w:t>
      </w:r>
      <w:r w:rsidRPr="00AF51C0">
        <w:tab/>
        <w:t xml:space="preserve">Volz E, Mishra S, Chand M, Barrett JC, Johnson R, Geidelberg L, et al. Assessing transmissibility of SARS-CoV-2 lineage B.1.1.7 in England. Nature. 2021 May;593(7858):266–9. </w:t>
      </w:r>
    </w:p>
    <w:p w14:paraId="7C8EF000" w14:textId="77777777" w:rsidR="00AF51C0" w:rsidRPr="00AF51C0" w:rsidRDefault="00AF51C0" w:rsidP="00AF51C0">
      <w:pPr>
        <w:pStyle w:val="Bibliography"/>
      </w:pPr>
      <w:r w:rsidRPr="00AF51C0">
        <w:t>20.</w:t>
      </w:r>
      <w:r w:rsidRPr="00AF51C0">
        <w:tab/>
        <w:t xml:space="preserve">Warton DI, Hui FKC. The arcsine is asinine: the analysis of proportions in ecology. Ecology. 2011;92(1):3–10. </w:t>
      </w:r>
    </w:p>
    <w:p w14:paraId="129A2484" w14:textId="77777777" w:rsidR="00AF51C0" w:rsidRPr="00AF51C0" w:rsidRDefault="00AF51C0" w:rsidP="00AF51C0">
      <w:pPr>
        <w:pStyle w:val="Bibliography"/>
      </w:pPr>
      <w:r w:rsidRPr="00AF51C0">
        <w:t>21.</w:t>
      </w:r>
      <w:r w:rsidRPr="00AF51C0">
        <w:tab/>
        <w:t>Lubba CH, Sethi SS, Knaute P, Schultz SR, Fulcher BD, Jones NS. catch22: CAnonical Time-series CHaracteristics [Internet]. arXiv; 2019 [cited 2025 Oct 20]. Available from: http://arxiv.org/abs/1901.10200</w:t>
      </w:r>
    </w:p>
    <w:p w14:paraId="3E77A0D0" w14:textId="77777777" w:rsidR="00AF51C0" w:rsidRPr="00AF51C0" w:rsidRDefault="00AF51C0" w:rsidP="00AF51C0">
      <w:pPr>
        <w:pStyle w:val="Bibliography"/>
      </w:pPr>
      <w:r w:rsidRPr="00AF51C0">
        <w:t>22.</w:t>
      </w:r>
      <w:r w:rsidRPr="00AF51C0">
        <w:tab/>
        <w:t xml:space="preserve">McCullagh P. Generalized linear models. Eur J Oper Res. 1984 Jun 1;16(3):285–92. </w:t>
      </w:r>
    </w:p>
    <w:p w14:paraId="0E6122A2" w14:textId="77777777" w:rsidR="00AF51C0" w:rsidRPr="00AF51C0" w:rsidRDefault="00AF51C0" w:rsidP="00AF51C0">
      <w:pPr>
        <w:pStyle w:val="Bibliography"/>
      </w:pPr>
      <w:r w:rsidRPr="00AF51C0">
        <w:t>23.</w:t>
      </w:r>
      <w:r w:rsidRPr="00AF51C0">
        <w:tab/>
        <w:t xml:space="preserve">Wood SN. Generalized Additive Models: An Introduction with R, Second Edition. 2nd ed. New York: Chapman and Hall/CRC; 2017. 496 p. </w:t>
      </w:r>
    </w:p>
    <w:p w14:paraId="3F7A56E0" w14:textId="77777777" w:rsidR="00AF51C0" w:rsidRPr="00AF51C0" w:rsidRDefault="00AF51C0" w:rsidP="00AF51C0">
      <w:pPr>
        <w:pStyle w:val="Bibliography"/>
      </w:pPr>
      <w:r w:rsidRPr="00AF51C0">
        <w:t>24.</w:t>
      </w:r>
      <w:r w:rsidRPr="00AF51C0">
        <w:tab/>
        <w:t xml:space="preserve">Zou H, Hastie T. Addendum: Regularization and Variable Selection Via the Elastic Net. J R Stat Soc Ser B Stat Methodol. 2005 Nov 1;67(5):768. </w:t>
      </w:r>
    </w:p>
    <w:p w14:paraId="5363A7CA" w14:textId="77777777" w:rsidR="00AF51C0" w:rsidRPr="00AF51C0" w:rsidRDefault="00AF51C0" w:rsidP="00AF51C0">
      <w:pPr>
        <w:pStyle w:val="Bibliography"/>
      </w:pPr>
      <w:r w:rsidRPr="00AF51C0">
        <w:t>25.</w:t>
      </w:r>
      <w:r w:rsidRPr="00AF51C0">
        <w:tab/>
        <w:t xml:space="preserve">Cortes C, Vapnik V. Support-vector networks. Mach Learn. 1995 Sep 1;20(3):273–97. </w:t>
      </w:r>
    </w:p>
    <w:p w14:paraId="3128D71C" w14:textId="77777777" w:rsidR="00AF51C0" w:rsidRPr="00AF51C0" w:rsidRDefault="00AF51C0" w:rsidP="00AF51C0">
      <w:pPr>
        <w:pStyle w:val="Bibliography"/>
      </w:pPr>
      <w:r w:rsidRPr="00AF51C0">
        <w:t>26.</w:t>
      </w:r>
      <w:r w:rsidRPr="00AF51C0">
        <w:tab/>
        <w:t>Ripley BD. Pattern Recognition and Neural Networks [Internet]. Cambridge: Cambridge University Press; 1996 [cited 2025 Oct 20]. Available from: https://www.cambridge.org/core/books/pattern-recognition-and-neural-networks/4E038249C9BAA06C8F4EE6F044D09C5C</w:t>
      </w:r>
    </w:p>
    <w:p w14:paraId="06D12823" w14:textId="77777777" w:rsidR="00AF51C0" w:rsidRPr="00AF51C0" w:rsidRDefault="00AF51C0" w:rsidP="00AF51C0">
      <w:pPr>
        <w:pStyle w:val="Bibliography"/>
      </w:pPr>
      <w:r w:rsidRPr="00AF51C0">
        <w:t>27.</w:t>
      </w:r>
      <w:r w:rsidRPr="00AF51C0">
        <w:tab/>
        <w:t xml:space="preserve">Breiman L, Friedman J, Olshen RA, Stone CJ. Classification and Regression Trees. New York: Chapman and Hall/CRC; 2017. 368 p. </w:t>
      </w:r>
    </w:p>
    <w:p w14:paraId="20FD8DD3" w14:textId="77777777" w:rsidR="00AF51C0" w:rsidRPr="00AF51C0" w:rsidRDefault="00AF51C0" w:rsidP="00AF51C0">
      <w:pPr>
        <w:pStyle w:val="Bibliography"/>
      </w:pPr>
      <w:r w:rsidRPr="00AF51C0">
        <w:t>28.</w:t>
      </w:r>
      <w:r w:rsidRPr="00AF51C0">
        <w:tab/>
        <w:t>Polley E, Laan M van der. Super Learner In Prediction. UC Berkeley Div Biostat Work Pap Ser [Internet]. 2010 May 3; Available from: https://biostats.bepress.com/ucbbiostat/paper266</w:t>
      </w:r>
    </w:p>
    <w:p w14:paraId="3A369997" w14:textId="77777777" w:rsidR="00AF51C0" w:rsidRPr="00AF51C0" w:rsidRDefault="00AF51C0" w:rsidP="00AF51C0">
      <w:pPr>
        <w:pStyle w:val="Bibliography"/>
      </w:pPr>
      <w:r w:rsidRPr="00AF51C0">
        <w:lastRenderedPageBreak/>
        <w:t>29.</w:t>
      </w:r>
      <w:r w:rsidRPr="00AF51C0">
        <w:tab/>
        <w:t xml:space="preserve">Sokolova M, Lapalme G. A systematic analysis of performance measures for classification tasks. Inf Process Manag. 2009 Jul 1;45(4):427–37. </w:t>
      </w:r>
    </w:p>
    <w:p w14:paraId="5BAF09B3" w14:textId="49030109" w:rsidR="00AF51C0" w:rsidRDefault="00AF51C0" w:rsidP="00AF51C0">
      <w:pPr>
        <w:pStyle w:val="Bibliography"/>
      </w:pPr>
      <w:r w:rsidRPr="00AF51C0">
        <w:t>30.</w:t>
      </w:r>
      <w:r w:rsidRPr="00AF51C0">
        <w:tab/>
        <w:t>Lundberg S, Lee SI. A Unified Approach to Interpreting Model Predictions [Internet]. arXiv; 2017 [cited 2025 Oct 20]. Available from: http://arxiv.org/abs/1705.07874</w:t>
      </w:r>
    </w:p>
    <w:p w14:paraId="134B8DF0" w14:textId="77777777" w:rsidR="00AF51C0" w:rsidRDefault="00AF51C0">
      <w:pPr>
        <w:rPr>
          <w:rFonts w:ascii="Times New Roman" w:eastAsia="Times New Roman" w:hAnsi="Times New Roman" w:cs="Times New Roman"/>
          <w:sz w:val="24"/>
          <w:szCs w:val="24"/>
          <w:lang w:eastAsia="zh-CN"/>
        </w:rPr>
      </w:pPr>
      <w:r>
        <w:br w:type="page"/>
      </w:r>
    </w:p>
    <w:p w14:paraId="425D5D00" w14:textId="6513FBAE" w:rsidR="00BC62D3" w:rsidRPr="00A3614E" w:rsidRDefault="00010D51" w:rsidP="00AF51C0">
      <w:pPr>
        <w:pStyle w:val="Bibliography"/>
        <w:jc w:val="center"/>
        <w:rPr>
          <w:rFonts w:eastAsiaTheme="minorEastAsia"/>
          <w:color w:val="000000" w:themeColor="text1"/>
          <w:sz w:val="22"/>
          <w:szCs w:val="22"/>
        </w:rPr>
      </w:pPr>
      <w:r w:rsidRPr="00A3614E">
        <w:rPr>
          <w:color w:val="000000" w:themeColor="text1"/>
        </w:rPr>
        <w:lastRenderedPageBreak/>
        <w:fldChar w:fldCharType="end"/>
      </w:r>
      <w:bookmarkEnd w:id="6"/>
      <w:r w:rsidR="00BC62D3" w:rsidRPr="00A3614E">
        <w:rPr>
          <w:rFonts w:eastAsiaTheme="minorEastAsia"/>
          <w:noProof/>
          <w:color w:val="000000" w:themeColor="text1"/>
          <w:sz w:val="22"/>
          <w:szCs w:val="22"/>
          <w14:ligatures w14:val="standardContextual"/>
        </w:rPr>
        <w:drawing>
          <wp:inline distT="0" distB="0" distL="0" distR="0" wp14:anchorId="56C96377" wp14:editId="06F9B6EF">
            <wp:extent cx="5486400" cy="3771835"/>
            <wp:effectExtent l="0" t="0" r="0" b="635"/>
            <wp:docPr id="2104157310" name="Picture 1" descr="A table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57310" name="Picture 1" descr="A table with numbers and a number of objec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771835"/>
                    </a:xfrm>
                    <a:prstGeom prst="rect">
                      <a:avLst/>
                    </a:prstGeom>
                  </pic:spPr>
                </pic:pic>
              </a:graphicData>
            </a:graphic>
          </wp:inline>
        </w:drawing>
      </w:r>
    </w:p>
    <w:p w14:paraId="12C58F49" w14:textId="77777777" w:rsidR="00BC62D3" w:rsidRPr="00A3614E" w:rsidRDefault="00BC62D3" w:rsidP="00BC62D3">
      <w:pPr>
        <w:pStyle w:val="BodyText"/>
        <w:spacing w:line="276" w:lineRule="auto"/>
        <w:ind w:left="0"/>
        <w:contextualSpacing/>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Figure </w:t>
      </w:r>
      <w:r w:rsidRPr="00A3614E">
        <w:rPr>
          <w:rFonts w:eastAsiaTheme="minorEastAsia"/>
          <w:color w:val="000000" w:themeColor="text1"/>
          <w:sz w:val="22"/>
          <w:szCs w:val="22"/>
          <w:lang w:eastAsia="ko-KR"/>
        </w:rPr>
        <w:t>1(a)</w:t>
      </w:r>
      <w:r w:rsidRPr="00A3614E">
        <w:rPr>
          <w:rFonts w:eastAsiaTheme="minorEastAsia"/>
          <w:color w:val="000000" w:themeColor="text1"/>
          <w:sz w:val="22"/>
          <w:szCs w:val="22"/>
          <w:lang w:eastAsia="zh-CN"/>
        </w:rPr>
        <w:t xml:space="preserve">. Heatmap of accuracy across models and countries for predicting peak categories using a 21-day input. Blue = higher, white = lower. </w:t>
      </w:r>
    </w:p>
    <w:p w14:paraId="4016A588" w14:textId="77777777" w:rsidR="00BC62D3" w:rsidRPr="00A3614E" w:rsidRDefault="00BC62D3" w:rsidP="00BC62D3">
      <w:pPr>
        <w:pStyle w:val="BodyText"/>
        <w:spacing w:line="276" w:lineRule="auto"/>
        <w:ind w:left="0"/>
        <w:contextualSpacing/>
        <w:rPr>
          <w:rFonts w:eastAsiaTheme="minorEastAsia"/>
          <w:color w:val="000000" w:themeColor="text1"/>
          <w:sz w:val="22"/>
          <w:szCs w:val="22"/>
          <w:lang w:eastAsia="zh-CN"/>
        </w:rPr>
      </w:pPr>
    </w:p>
    <w:p w14:paraId="3FD92D38" w14:textId="77777777" w:rsidR="00BC62D3" w:rsidRPr="00A3614E" w:rsidRDefault="00BC62D3" w:rsidP="00BC62D3">
      <w:pPr>
        <w:pStyle w:val="BodyText"/>
        <w:spacing w:line="276" w:lineRule="auto"/>
        <w:ind w:left="0"/>
        <w:contextualSpacing/>
        <w:jc w:val="center"/>
        <w:rPr>
          <w:rFonts w:eastAsiaTheme="minorEastAsia"/>
          <w:color w:val="000000" w:themeColor="text1"/>
          <w:sz w:val="20"/>
          <w:szCs w:val="20"/>
          <w:lang w:eastAsia="ko-KR"/>
        </w:rPr>
      </w:pPr>
      <w:r w:rsidRPr="00A3614E">
        <w:rPr>
          <w:rFonts w:eastAsiaTheme="minorEastAsia"/>
          <w:noProof/>
          <w:color w:val="000000" w:themeColor="text1"/>
          <w:sz w:val="20"/>
          <w:szCs w:val="20"/>
          <w:lang w:eastAsia="ko-KR"/>
          <w14:ligatures w14:val="standardContextual"/>
        </w:rPr>
        <w:drawing>
          <wp:inline distT="0" distB="0" distL="0" distR="0" wp14:anchorId="34EB951D" wp14:editId="4CC44C68">
            <wp:extent cx="5486400" cy="3771834"/>
            <wp:effectExtent l="0" t="0" r="0" b="635"/>
            <wp:docPr id="194511631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16312" name="Picture 2"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771834"/>
                    </a:xfrm>
                    <a:prstGeom prst="rect">
                      <a:avLst/>
                    </a:prstGeom>
                  </pic:spPr>
                </pic:pic>
              </a:graphicData>
            </a:graphic>
          </wp:inline>
        </w:drawing>
      </w:r>
    </w:p>
    <w:p w14:paraId="09A89CE2" w14:textId="77777777" w:rsidR="00BC62D3" w:rsidRPr="00A3614E" w:rsidRDefault="00BC62D3" w:rsidP="00BC62D3">
      <w:pPr>
        <w:pStyle w:val="BodyText"/>
        <w:spacing w:line="276" w:lineRule="auto"/>
        <w:ind w:left="0"/>
        <w:contextualSpacing/>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Figure </w:t>
      </w:r>
      <w:r w:rsidRPr="00A3614E">
        <w:rPr>
          <w:rFonts w:eastAsiaTheme="minorEastAsia"/>
          <w:color w:val="000000" w:themeColor="text1"/>
          <w:sz w:val="22"/>
          <w:szCs w:val="22"/>
          <w:lang w:eastAsia="ko-KR"/>
        </w:rPr>
        <w:t>1(b)</w:t>
      </w:r>
      <w:r w:rsidRPr="00A3614E">
        <w:rPr>
          <w:rFonts w:eastAsiaTheme="minorEastAsia"/>
          <w:color w:val="000000" w:themeColor="text1"/>
          <w:sz w:val="22"/>
          <w:szCs w:val="22"/>
          <w:lang w:eastAsia="zh-CN"/>
        </w:rPr>
        <w:t xml:space="preserve">. Heatmap of accuracy across models and countries for predicting duration categories using a 21-day input. Blue = higher, white = lower. </w:t>
      </w:r>
    </w:p>
    <w:p w14:paraId="24972DEB" w14:textId="77777777" w:rsidR="00BC62D3" w:rsidRPr="00A3614E" w:rsidRDefault="00BC62D3" w:rsidP="00BC62D3">
      <w:pPr>
        <w:pStyle w:val="BodyText"/>
        <w:spacing w:line="276" w:lineRule="auto"/>
        <w:ind w:left="0"/>
        <w:contextualSpacing/>
        <w:rPr>
          <w:rFonts w:eastAsiaTheme="minorEastAsia"/>
          <w:color w:val="000000" w:themeColor="text1"/>
          <w:sz w:val="22"/>
          <w:szCs w:val="22"/>
          <w:lang w:eastAsia="zh-CN"/>
        </w:rPr>
      </w:pPr>
    </w:p>
    <w:tbl>
      <w:tblPr>
        <w:tblStyle w:val="TableGrid"/>
        <w:tblW w:w="0" w:type="auto"/>
        <w:tblLook w:val="04A0" w:firstRow="1" w:lastRow="0" w:firstColumn="1" w:lastColumn="0" w:noHBand="0" w:noVBand="1"/>
      </w:tblPr>
      <w:tblGrid>
        <w:gridCol w:w="4907"/>
        <w:gridCol w:w="5893"/>
      </w:tblGrid>
      <w:tr w:rsidR="00BC62D3" w:rsidRPr="00A3614E" w14:paraId="4ED1C42F" w14:textId="77777777" w:rsidTr="00436C0C">
        <w:tc>
          <w:tcPr>
            <w:tcW w:w="4994" w:type="dxa"/>
          </w:tcPr>
          <w:p w14:paraId="4A31FF2F" w14:textId="77777777" w:rsidR="00BC62D3" w:rsidRPr="00A3614E" w:rsidRDefault="00BC62D3" w:rsidP="00436C0C">
            <w:pPr>
              <w:pStyle w:val="BodyText"/>
              <w:spacing w:line="276" w:lineRule="auto"/>
              <w:ind w:left="0"/>
              <w:contextualSpacing/>
              <w:jc w:val="both"/>
              <w:rPr>
                <w:rFonts w:eastAsiaTheme="minorEastAsia"/>
                <w:color w:val="C00000"/>
                <w:sz w:val="22"/>
                <w:szCs w:val="22"/>
                <w:lang w:eastAsia="zh-CN"/>
              </w:rPr>
            </w:pPr>
            <w:r w:rsidRPr="00A3614E">
              <w:rPr>
                <w:rFonts w:eastAsiaTheme="minorEastAsia"/>
                <w:noProof/>
                <w:color w:val="C00000"/>
                <w:sz w:val="22"/>
                <w:szCs w:val="22"/>
                <w:lang w:eastAsia="zh-CN"/>
              </w:rPr>
              <w:lastRenderedPageBreak/>
              <w:drawing>
                <wp:inline distT="0" distB="0" distL="0" distR="0" wp14:anchorId="7D7995F9" wp14:editId="3C7B7901">
                  <wp:extent cx="3017520" cy="3394782"/>
                  <wp:effectExtent l="0" t="0" r="5080" b="0"/>
                  <wp:docPr id="1559782530" name="Picture 1"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82530" name="Picture 1" descr="A graph with red ba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7520" cy="3394782"/>
                          </a:xfrm>
                          <a:prstGeom prst="rect">
                            <a:avLst/>
                          </a:prstGeom>
                        </pic:spPr>
                      </pic:pic>
                    </a:graphicData>
                  </a:graphic>
                </wp:inline>
              </w:drawing>
            </w:r>
          </w:p>
        </w:tc>
        <w:tc>
          <w:tcPr>
            <w:tcW w:w="5476" w:type="dxa"/>
          </w:tcPr>
          <w:p w14:paraId="7B177ADF" w14:textId="77777777" w:rsidR="00BC62D3" w:rsidRPr="00A3614E" w:rsidRDefault="00BC62D3" w:rsidP="00436C0C">
            <w:pPr>
              <w:pStyle w:val="BodyText"/>
              <w:spacing w:line="276" w:lineRule="auto"/>
              <w:ind w:left="0"/>
              <w:contextualSpacing/>
              <w:jc w:val="both"/>
              <w:rPr>
                <w:rFonts w:eastAsiaTheme="minorEastAsia"/>
                <w:color w:val="C00000"/>
                <w:sz w:val="22"/>
                <w:szCs w:val="22"/>
                <w:lang w:eastAsia="zh-CN"/>
              </w:rPr>
            </w:pPr>
            <w:r w:rsidRPr="00A3614E">
              <w:rPr>
                <w:rFonts w:eastAsiaTheme="minorEastAsia"/>
                <w:noProof/>
                <w:color w:val="C00000"/>
                <w:sz w:val="22"/>
                <w:szCs w:val="22"/>
                <w:lang w:eastAsia="zh-CN"/>
              </w:rPr>
              <w:drawing>
                <wp:inline distT="0" distB="0" distL="0" distR="0" wp14:anchorId="67DDE577" wp14:editId="46B8F8B9">
                  <wp:extent cx="3657600" cy="3429131"/>
                  <wp:effectExtent l="0" t="0" r="0" b="0"/>
                  <wp:docPr id="617604498"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04498" name="Picture 2" descr="A graph of different colored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57600" cy="3429131"/>
                          </a:xfrm>
                          <a:prstGeom prst="rect">
                            <a:avLst/>
                          </a:prstGeom>
                        </pic:spPr>
                      </pic:pic>
                    </a:graphicData>
                  </a:graphic>
                </wp:inline>
              </w:drawing>
            </w:r>
          </w:p>
        </w:tc>
      </w:tr>
      <w:tr w:rsidR="00BC62D3" w:rsidRPr="00A3614E" w14:paraId="2F7F26EB" w14:textId="77777777" w:rsidTr="00436C0C">
        <w:tc>
          <w:tcPr>
            <w:tcW w:w="4994" w:type="dxa"/>
          </w:tcPr>
          <w:p w14:paraId="60600CA0" w14:textId="77777777" w:rsidR="00BC62D3" w:rsidRPr="00A3614E" w:rsidRDefault="00BC62D3" w:rsidP="00436C0C">
            <w:pPr>
              <w:pStyle w:val="BodyText"/>
              <w:spacing w:line="276" w:lineRule="auto"/>
              <w:ind w:left="0"/>
              <w:contextualSpacing/>
              <w:jc w:val="center"/>
              <w:rPr>
                <w:rFonts w:eastAsiaTheme="minorEastAsia"/>
                <w:color w:val="000000" w:themeColor="text1"/>
                <w:sz w:val="22"/>
                <w:szCs w:val="22"/>
                <w:lang w:eastAsia="zh-CN"/>
              </w:rPr>
            </w:pPr>
            <w:r w:rsidRPr="00A3614E">
              <w:rPr>
                <w:rFonts w:eastAsiaTheme="minorEastAsia"/>
                <w:color w:val="000000" w:themeColor="text1"/>
                <w:sz w:val="20"/>
                <w:szCs w:val="20"/>
                <w:lang w:eastAsia="zh-CN"/>
              </w:rPr>
              <w:t>(a)</w:t>
            </w:r>
          </w:p>
        </w:tc>
        <w:tc>
          <w:tcPr>
            <w:tcW w:w="5476" w:type="dxa"/>
          </w:tcPr>
          <w:p w14:paraId="77270887" w14:textId="7C05FC6A" w:rsidR="00BC62D3" w:rsidRPr="00A3614E" w:rsidRDefault="00BC62D3" w:rsidP="00051702">
            <w:pPr>
              <w:pStyle w:val="BodyText"/>
              <w:spacing w:line="276" w:lineRule="auto"/>
              <w:ind w:left="0"/>
              <w:contextualSpacing/>
              <w:jc w:val="center"/>
              <w:rPr>
                <w:rFonts w:eastAsiaTheme="minorEastAsia"/>
                <w:color w:val="000000" w:themeColor="text1"/>
                <w:sz w:val="20"/>
                <w:szCs w:val="20"/>
                <w:lang w:eastAsia="zh-CN"/>
              </w:rPr>
            </w:pPr>
            <w:r w:rsidRPr="00A3614E">
              <w:rPr>
                <w:rFonts w:eastAsiaTheme="minorEastAsia"/>
                <w:color w:val="000000" w:themeColor="text1"/>
                <w:sz w:val="20"/>
                <w:szCs w:val="20"/>
                <w:lang w:eastAsia="zh-CN"/>
              </w:rPr>
              <w:t>(b)</w:t>
            </w:r>
          </w:p>
        </w:tc>
      </w:tr>
    </w:tbl>
    <w:p w14:paraId="3C04D339" w14:textId="77777777" w:rsidR="00BC62D3" w:rsidRPr="00A3614E" w:rsidRDefault="00BC62D3" w:rsidP="00BC62D3">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Figure </w:t>
      </w:r>
      <w:r w:rsidRPr="00A3614E">
        <w:rPr>
          <w:rFonts w:eastAsiaTheme="minorEastAsia"/>
          <w:color w:val="000000" w:themeColor="text1"/>
          <w:sz w:val="22"/>
          <w:szCs w:val="22"/>
          <w:lang w:eastAsia="ko-KR"/>
        </w:rPr>
        <w:t>2</w:t>
      </w:r>
      <w:r w:rsidRPr="00A3614E">
        <w:rPr>
          <w:rFonts w:eastAsiaTheme="minorEastAsia"/>
          <w:color w:val="000000" w:themeColor="text1"/>
          <w:sz w:val="22"/>
          <w:szCs w:val="22"/>
          <w:lang w:eastAsia="zh-CN"/>
        </w:rPr>
        <w:t xml:space="preserve">. SHAP-based feature attribution for the </w:t>
      </w:r>
      <w:proofErr w:type="spellStart"/>
      <w:r w:rsidRPr="00A3614E">
        <w:rPr>
          <w:rFonts w:eastAsiaTheme="minorEastAsia"/>
          <w:color w:val="000000" w:themeColor="text1"/>
          <w:sz w:val="22"/>
          <w:szCs w:val="22"/>
          <w:lang w:eastAsia="zh-CN"/>
        </w:rPr>
        <w:t>SuperLearner</w:t>
      </w:r>
      <w:proofErr w:type="spellEnd"/>
      <w:r w:rsidRPr="00A3614E">
        <w:rPr>
          <w:rFonts w:eastAsiaTheme="minorEastAsia"/>
          <w:color w:val="000000" w:themeColor="text1"/>
          <w:sz w:val="22"/>
          <w:szCs w:val="22"/>
          <w:lang w:eastAsia="zh-CN"/>
        </w:rPr>
        <w:t xml:space="preserve"> model (21-day input) predicting variants weekly peak prevalence across 15 countries. (a) Global feature importance </w:t>
      </w:r>
      <w:proofErr w:type="gramStart"/>
      <w:r w:rsidRPr="00A3614E">
        <w:rPr>
          <w:rFonts w:eastAsiaTheme="minorEastAsia"/>
          <w:color w:val="000000" w:themeColor="text1"/>
          <w:sz w:val="22"/>
          <w:szCs w:val="22"/>
          <w:lang w:eastAsia="zh-CN"/>
        </w:rPr>
        <w:t>based</w:t>
      </w:r>
      <w:proofErr w:type="gramEnd"/>
      <w:r w:rsidRPr="00A3614E">
        <w:rPr>
          <w:rFonts w:eastAsiaTheme="minorEastAsia"/>
          <w:color w:val="000000" w:themeColor="text1"/>
          <w:sz w:val="22"/>
          <w:szCs w:val="22"/>
          <w:lang w:eastAsia="zh-CN"/>
        </w:rPr>
        <w:t xml:space="preserve"> on mean absolute SHAP values. (b) SHAP summary (</w:t>
      </w:r>
      <w:proofErr w:type="spellStart"/>
      <w:r w:rsidRPr="00A3614E">
        <w:rPr>
          <w:rFonts w:eastAsiaTheme="minorEastAsia"/>
          <w:color w:val="000000" w:themeColor="text1"/>
          <w:sz w:val="22"/>
          <w:szCs w:val="22"/>
          <w:lang w:eastAsia="zh-CN"/>
        </w:rPr>
        <w:t>beeswarm</w:t>
      </w:r>
      <w:proofErr w:type="spellEnd"/>
      <w:r w:rsidRPr="00A3614E">
        <w:rPr>
          <w:rFonts w:eastAsiaTheme="minorEastAsia"/>
          <w:color w:val="000000" w:themeColor="text1"/>
          <w:sz w:val="22"/>
          <w:szCs w:val="22"/>
          <w:lang w:eastAsia="zh-CN"/>
        </w:rPr>
        <w:t>) plot illustrating the distribution and direction of feature effects.</w:t>
      </w:r>
    </w:p>
    <w:tbl>
      <w:tblPr>
        <w:tblStyle w:val="TableGrid"/>
        <w:tblW w:w="0" w:type="auto"/>
        <w:tblInd w:w="117" w:type="dxa"/>
        <w:tblLook w:val="04A0" w:firstRow="1" w:lastRow="0" w:firstColumn="1" w:lastColumn="0" w:noHBand="0" w:noVBand="1"/>
      </w:tblPr>
      <w:tblGrid>
        <w:gridCol w:w="4854"/>
        <w:gridCol w:w="5829"/>
      </w:tblGrid>
      <w:tr w:rsidR="00BC62D3" w:rsidRPr="00A3614E" w14:paraId="4277A736" w14:textId="77777777" w:rsidTr="00436C0C">
        <w:tc>
          <w:tcPr>
            <w:tcW w:w="4854" w:type="dxa"/>
          </w:tcPr>
          <w:p w14:paraId="202800FC" w14:textId="77777777" w:rsidR="00BC62D3" w:rsidRPr="00A3614E" w:rsidRDefault="00BC62D3" w:rsidP="00436C0C">
            <w:pPr>
              <w:pStyle w:val="BodyText"/>
              <w:spacing w:line="276" w:lineRule="auto"/>
              <w:ind w:left="0"/>
              <w:contextualSpacing/>
              <w:jc w:val="both"/>
              <w:rPr>
                <w:rFonts w:eastAsiaTheme="minorEastAsia"/>
                <w:color w:val="000000" w:themeColor="text1"/>
                <w:sz w:val="20"/>
                <w:szCs w:val="20"/>
                <w:lang w:eastAsia="zh-CN"/>
              </w:rPr>
            </w:pPr>
            <w:r w:rsidRPr="00A3614E">
              <w:rPr>
                <w:rFonts w:eastAsiaTheme="minorEastAsia"/>
                <w:noProof/>
                <w:color w:val="000000" w:themeColor="text1"/>
                <w:sz w:val="20"/>
                <w:szCs w:val="20"/>
                <w:lang w:eastAsia="zh-CN"/>
              </w:rPr>
              <w:drawing>
                <wp:inline distT="0" distB="0" distL="0" distR="0" wp14:anchorId="412A99AA" wp14:editId="1A55DB0A">
                  <wp:extent cx="3017520" cy="3394782"/>
                  <wp:effectExtent l="0" t="0" r="5080" b="0"/>
                  <wp:docPr id="1337275488" name="Picture 3" descr="A graph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75488" name="Picture 3" descr="A graph with red squar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17520" cy="3394782"/>
                          </a:xfrm>
                          <a:prstGeom prst="rect">
                            <a:avLst/>
                          </a:prstGeom>
                        </pic:spPr>
                      </pic:pic>
                    </a:graphicData>
                  </a:graphic>
                </wp:inline>
              </w:drawing>
            </w:r>
          </w:p>
        </w:tc>
        <w:tc>
          <w:tcPr>
            <w:tcW w:w="5829" w:type="dxa"/>
          </w:tcPr>
          <w:p w14:paraId="39BA7DC4" w14:textId="77777777" w:rsidR="00BC62D3" w:rsidRPr="00A3614E" w:rsidRDefault="00BC62D3" w:rsidP="00436C0C">
            <w:pPr>
              <w:pStyle w:val="BodyText"/>
              <w:spacing w:line="276" w:lineRule="auto"/>
              <w:ind w:left="0"/>
              <w:contextualSpacing/>
              <w:jc w:val="both"/>
              <w:rPr>
                <w:rFonts w:eastAsiaTheme="minorEastAsia"/>
                <w:color w:val="000000" w:themeColor="text1"/>
                <w:sz w:val="20"/>
                <w:szCs w:val="20"/>
                <w:lang w:eastAsia="zh-CN"/>
              </w:rPr>
            </w:pPr>
            <w:r w:rsidRPr="00A3614E">
              <w:rPr>
                <w:rFonts w:eastAsiaTheme="minorEastAsia"/>
                <w:noProof/>
                <w:color w:val="000000" w:themeColor="text1"/>
                <w:sz w:val="20"/>
                <w:szCs w:val="20"/>
                <w:lang w:eastAsia="zh-CN"/>
              </w:rPr>
              <w:drawing>
                <wp:inline distT="0" distB="0" distL="0" distR="0" wp14:anchorId="6AC0BEA9" wp14:editId="7F5F43CA">
                  <wp:extent cx="3657600" cy="3429131"/>
                  <wp:effectExtent l="0" t="0" r="0" b="0"/>
                  <wp:docPr id="606971299"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71299" name="Picture 4" descr="A graph of different colored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57600" cy="3429131"/>
                          </a:xfrm>
                          <a:prstGeom prst="rect">
                            <a:avLst/>
                          </a:prstGeom>
                        </pic:spPr>
                      </pic:pic>
                    </a:graphicData>
                  </a:graphic>
                </wp:inline>
              </w:drawing>
            </w:r>
          </w:p>
        </w:tc>
      </w:tr>
      <w:tr w:rsidR="00BC62D3" w:rsidRPr="00A3614E" w14:paraId="0FBE9BCF" w14:textId="77777777" w:rsidTr="00436C0C">
        <w:tc>
          <w:tcPr>
            <w:tcW w:w="4854" w:type="dxa"/>
          </w:tcPr>
          <w:p w14:paraId="0356A8C0" w14:textId="77777777" w:rsidR="00BC62D3" w:rsidRPr="00A3614E" w:rsidRDefault="00BC62D3" w:rsidP="00436C0C">
            <w:pPr>
              <w:pStyle w:val="BodyText"/>
              <w:spacing w:line="276" w:lineRule="auto"/>
              <w:ind w:left="0"/>
              <w:contextualSpacing/>
              <w:jc w:val="center"/>
              <w:rPr>
                <w:rFonts w:eastAsiaTheme="minorEastAsia"/>
                <w:color w:val="000000" w:themeColor="text1"/>
                <w:sz w:val="20"/>
                <w:szCs w:val="20"/>
                <w:lang w:eastAsia="zh-CN"/>
              </w:rPr>
            </w:pPr>
            <w:r w:rsidRPr="00A3614E">
              <w:rPr>
                <w:rFonts w:eastAsiaTheme="minorEastAsia"/>
                <w:color w:val="000000" w:themeColor="text1"/>
                <w:sz w:val="20"/>
                <w:szCs w:val="20"/>
                <w:lang w:eastAsia="zh-CN"/>
              </w:rPr>
              <w:t>(a)</w:t>
            </w:r>
          </w:p>
        </w:tc>
        <w:tc>
          <w:tcPr>
            <w:tcW w:w="5829" w:type="dxa"/>
          </w:tcPr>
          <w:p w14:paraId="2E9470F8" w14:textId="77777777" w:rsidR="00BC62D3" w:rsidRPr="00A3614E" w:rsidRDefault="00BC62D3" w:rsidP="00436C0C">
            <w:pPr>
              <w:pStyle w:val="BodyText"/>
              <w:spacing w:line="276" w:lineRule="auto"/>
              <w:ind w:left="0"/>
              <w:contextualSpacing/>
              <w:jc w:val="center"/>
              <w:rPr>
                <w:rFonts w:eastAsiaTheme="minorEastAsia"/>
                <w:color w:val="000000" w:themeColor="text1"/>
                <w:sz w:val="20"/>
                <w:szCs w:val="20"/>
                <w:lang w:eastAsia="zh-CN"/>
              </w:rPr>
            </w:pPr>
            <w:r w:rsidRPr="00A3614E">
              <w:rPr>
                <w:rFonts w:eastAsiaTheme="minorEastAsia"/>
                <w:color w:val="000000" w:themeColor="text1"/>
                <w:sz w:val="20"/>
                <w:szCs w:val="20"/>
                <w:lang w:eastAsia="zh-CN"/>
              </w:rPr>
              <w:t>(b)</w:t>
            </w:r>
          </w:p>
        </w:tc>
      </w:tr>
    </w:tbl>
    <w:p w14:paraId="332715BC" w14:textId="77777777" w:rsidR="00BC62D3" w:rsidRPr="00A3614E" w:rsidRDefault="00BC62D3" w:rsidP="00BC62D3">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Figure </w:t>
      </w:r>
      <w:r w:rsidRPr="00A3614E">
        <w:rPr>
          <w:rFonts w:eastAsiaTheme="minorEastAsia"/>
          <w:color w:val="000000" w:themeColor="text1"/>
          <w:sz w:val="22"/>
          <w:szCs w:val="22"/>
          <w:lang w:eastAsia="ko-KR"/>
        </w:rPr>
        <w:t>3</w:t>
      </w:r>
      <w:r w:rsidRPr="00A3614E">
        <w:rPr>
          <w:rFonts w:eastAsiaTheme="minorEastAsia"/>
          <w:color w:val="000000" w:themeColor="text1"/>
          <w:sz w:val="22"/>
          <w:szCs w:val="22"/>
          <w:lang w:eastAsia="zh-CN"/>
        </w:rPr>
        <w:t xml:space="preserve">. SHAP-based feature attribution for the </w:t>
      </w:r>
      <w:proofErr w:type="spellStart"/>
      <w:r w:rsidRPr="00A3614E">
        <w:rPr>
          <w:rFonts w:eastAsiaTheme="minorEastAsia"/>
          <w:color w:val="000000" w:themeColor="text1"/>
          <w:sz w:val="22"/>
          <w:szCs w:val="22"/>
          <w:lang w:eastAsia="zh-CN"/>
        </w:rPr>
        <w:t>SuperLearner</w:t>
      </w:r>
      <w:proofErr w:type="spellEnd"/>
      <w:r w:rsidRPr="00A3614E">
        <w:rPr>
          <w:rFonts w:eastAsiaTheme="minorEastAsia"/>
          <w:color w:val="000000" w:themeColor="text1"/>
          <w:sz w:val="22"/>
          <w:szCs w:val="22"/>
          <w:lang w:eastAsia="zh-CN"/>
        </w:rPr>
        <w:t xml:space="preserve"> model (21-day input) predicting variants duration across 15 countries. (a) Global feature importance </w:t>
      </w:r>
      <w:proofErr w:type="gramStart"/>
      <w:r w:rsidRPr="00A3614E">
        <w:rPr>
          <w:rFonts w:eastAsiaTheme="minorEastAsia"/>
          <w:color w:val="000000" w:themeColor="text1"/>
          <w:sz w:val="22"/>
          <w:szCs w:val="22"/>
          <w:lang w:eastAsia="zh-CN"/>
        </w:rPr>
        <w:t>based</w:t>
      </w:r>
      <w:proofErr w:type="gramEnd"/>
      <w:r w:rsidRPr="00A3614E">
        <w:rPr>
          <w:rFonts w:eastAsiaTheme="minorEastAsia"/>
          <w:color w:val="000000" w:themeColor="text1"/>
          <w:sz w:val="22"/>
          <w:szCs w:val="22"/>
          <w:lang w:eastAsia="zh-CN"/>
        </w:rPr>
        <w:t xml:space="preserve"> on mean absolute SHAP values. (b) SHAP summary (</w:t>
      </w:r>
      <w:proofErr w:type="spellStart"/>
      <w:r w:rsidRPr="00A3614E">
        <w:rPr>
          <w:rFonts w:eastAsiaTheme="minorEastAsia"/>
          <w:color w:val="000000" w:themeColor="text1"/>
          <w:sz w:val="22"/>
          <w:szCs w:val="22"/>
          <w:lang w:eastAsia="zh-CN"/>
        </w:rPr>
        <w:t>beeswarm</w:t>
      </w:r>
      <w:proofErr w:type="spellEnd"/>
      <w:r w:rsidRPr="00A3614E">
        <w:rPr>
          <w:rFonts w:eastAsiaTheme="minorEastAsia"/>
          <w:color w:val="000000" w:themeColor="text1"/>
          <w:sz w:val="22"/>
          <w:szCs w:val="22"/>
          <w:lang w:eastAsia="zh-CN"/>
        </w:rPr>
        <w:t>) plot illustrating the distribution and direction of feature effects.</w:t>
      </w:r>
    </w:p>
    <w:p w14:paraId="466C55FF" w14:textId="77777777" w:rsidR="00740E86" w:rsidRPr="00A3614E" w:rsidRDefault="00740E86" w:rsidP="00010D51">
      <w:pPr>
        <w:spacing w:line="276" w:lineRule="auto"/>
        <w:rPr>
          <w:rFonts w:ascii="Times New Roman" w:hAnsi="Times New Roman" w:cs="Times New Roman"/>
          <w:color w:val="000000" w:themeColor="text1"/>
          <w:lang w:eastAsia="ko-KR"/>
        </w:rPr>
        <w:sectPr w:rsidR="00740E86" w:rsidRPr="00A3614E" w:rsidSect="00493574">
          <w:pgSz w:w="12240" w:h="15840"/>
          <w:pgMar w:top="720" w:right="720" w:bottom="720" w:left="720" w:header="720" w:footer="720" w:gutter="0"/>
          <w:cols w:space="720"/>
          <w:docGrid w:linePitch="299"/>
        </w:sectPr>
      </w:pPr>
    </w:p>
    <w:p w14:paraId="4704F4AD" w14:textId="77777777" w:rsidR="00BC62D3" w:rsidRPr="00A3614E" w:rsidRDefault="00BC62D3" w:rsidP="00BC62D3">
      <w:pPr>
        <w:pStyle w:val="BodyText"/>
        <w:spacing w:line="276" w:lineRule="auto"/>
        <w:ind w:left="0"/>
        <w:contextualSpacing/>
        <w:jc w:val="center"/>
        <w:rPr>
          <w:rFonts w:eastAsiaTheme="minorEastAsia"/>
          <w:color w:val="000000" w:themeColor="text1"/>
          <w:sz w:val="22"/>
          <w:szCs w:val="22"/>
          <w:lang w:eastAsia="ko-KR"/>
        </w:rPr>
      </w:pPr>
      <w:r w:rsidRPr="00A3614E">
        <w:rPr>
          <w:rFonts w:eastAsiaTheme="minorEastAsia"/>
          <w:noProof/>
          <w:color w:val="000000" w:themeColor="text1"/>
          <w:sz w:val="22"/>
          <w:szCs w:val="22"/>
          <w:lang w:eastAsia="ko-KR"/>
        </w:rPr>
        <w:lastRenderedPageBreak/>
        <w:drawing>
          <wp:inline distT="0" distB="0" distL="0" distR="0" wp14:anchorId="1411D034" wp14:editId="0A6D1783">
            <wp:extent cx="3834765" cy="4395470"/>
            <wp:effectExtent l="0" t="0" r="0" b="5080"/>
            <wp:docPr id="908210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34765" cy="4395470"/>
                    </a:xfrm>
                    <a:prstGeom prst="rect">
                      <a:avLst/>
                    </a:prstGeom>
                    <a:noFill/>
                  </pic:spPr>
                </pic:pic>
              </a:graphicData>
            </a:graphic>
          </wp:inline>
        </w:drawing>
      </w:r>
    </w:p>
    <w:p w14:paraId="242B672B" w14:textId="77777777" w:rsidR="00BC62D3" w:rsidRPr="00A3614E" w:rsidRDefault="00BC62D3" w:rsidP="00BC62D3">
      <w:pPr>
        <w:pStyle w:val="BodyText"/>
        <w:spacing w:line="276" w:lineRule="auto"/>
        <w:ind w:left="0"/>
        <w:contextualSpacing/>
        <w:jc w:val="center"/>
        <w:rPr>
          <w:rFonts w:eastAsiaTheme="minorEastAsia"/>
          <w:color w:val="000000" w:themeColor="text1"/>
          <w:sz w:val="22"/>
          <w:szCs w:val="22"/>
          <w:lang w:eastAsia="ko-KR"/>
        </w:rPr>
      </w:pPr>
    </w:p>
    <w:p w14:paraId="302199B0" w14:textId="77777777" w:rsidR="00BC62D3" w:rsidRPr="00A3614E" w:rsidRDefault="00BC62D3" w:rsidP="00BC62D3">
      <w:pPr>
        <w:pStyle w:val="BodyText"/>
        <w:spacing w:line="276" w:lineRule="auto"/>
        <w:ind w:left="0"/>
        <w:contextualSpacing/>
        <w:rPr>
          <w:rFonts w:eastAsiaTheme="minorEastAsia"/>
          <w:color w:val="000000" w:themeColor="text1"/>
          <w:sz w:val="22"/>
          <w:szCs w:val="22"/>
          <w:lang w:eastAsia="ko-KR"/>
        </w:rPr>
      </w:pPr>
      <w:r w:rsidRPr="00A3614E">
        <w:rPr>
          <w:color w:val="000000" w:themeColor="text1"/>
          <w:sz w:val="22"/>
          <w:szCs w:val="22"/>
          <w:lang w:eastAsia="zh-CN"/>
        </w:rPr>
        <w:t xml:space="preserve">Figure </w:t>
      </w:r>
      <w:r w:rsidRPr="00A3614E">
        <w:rPr>
          <w:rFonts w:eastAsiaTheme="minorEastAsia"/>
          <w:color w:val="000000" w:themeColor="text1"/>
          <w:sz w:val="22"/>
          <w:szCs w:val="22"/>
          <w:lang w:eastAsia="ko-KR"/>
        </w:rPr>
        <w:t>4</w:t>
      </w:r>
      <w:r w:rsidRPr="00A3614E">
        <w:rPr>
          <w:color w:val="000000" w:themeColor="text1"/>
          <w:sz w:val="22"/>
          <w:szCs w:val="22"/>
          <w:lang w:eastAsia="zh-CN"/>
        </w:rPr>
        <w:t>. Overview of the data processing workflow, including data inclusion, exclusion, and grouping steps.</w:t>
      </w:r>
    </w:p>
    <w:p w14:paraId="6F33E1DD" w14:textId="77777777" w:rsidR="00BC62D3" w:rsidRPr="00A3614E" w:rsidRDefault="00BC62D3" w:rsidP="00010D51">
      <w:pPr>
        <w:spacing w:line="276" w:lineRule="auto"/>
        <w:rPr>
          <w:rFonts w:ascii="Times New Roman" w:hAnsi="Times New Roman" w:cs="Times New Roman"/>
          <w:color w:val="000000" w:themeColor="text1"/>
          <w:lang w:eastAsia="ko-KR"/>
        </w:rPr>
      </w:pPr>
    </w:p>
    <w:p w14:paraId="6036BC41" w14:textId="77777777" w:rsidR="00BC62D3" w:rsidRPr="00A3614E" w:rsidRDefault="00BC62D3" w:rsidP="00BC62D3">
      <w:pPr>
        <w:pStyle w:val="BodyText"/>
        <w:spacing w:line="276" w:lineRule="auto"/>
        <w:ind w:left="0"/>
        <w:contextualSpacing/>
        <w:jc w:val="center"/>
        <w:rPr>
          <w:rFonts w:eastAsiaTheme="minorEastAsia"/>
          <w:b/>
          <w:bCs/>
          <w:color w:val="000000" w:themeColor="text1"/>
          <w:spacing w:val="-10"/>
          <w:lang w:eastAsia="ko-KR"/>
        </w:rPr>
      </w:pPr>
      <w:r w:rsidRPr="00A3614E">
        <w:rPr>
          <w:rFonts w:eastAsiaTheme="minorEastAsia"/>
          <w:b/>
          <w:bCs/>
          <w:noProof/>
          <w:color w:val="000000" w:themeColor="text1"/>
          <w:spacing w:val="-10"/>
          <w:lang w:eastAsia="ko-KR"/>
          <w14:ligatures w14:val="standardContextual"/>
        </w:rPr>
        <w:lastRenderedPageBreak/>
        <w:drawing>
          <wp:inline distT="0" distB="0" distL="0" distR="0" wp14:anchorId="05FB39E0" wp14:editId="11E7F6A2">
            <wp:extent cx="6648450" cy="4432300"/>
            <wp:effectExtent l="0" t="0" r="6350" b="0"/>
            <wp:docPr id="1181867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67446" name="Picture 118186744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8450" cy="4432300"/>
                    </a:xfrm>
                    <a:prstGeom prst="rect">
                      <a:avLst/>
                    </a:prstGeom>
                  </pic:spPr>
                </pic:pic>
              </a:graphicData>
            </a:graphic>
          </wp:inline>
        </w:drawing>
      </w:r>
    </w:p>
    <w:p w14:paraId="2EE0ED45" w14:textId="77777777" w:rsidR="00BC62D3" w:rsidRPr="00A3614E" w:rsidRDefault="00BC62D3" w:rsidP="00BC62D3">
      <w:pPr>
        <w:pStyle w:val="BodyText"/>
        <w:spacing w:line="276" w:lineRule="auto"/>
        <w:ind w:left="0"/>
        <w:contextualSpacing/>
        <w:rPr>
          <w:rFonts w:eastAsiaTheme="minorEastAsia"/>
          <w:color w:val="000000" w:themeColor="text1"/>
          <w:sz w:val="22"/>
          <w:szCs w:val="22"/>
          <w:lang w:eastAsia="ko-KR"/>
        </w:rPr>
      </w:pPr>
      <w:r w:rsidRPr="00A3614E">
        <w:rPr>
          <w:rFonts w:eastAsiaTheme="minorEastAsia"/>
          <w:color w:val="000000" w:themeColor="text1"/>
          <w:sz w:val="22"/>
          <w:szCs w:val="22"/>
          <w:lang w:eastAsia="ko-KR"/>
        </w:rPr>
        <w:t xml:space="preserve">Figure 5. Time-series distribution of grouped SARS-CoV-2 PANGO lineages during the analytical period in the United Kingdom, the United States, and South Korea. Only lineages with weekly maximum share &gt; </w:t>
      </w:r>
      <w:r w:rsidRPr="00A3614E">
        <w:rPr>
          <w:rFonts w:eastAsiaTheme="minorEastAsia"/>
          <w:color w:val="000000" w:themeColor="text1"/>
          <w:sz w:val="22"/>
          <w:szCs w:val="22"/>
          <w:lang w:eastAsia="zh-CN"/>
        </w:rPr>
        <w:t>2</w:t>
      </w:r>
      <w:r w:rsidRPr="00A3614E">
        <w:rPr>
          <w:rFonts w:eastAsiaTheme="minorEastAsia"/>
          <w:color w:val="000000" w:themeColor="text1"/>
          <w:sz w:val="22"/>
          <w:szCs w:val="22"/>
          <w:lang w:eastAsia="ko-KR"/>
        </w:rPr>
        <w:t>0% and &gt; 10% share sustained for &gt; 100 days are shown in the legend.</w:t>
      </w:r>
    </w:p>
    <w:p w14:paraId="008436A0"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529363E8"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25046CC2"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2DDB22F6"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608082FD"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7D280F47"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58E3008A"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6700B2F1"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5F35BEB2"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7A2075E4"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06CD74BC"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50E2BE1A"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53E7EAAE"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ko-KR"/>
        </w:rPr>
      </w:pPr>
    </w:p>
    <w:p w14:paraId="261F0441" w14:textId="77777777" w:rsidR="00740E86" w:rsidRPr="00A3614E" w:rsidRDefault="00740E86" w:rsidP="00BC62D3">
      <w:pPr>
        <w:pStyle w:val="BodyText"/>
        <w:spacing w:line="276" w:lineRule="auto"/>
        <w:ind w:left="0"/>
        <w:contextualSpacing/>
        <w:rPr>
          <w:rFonts w:eastAsiaTheme="minorEastAsia"/>
          <w:color w:val="000000" w:themeColor="text1"/>
          <w:sz w:val="22"/>
          <w:szCs w:val="22"/>
          <w:lang w:eastAsia="zh-CN"/>
        </w:rPr>
      </w:pPr>
    </w:p>
    <w:p w14:paraId="41EC60D0" w14:textId="77777777" w:rsidR="00BC62D3" w:rsidRPr="00A3614E" w:rsidRDefault="00BC62D3" w:rsidP="00010D51">
      <w:pPr>
        <w:spacing w:line="276" w:lineRule="auto"/>
        <w:rPr>
          <w:rFonts w:ascii="Times New Roman" w:hAnsi="Times New Roman" w:cs="Times New Roman"/>
          <w:color w:val="000000" w:themeColor="text1"/>
          <w:lang w:eastAsia="ko-KR"/>
        </w:rPr>
      </w:pPr>
    </w:p>
    <w:p w14:paraId="62BEEF2A" w14:textId="77777777" w:rsidR="00BC62D3" w:rsidRPr="00A3614E" w:rsidRDefault="00BC62D3" w:rsidP="00BC62D3">
      <w:pPr>
        <w:pStyle w:val="BodyText"/>
        <w:spacing w:line="276" w:lineRule="auto"/>
        <w:ind w:left="0"/>
        <w:contextualSpacing/>
        <w:jc w:val="center"/>
        <w:rPr>
          <w:color w:val="000000" w:themeColor="text1"/>
          <w:sz w:val="22"/>
          <w:szCs w:val="22"/>
          <w:lang w:eastAsia="zh-CN"/>
        </w:rPr>
      </w:pPr>
      <w:r w:rsidRPr="00A3614E">
        <w:rPr>
          <w:noProof/>
          <w:color w:val="000000" w:themeColor="text1"/>
          <w:sz w:val="22"/>
          <w:szCs w:val="22"/>
          <w:lang w:eastAsia="zh-CN"/>
        </w:rPr>
        <w:lastRenderedPageBreak/>
        <w:drawing>
          <wp:inline distT="0" distB="0" distL="0" distR="0" wp14:anchorId="1852A395" wp14:editId="355A5921">
            <wp:extent cx="6648450" cy="3162300"/>
            <wp:effectExtent l="0" t="0" r="6350" b="0"/>
            <wp:docPr id="469688123" name="Picture 1" descr="A flowchart of a softwar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88123" name="Picture 1" descr="A flowchart of a software model&#10;&#10;AI-generated content may be incorrect."/>
                    <pic:cNvPicPr/>
                  </pic:nvPicPr>
                  <pic:blipFill>
                    <a:blip r:embed="rId22"/>
                    <a:stretch>
                      <a:fillRect/>
                    </a:stretch>
                  </pic:blipFill>
                  <pic:spPr>
                    <a:xfrm>
                      <a:off x="0" y="0"/>
                      <a:ext cx="6648450" cy="3162300"/>
                    </a:xfrm>
                    <a:prstGeom prst="rect">
                      <a:avLst/>
                    </a:prstGeom>
                  </pic:spPr>
                </pic:pic>
              </a:graphicData>
            </a:graphic>
          </wp:inline>
        </w:drawing>
      </w:r>
    </w:p>
    <w:p w14:paraId="51E9FB18" w14:textId="77777777" w:rsidR="00BC62D3" w:rsidRPr="00A3614E" w:rsidRDefault="00BC62D3" w:rsidP="00BC62D3">
      <w:pPr>
        <w:pStyle w:val="BodyText"/>
        <w:spacing w:line="276" w:lineRule="auto"/>
        <w:ind w:left="0"/>
        <w:contextualSpacing/>
        <w:rPr>
          <w:rFonts w:eastAsiaTheme="minorEastAsia"/>
          <w:color w:val="000000" w:themeColor="text1"/>
          <w:sz w:val="22"/>
          <w:szCs w:val="22"/>
          <w:lang w:eastAsia="zh-CN"/>
        </w:rPr>
      </w:pPr>
      <w:r w:rsidRPr="00A3614E">
        <w:rPr>
          <w:rFonts w:eastAsiaTheme="minorEastAsia"/>
          <w:color w:val="000000" w:themeColor="text1"/>
          <w:sz w:val="22"/>
          <w:szCs w:val="22"/>
          <w:lang w:eastAsia="ko-KR"/>
        </w:rPr>
        <w:t xml:space="preserve">Figure 6. Modeling framework. Variant shares from the first N weeks were used to predict the weekly peak share and duration above 10% share. Features included handcrafted and Rcatch22 descriptors. </w:t>
      </w:r>
    </w:p>
    <w:p w14:paraId="6A13AEB2" w14:textId="77777777" w:rsidR="00BC62D3" w:rsidRPr="00A3614E" w:rsidRDefault="00BC62D3" w:rsidP="00010D51">
      <w:pPr>
        <w:spacing w:line="276" w:lineRule="auto"/>
        <w:rPr>
          <w:rFonts w:ascii="Times New Roman" w:hAnsi="Times New Roman" w:cs="Times New Roman"/>
          <w:color w:val="000000" w:themeColor="text1"/>
          <w:lang w:eastAsia="ko-KR"/>
        </w:rPr>
      </w:pPr>
    </w:p>
    <w:p w14:paraId="1FBDB324" w14:textId="77777777" w:rsidR="00051702" w:rsidRPr="00A3614E" w:rsidRDefault="00051702" w:rsidP="00010D51">
      <w:pPr>
        <w:spacing w:line="276" w:lineRule="auto"/>
        <w:rPr>
          <w:rFonts w:ascii="Times New Roman" w:hAnsi="Times New Roman" w:cs="Times New Roman"/>
          <w:color w:val="000000" w:themeColor="text1"/>
          <w:lang w:eastAsia="ko-KR"/>
        </w:rPr>
        <w:sectPr w:rsidR="00051702" w:rsidRPr="00A3614E" w:rsidSect="00AB428D">
          <w:pgSz w:w="12240" w:h="15840"/>
          <w:pgMar w:top="720" w:right="720" w:bottom="720" w:left="720" w:header="720" w:footer="720" w:gutter="0"/>
          <w:cols w:space="720"/>
          <w:docGrid w:linePitch="299"/>
        </w:sectPr>
      </w:pPr>
    </w:p>
    <w:p w14:paraId="20318400" w14:textId="77777777" w:rsidR="00051702" w:rsidRPr="00A3614E" w:rsidRDefault="00051702" w:rsidP="00051702">
      <w:pPr>
        <w:pStyle w:val="BodyText"/>
        <w:spacing w:line="276" w:lineRule="auto"/>
        <w:ind w:left="0"/>
        <w:contextualSpacing/>
        <w:rPr>
          <w:rFonts w:eastAsiaTheme="minorEastAsia"/>
          <w:b/>
          <w:bCs/>
          <w:color w:val="000000" w:themeColor="text1"/>
          <w:sz w:val="22"/>
          <w:szCs w:val="22"/>
          <w:lang w:eastAsia="zh-CN"/>
        </w:rPr>
      </w:pPr>
      <w:r w:rsidRPr="00A3614E">
        <w:rPr>
          <w:rFonts w:eastAsiaTheme="minorEastAsia"/>
          <w:color w:val="000000" w:themeColor="text1"/>
          <w:sz w:val="22"/>
          <w:szCs w:val="22"/>
          <w:lang w:eastAsia="zh-CN"/>
        </w:rPr>
        <w:lastRenderedPageBreak/>
        <w:t xml:space="preserve">Table </w:t>
      </w:r>
      <w:r w:rsidRPr="00A3614E">
        <w:rPr>
          <w:rFonts w:eastAsiaTheme="minorEastAsia"/>
          <w:color w:val="000000" w:themeColor="text1"/>
          <w:sz w:val="22"/>
          <w:szCs w:val="22"/>
          <w:lang w:eastAsia="ko-KR"/>
        </w:rPr>
        <w:t>1</w:t>
      </w:r>
      <w:r w:rsidRPr="00A3614E">
        <w:rPr>
          <w:rFonts w:eastAsiaTheme="minorEastAsia"/>
          <w:color w:val="000000" w:themeColor="text1"/>
          <w:sz w:val="22"/>
          <w:szCs w:val="22"/>
          <w:lang w:eastAsia="zh-CN"/>
        </w:rPr>
        <w:t xml:space="preserve">. </w:t>
      </w:r>
      <w:r w:rsidRPr="00A3614E">
        <w:rPr>
          <w:color w:val="000000" w:themeColor="text1"/>
          <w:sz w:val="22"/>
          <w:szCs w:val="22"/>
        </w:rPr>
        <w:t xml:space="preserve"> </w:t>
      </w:r>
      <w:r w:rsidRPr="00A3614E">
        <w:rPr>
          <w:rFonts w:eastAsiaTheme="minorEastAsia"/>
          <w:color w:val="000000" w:themeColor="text1"/>
          <w:sz w:val="22"/>
          <w:szCs w:val="22"/>
          <w:lang w:eastAsia="zh-CN"/>
        </w:rPr>
        <w:t xml:space="preserve">Comparison of observed and predicted variant dominance in selected countries, defined as duration ≥100 days and peak &gt;20%. </w:t>
      </w:r>
    </w:p>
    <w:tbl>
      <w:tblPr>
        <w:tblW w:w="10800" w:type="dxa"/>
        <w:jc w:val="center"/>
        <w:tblLook w:val="04A0" w:firstRow="1" w:lastRow="0" w:firstColumn="1" w:lastColumn="0" w:noHBand="0" w:noVBand="1"/>
      </w:tblPr>
      <w:tblGrid>
        <w:gridCol w:w="1400"/>
        <w:gridCol w:w="1317"/>
        <w:gridCol w:w="1066"/>
        <w:gridCol w:w="1107"/>
        <w:gridCol w:w="1050"/>
        <w:gridCol w:w="990"/>
        <w:gridCol w:w="990"/>
        <w:gridCol w:w="992"/>
        <w:gridCol w:w="991"/>
        <w:gridCol w:w="897"/>
      </w:tblGrid>
      <w:tr w:rsidR="00051702" w:rsidRPr="00A3614E" w14:paraId="228A7CB0" w14:textId="77777777" w:rsidTr="00436C0C">
        <w:trPr>
          <w:trHeight w:val="216"/>
          <w:jc w:val="center"/>
        </w:trPr>
        <w:tc>
          <w:tcPr>
            <w:tcW w:w="1400" w:type="dxa"/>
            <w:tcBorders>
              <w:top w:val="single" w:sz="8" w:space="0" w:color="auto"/>
              <w:left w:val="nil"/>
              <w:bottom w:val="single" w:sz="4" w:space="0" w:color="auto"/>
              <w:right w:val="nil"/>
            </w:tcBorders>
            <w:shd w:val="clear" w:color="000000" w:fill="FFFFFF"/>
            <w:noWrap/>
            <w:hideMark/>
          </w:tcPr>
          <w:p w14:paraId="26A1A647" w14:textId="77777777" w:rsidR="00051702" w:rsidRPr="00A3614E" w:rsidRDefault="00051702" w:rsidP="00436C0C">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Country</w:t>
            </w:r>
          </w:p>
        </w:tc>
        <w:tc>
          <w:tcPr>
            <w:tcW w:w="1317" w:type="dxa"/>
            <w:tcBorders>
              <w:top w:val="single" w:sz="8" w:space="0" w:color="auto"/>
              <w:left w:val="nil"/>
              <w:bottom w:val="single" w:sz="4" w:space="0" w:color="auto"/>
              <w:right w:val="nil"/>
            </w:tcBorders>
            <w:shd w:val="clear" w:color="000000" w:fill="FFFFFF"/>
            <w:noWrap/>
            <w:hideMark/>
          </w:tcPr>
          <w:p w14:paraId="2274C710" w14:textId="77777777" w:rsidR="00051702" w:rsidRPr="00A3614E" w:rsidRDefault="00051702" w:rsidP="00436C0C">
            <w:pPr>
              <w:spacing w:line="276" w:lineRule="auto"/>
              <w:contextualSpacing/>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Lineage</w:t>
            </w:r>
          </w:p>
        </w:tc>
        <w:tc>
          <w:tcPr>
            <w:tcW w:w="1066" w:type="dxa"/>
            <w:tcBorders>
              <w:top w:val="single" w:sz="8" w:space="0" w:color="auto"/>
              <w:left w:val="nil"/>
              <w:bottom w:val="single" w:sz="4" w:space="0" w:color="auto"/>
              <w:right w:val="nil"/>
            </w:tcBorders>
            <w:shd w:val="clear" w:color="000000" w:fill="FFFFFF"/>
            <w:noWrap/>
            <w:hideMark/>
          </w:tcPr>
          <w:p w14:paraId="75057F69" w14:textId="77777777" w:rsidR="00051702" w:rsidRPr="00A3614E" w:rsidRDefault="00051702" w:rsidP="00436C0C">
            <w:pPr>
              <w:spacing w:line="276" w:lineRule="auto"/>
              <w:contextualSpacing/>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Onset date</w:t>
            </w:r>
          </w:p>
        </w:tc>
        <w:tc>
          <w:tcPr>
            <w:tcW w:w="1107" w:type="dxa"/>
            <w:tcBorders>
              <w:top w:val="single" w:sz="8" w:space="0" w:color="auto"/>
              <w:left w:val="nil"/>
              <w:bottom w:val="single" w:sz="4" w:space="0" w:color="auto"/>
              <w:right w:val="nil"/>
            </w:tcBorders>
            <w:shd w:val="clear" w:color="000000" w:fill="FFFFFF"/>
            <w:noWrap/>
            <w:hideMark/>
          </w:tcPr>
          <w:p w14:paraId="6EF5CDBC" w14:textId="77777777" w:rsidR="00051702" w:rsidRPr="00A3614E" w:rsidRDefault="00051702" w:rsidP="00436C0C">
            <w:pPr>
              <w:spacing w:line="276" w:lineRule="auto"/>
              <w:contextualSpacing/>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Offset date</w:t>
            </w:r>
          </w:p>
        </w:tc>
        <w:tc>
          <w:tcPr>
            <w:tcW w:w="1050" w:type="dxa"/>
            <w:tcBorders>
              <w:top w:val="single" w:sz="8" w:space="0" w:color="auto"/>
              <w:left w:val="nil"/>
              <w:bottom w:val="single" w:sz="4" w:space="0" w:color="auto"/>
              <w:right w:val="nil"/>
            </w:tcBorders>
            <w:shd w:val="clear" w:color="000000" w:fill="FFFFFF"/>
            <w:noWrap/>
            <w:hideMark/>
          </w:tcPr>
          <w:p w14:paraId="66E2A965" w14:textId="77777777" w:rsidR="00051702" w:rsidRPr="00A3614E" w:rsidRDefault="00051702" w:rsidP="00436C0C">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Pred. Peak</w:t>
            </w:r>
          </w:p>
        </w:tc>
        <w:tc>
          <w:tcPr>
            <w:tcW w:w="990" w:type="dxa"/>
            <w:tcBorders>
              <w:top w:val="single" w:sz="8" w:space="0" w:color="auto"/>
              <w:left w:val="nil"/>
              <w:bottom w:val="single" w:sz="4" w:space="0" w:color="auto"/>
              <w:right w:val="nil"/>
            </w:tcBorders>
            <w:shd w:val="clear" w:color="000000" w:fill="FFFFFF"/>
            <w:noWrap/>
            <w:hideMark/>
          </w:tcPr>
          <w:p w14:paraId="20896A86" w14:textId="77777777" w:rsidR="00051702" w:rsidRPr="00A3614E" w:rsidRDefault="00051702" w:rsidP="00436C0C">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Obs. Peak</w:t>
            </w:r>
          </w:p>
        </w:tc>
        <w:tc>
          <w:tcPr>
            <w:tcW w:w="990" w:type="dxa"/>
            <w:tcBorders>
              <w:top w:val="single" w:sz="8" w:space="0" w:color="auto"/>
              <w:left w:val="nil"/>
              <w:bottom w:val="single" w:sz="4" w:space="0" w:color="auto"/>
              <w:right w:val="nil"/>
            </w:tcBorders>
            <w:shd w:val="clear" w:color="000000" w:fill="FFFFFF"/>
            <w:noWrap/>
            <w:hideMark/>
          </w:tcPr>
          <w:p w14:paraId="52C8608F" w14:textId="77777777" w:rsidR="00051702" w:rsidRPr="00A3614E" w:rsidRDefault="00051702" w:rsidP="00436C0C">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Peak. Acc.</w:t>
            </w:r>
          </w:p>
        </w:tc>
        <w:tc>
          <w:tcPr>
            <w:tcW w:w="992" w:type="dxa"/>
            <w:tcBorders>
              <w:top w:val="single" w:sz="8" w:space="0" w:color="auto"/>
              <w:left w:val="nil"/>
              <w:bottom w:val="single" w:sz="4" w:space="0" w:color="auto"/>
              <w:right w:val="nil"/>
            </w:tcBorders>
            <w:shd w:val="clear" w:color="000000" w:fill="FFFFFF"/>
            <w:noWrap/>
            <w:hideMark/>
          </w:tcPr>
          <w:p w14:paraId="6C2D2B88" w14:textId="77777777" w:rsidR="00051702" w:rsidRPr="00A3614E" w:rsidRDefault="00051702" w:rsidP="00436C0C">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Pred. Dur.</w:t>
            </w:r>
          </w:p>
        </w:tc>
        <w:tc>
          <w:tcPr>
            <w:tcW w:w="991" w:type="dxa"/>
            <w:tcBorders>
              <w:top w:val="single" w:sz="8" w:space="0" w:color="auto"/>
              <w:left w:val="nil"/>
              <w:bottom w:val="single" w:sz="4" w:space="0" w:color="auto"/>
              <w:right w:val="nil"/>
            </w:tcBorders>
            <w:shd w:val="clear" w:color="000000" w:fill="FFFFFF"/>
            <w:noWrap/>
            <w:hideMark/>
          </w:tcPr>
          <w:p w14:paraId="1BEBFB97" w14:textId="77777777" w:rsidR="00051702" w:rsidRPr="00A3614E" w:rsidRDefault="00051702" w:rsidP="00436C0C">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Obs. Dur.</w:t>
            </w:r>
          </w:p>
        </w:tc>
        <w:tc>
          <w:tcPr>
            <w:tcW w:w="897" w:type="dxa"/>
            <w:tcBorders>
              <w:top w:val="single" w:sz="8" w:space="0" w:color="auto"/>
              <w:left w:val="nil"/>
              <w:bottom w:val="single" w:sz="4" w:space="0" w:color="auto"/>
              <w:right w:val="nil"/>
            </w:tcBorders>
            <w:shd w:val="clear" w:color="000000" w:fill="FFFFFF"/>
            <w:noWrap/>
            <w:hideMark/>
          </w:tcPr>
          <w:p w14:paraId="471F9B02" w14:textId="77777777" w:rsidR="00051702" w:rsidRPr="00A3614E" w:rsidRDefault="00051702" w:rsidP="00436C0C">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Dur. Acc.</w:t>
            </w:r>
          </w:p>
        </w:tc>
      </w:tr>
      <w:tr w:rsidR="00051702" w:rsidRPr="00A3614E" w14:paraId="17EC5152" w14:textId="77777777" w:rsidTr="00436C0C">
        <w:trPr>
          <w:trHeight w:val="216"/>
          <w:jc w:val="center"/>
        </w:trPr>
        <w:tc>
          <w:tcPr>
            <w:tcW w:w="1400" w:type="dxa"/>
            <w:vMerge w:val="restart"/>
            <w:tcBorders>
              <w:top w:val="nil"/>
              <w:left w:val="nil"/>
              <w:bottom w:val="single" w:sz="4" w:space="0" w:color="000000"/>
              <w:right w:val="nil"/>
            </w:tcBorders>
            <w:shd w:val="clear" w:color="000000" w:fill="FFFFFF"/>
            <w:noWrap/>
            <w:hideMark/>
          </w:tcPr>
          <w:p w14:paraId="35DE211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United States</w:t>
            </w:r>
          </w:p>
        </w:tc>
        <w:tc>
          <w:tcPr>
            <w:tcW w:w="1317" w:type="dxa"/>
            <w:tcBorders>
              <w:top w:val="nil"/>
              <w:left w:val="nil"/>
              <w:bottom w:val="nil"/>
              <w:right w:val="nil"/>
            </w:tcBorders>
            <w:shd w:val="clear" w:color="000000" w:fill="FFFFFF"/>
            <w:noWrap/>
            <w:hideMark/>
          </w:tcPr>
          <w:p w14:paraId="25A73456"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B.1.2</w:t>
            </w:r>
          </w:p>
        </w:tc>
        <w:tc>
          <w:tcPr>
            <w:tcW w:w="1066" w:type="dxa"/>
            <w:tcBorders>
              <w:top w:val="nil"/>
              <w:left w:val="nil"/>
              <w:bottom w:val="nil"/>
              <w:right w:val="nil"/>
            </w:tcBorders>
            <w:shd w:val="clear" w:color="000000" w:fill="FFFFFF"/>
            <w:noWrap/>
            <w:hideMark/>
          </w:tcPr>
          <w:p w14:paraId="1A8F92B3"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2020-03-09</w:t>
            </w:r>
          </w:p>
        </w:tc>
        <w:tc>
          <w:tcPr>
            <w:tcW w:w="1107" w:type="dxa"/>
            <w:tcBorders>
              <w:top w:val="nil"/>
              <w:left w:val="nil"/>
              <w:bottom w:val="nil"/>
              <w:right w:val="nil"/>
            </w:tcBorders>
            <w:shd w:val="clear" w:color="000000" w:fill="FFFFFF"/>
            <w:noWrap/>
            <w:hideMark/>
          </w:tcPr>
          <w:p w14:paraId="10FB8D22"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2023-07-17</w:t>
            </w:r>
          </w:p>
        </w:tc>
        <w:tc>
          <w:tcPr>
            <w:tcW w:w="1050" w:type="dxa"/>
            <w:tcBorders>
              <w:top w:val="nil"/>
              <w:left w:val="nil"/>
              <w:bottom w:val="nil"/>
              <w:right w:val="nil"/>
            </w:tcBorders>
            <w:shd w:val="clear" w:color="000000" w:fill="FFFFFF"/>
            <w:noWrap/>
            <w:hideMark/>
          </w:tcPr>
          <w:p w14:paraId="1D621C5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57E6A21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45E4BCF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7333536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1313B5A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762C2DF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051702" w:rsidRPr="00A3614E" w14:paraId="57C212B7" w14:textId="77777777" w:rsidTr="00436C0C">
        <w:trPr>
          <w:trHeight w:val="216"/>
          <w:jc w:val="center"/>
        </w:trPr>
        <w:tc>
          <w:tcPr>
            <w:tcW w:w="1400" w:type="dxa"/>
            <w:vMerge/>
            <w:tcBorders>
              <w:top w:val="nil"/>
              <w:left w:val="nil"/>
              <w:bottom w:val="single" w:sz="4" w:space="0" w:color="000000"/>
              <w:right w:val="nil"/>
            </w:tcBorders>
            <w:hideMark/>
          </w:tcPr>
          <w:p w14:paraId="5FF8828A"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5BB4DA7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Q (B.1.1.7)</w:t>
            </w:r>
          </w:p>
        </w:tc>
        <w:tc>
          <w:tcPr>
            <w:tcW w:w="1066" w:type="dxa"/>
            <w:tcBorders>
              <w:top w:val="nil"/>
              <w:left w:val="nil"/>
              <w:bottom w:val="nil"/>
              <w:right w:val="nil"/>
            </w:tcBorders>
            <w:shd w:val="clear" w:color="000000" w:fill="FFFFFF"/>
            <w:noWrap/>
            <w:hideMark/>
          </w:tcPr>
          <w:p w14:paraId="442E34D7"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2020-03-12</w:t>
            </w:r>
          </w:p>
        </w:tc>
        <w:tc>
          <w:tcPr>
            <w:tcW w:w="1107" w:type="dxa"/>
            <w:tcBorders>
              <w:top w:val="nil"/>
              <w:left w:val="nil"/>
              <w:bottom w:val="nil"/>
              <w:right w:val="nil"/>
            </w:tcBorders>
            <w:shd w:val="clear" w:color="000000" w:fill="FFFFFF"/>
            <w:noWrap/>
            <w:hideMark/>
          </w:tcPr>
          <w:p w14:paraId="3BADF0A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2024-03-04</w:t>
            </w:r>
          </w:p>
        </w:tc>
        <w:tc>
          <w:tcPr>
            <w:tcW w:w="1050" w:type="dxa"/>
            <w:tcBorders>
              <w:top w:val="nil"/>
              <w:left w:val="nil"/>
              <w:bottom w:val="nil"/>
              <w:right w:val="nil"/>
            </w:tcBorders>
            <w:shd w:val="clear" w:color="000000" w:fill="FFFFFF"/>
            <w:noWrap/>
            <w:hideMark/>
          </w:tcPr>
          <w:p w14:paraId="1AF4FFC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4404F3A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D03DAE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67F2BC1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6625CFA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539D61E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051702" w:rsidRPr="00A3614E" w14:paraId="42187723" w14:textId="77777777" w:rsidTr="00436C0C">
        <w:trPr>
          <w:trHeight w:val="216"/>
          <w:jc w:val="center"/>
        </w:trPr>
        <w:tc>
          <w:tcPr>
            <w:tcW w:w="1400" w:type="dxa"/>
            <w:vMerge/>
            <w:tcBorders>
              <w:top w:val="nil"/>
              <w:left w:val="nil"/>
              <w:bottom w:val="single" w:sz="4" w:space="0" w:color="000000"/>
              <w:right w:val="nil"/>
            </w:tcBorders>
            <w:hideMark/>
          </w:tcPr>
          <w:p w14:paraId="4B54E5F9"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13076617"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BA.2 (BA.2)</w:t>
            </w:r>
          </w:p>
        </w:tc>
        <w:tc>
          <w:tcPr>
            <w:tcW w:w="1066" w:type="dxa"/>
            <w:tcBorders>
              <w:top w:val="nil"/>
              <w:left w:val="nil"/>
              <w:bottom w:val="nil"/>
              <w:right w:val="nil"/>
            </w:tcBorders>
            <w:shd w:val="clear" w:color="000000" w:fill="FFFFFF"/>
            <w:noWrap/>
            <w:hideMark/>
          </w:tcPr>
          <w:p w14:paraId="1DE431A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2020-04-03</w:t>
            </w:r>
          </w:p>
        </w:tc>
        <w:tc>
          <w:tcPr>
            <w:tcW w:w="1107" w:type="dxa"/>
            <w:tcBorders>
              <w:top w:val="nil"/>
              <w:left w:val="nil"/>
              <w:bottom w:val="nil"/>
              <w:right w:val="nil"/>
            </w:tcBorders>
            <w:shd w:val="clear" w:color="000000" w:fill="FFFFFF"/>
            <w:noWrap/>
            <w:hideMark/>
          </w:tcPr>
          <w:p w14:paraId="5651E7CD"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2024-08-22</w:t>
            </w:r>
          </w:p>
        </w:tc>
        <w:tc>
          <w:tcPr>
            <w:tcW w:w="1050" w:type="dxa"/>
            <w:tcBorders>
              <w:top w:val="nil"/>
              <w:left w:val="nil"/>
              <w:bottom w:val="nil"/>
              <w:right w:val="nil"/>
            </w:tcBorders>
            <w:shd w:val="clear" w:color="000000" w:fill="FFFFFF"/>
            <w:noWrap/>
            <w:hideMark/>
          </w:tcPr>
          <w:p w14:paraId="1F36814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90A90E2"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564ECE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3BE0C8E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398863A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06371F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21E61777" w14:textId="77777777" w:rsidTr="00436C0C">
        <w:trPr>
          <w:trHeight w:val="216"/>
          <w:jc w:val="center"/>
        </w:trPr>
        <w:tc>
          <w:tcPr>
            <w:tcW w:w="1400" w:type="dxa"/>
            <w:vMerge/>
            <w:tcBorders>
              <w:top w:val="nil"/>
              <w:left w:val="nil"/>
              <w:bottom w:val="single" w:sz="4" w:space="0" w:color="000000"/>
              <w:right w:val="nil"/>
            </w:tcBorders>
            <w:hideMark/>
          </w:tcPr>
          <w:p w14:paraId="3F9F4219"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5BB77E64"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XBB.1.5</w:t>
            </w:r>
          </w:p>
        </w:tc>
        <w:tc>
          <w:tcPr>
            <w:tcW w:w="1066" w:type="dxa"/>
            <w:tcBorders>
              <w:top w:val="nil"/>
              <w:left w:val="nil"/>
              <w:bottom w:val="nil"/>
              <w:right w:val="nil"/>
            </w:tcBorders>
            <w:shd w:val="clear" w:color="000000" w:fill="FFFFFF"/>
            <w:noWrap/>
            <w:hideMark/>
          </w:tcPr>
          <w:p w14:paraId="29789CD8"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2020-04-04</w:t>
            </w:r>
          </w:p>
        </w:tc>
        <w:tc>
          <w:tcPr>
            <w:tcW w:w="1107" w:type="dxa"/>
            <w:tcBorders>
              <w:top w:val="nil"/>
              <w:left w:val="nil"/>
              <w:bottom w:val="nil"/>
              <w:right w:val="nil"/>
            </w:tcBorders>
            <w:shd w:val="clear" w:color="000000" w:fill="FFFFFF"/>
            <w:noWrap/>
            <w:hideMark/>
          </w:tcPr>
          <w:p w14:paraId="1325CE22"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2024-07-16</w:t>
            </w:r>
          </w:p>
        </w:tc>
        <w:tc>
          <w:tcPr>
            <w:tcW w:w="1050" w:type="dxa"/>
            <w:tcBorders>
              <w:top w:val="nil"/>
              <w:left w:val="nil"/>
              <w:bottom w:val="nil"/>
              <w:right w:val="nil"/>
            </w:tcBorders>
            <w:shd w:val="clear" w:color="000000" w:fill="FFFFFF"/>
            <w:noWrap/>
            <w:hideMark/>
          </w:tcPr>
          <w:p w14:paraId="2C61A2A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8A9B24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128AD1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708676F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718EF9D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513566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3107F8AE" w14:textId="77777777" w:rsidTr="00436C0C">
        <w:trPr>
          <w:trHeight w:val="216"/>
          <w:jc w:val="center"/>
        </w:trPr>
        <w:tc>
          <w:tcPr>
            <w:tcW w:w="1400" w:type="dxa"/>
            <w:vMerge/>
            <w:tcBorders>
              <w:top w:val="nil"/>
              <w:left w:val="nil"/>
              <w:bottom w:val="single" w:sz="4" w:space="0" w:color="000000"/>
              <w:right w:val="nil"/>
            </w:tcBorders>
            <w:hideMark/>
          </w:tcPr>
          <w:p w14:paraId="131F019B"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78D54D4"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AY.103</w:t>
            </w:r>
          </w:p>
        </w:tc>
        <w:tc>
          <w:tcPr>
            <w:tcW w:w="1066" w:type="dxa"/>
            <w:tcBorders>
              <w:top w:val="nil"/>
              <w:left w:val="nil"/>
              <w:bottom w:val="nil"/>
              <w:right w:val="nil"/>
            </w:tcBorders>
            <w:shd w:val="clear" w:color="000000" w:fill="FFFFFF"/>
            <w:noWrap/>
            <w:hideMark/>
          </w:tcPr>
          <w:p w14:paraId="73FC015C"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2020-05-14</w:t>
            </w:r>
          </w:p>
        </w:tc>
        <w:tc>
          <w:tcPr>
            <w:tcW w:w="1107" w:type="dxa"/>
            <w:tcBorders>
              <w:top w:val="nil"/>
              <w:left w:val="nil"/>
              <w:bottom w:val="nil"/>
              <w:right w:val="nil"/>
            </w:tcBorders>
            <w:shd w:val="clear" w:color="000000" w:fill="FFFFFF"/>
            <w:noWrap/>
            <w:hideMark/>
          </w:tcPr>
          <w:p w14:paraId="25CD170B"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2023-02-01</w:t>
            </w:r>
          </w:p>
        </w:tc>
        <w:tc>
          <w:tcPr>
            <w:tcW w:w="1050" w:type="dxa"/>
            <w:tcBorders>
              <w:top w:val="nil"/>
              <w:left w:val="nil"/>
              <w:bottom w:val="nil"/>
              <w:right w:val="nil"/>
            </w:tcBorders>
            <w:shd w:val="clear" w:color="000000" w:fill="FFFFFF"/>
            <w:noWrap/>
            <w:hideMark/>
          </w:tcPr>
          <w:p w14:paraId="47F9B4C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198D71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F813C7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4BF88AC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18F0B1F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64E7F0A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1FA1109F" w14:textId="77777777" w:rsidTr="00436C0C">
        <w:trPr>
          <w:trHeight w:val="216"/>
          <w:jc w:val="center"/>
        </w:trPr>
        <w:tc>
          <w:tcPr>
            <w:tcW w:w="1400" w:type="dxa"/>
            <w:vMerge/>
            <w:tcBorders>
              <w:top w:val="nil"/>
              <w:left w:val="nil"/>
              <w:bottom w:val="single" w:sz="4" w:space="0" w:color="000000"/>
              <w:right w:val="nil"/>
            </w:tcBorders>
            <w:hideMark/>
          </w:tcPr>
          <w:p w14:paraId="19DC0607"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8DFF3B7"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BG (BA.2.12.1)</w:t>
            </w:r>
          </w:p>
        </w:tc>
        <w:tc>
          <w:tcPr>
            <w:tcW w:w="1066" w:type="dxa"/>
            <w:tcBorders>
              <w:top w:val="nil"/>
              <w:left w:val="nil"/>
              <w:bottom w:val="nil"/>
              <w:right w:val="nil"/>
            </w:tcBorders>
            <w:shd w:val="clear" w:color="000000" w:fill="FFFFFF"/>
            <w:noWrap/>
            <w:hideMark/>
          </w:tcPr>
          <w:p w14:paraId="32957DA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2020-08-18</w:t>
            </w:r>
          </w:p>
        </w:tc>
        <w:tc>
          <w:tcPr>
            <w:tcW w:w="1107" w:type="dxa"/>
            <w:tcBorders>
              <w:top w:val="nil"/>
              <w:left w:val="nil"/>
              <w:bottom w:val="nil"/>
              <w:right w:val="nil"/>
            </w:tcBorders>
            <w:shd w:val="clear" w:color="000000" w:fill="FFFFFF"/>
            <w:noWrap/>
            <w:hideMark/>
          </w:tcPr>
          <w:p w14:paraId="2C028F7E"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2024-08-28</w:t>
            </w:r>
          </w:p>
        </w:tc>
        <w:tc>
          <w:tcPr>
            <w:tcW w:w="1050" w:type="dxa"/>
            <w:tcBorders>
              <w:top w:val="nil"/>
              <w:left w:val="nil"/>
              <w:bottom w:val="nil"/>
              <w:right w:val="nil"/>
            </w:tcBorders>
            <w:shd w:val="clear" w:color="000000" w:fill="FFFFFF"/>
            <w:noWrap/>
            <w:hideMark/>
          </w:tcPr>
          <w:p w14:paraId="7947991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4AC993D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238D89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49DA425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552FFEDD"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2D51366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449CACF3" w14:textId="77777777" w:rsidTr="00436C0C">
        <w:trPr>
          <w:trHeight w:val="216"/>
          <w:jc w:val="center"/>
        </w:trPr>
        <w:tc>
          <w:tcPr>
            <w:tcW w:w="1400" w:type="dxa"/>
            <w:vMerge/>
            <w:tcBorders>
              <w:top w:val="nil"/>
              <w:left w:val="nil"/>
              <w:bottom w:val="single" w:sz="4" w:space="0" w:color="000000"/>
              <w:right w:val="nil"/>
            </w:tcBorders>
            <w:hideMark/>
          </w:tcPr>
          <w:p w14:paraId="01075944"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11F82D58"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BF (BA.5.2.1)</w:t>
            </w:r>
          </w:p>
        </w:tc>
        <w:tc>
          <w:tcPr>
            <w:tcW w:w="1066" w:type="dxa"/>
            <w:tcBorders>
              <w:top w:val="nil"/>
              <w:left w:val="nil"/>
              <w:bottom w:val="nil"/>
              <w:right w:val="nil"/>
            </w:tcBorders>
            <w:shd w:val="clear" w:color="000000" w:fill="FFFFFF"/>
            <w:noWrap/>
            <w:hideMark/>
          </w:tcPr>
          <w:p w14:paraId="78F03FD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2021-11-05</w:t>
            </w:r>
          </w:p>
        </w:tc>
        <w:tc>
          <w:tcPr>
            <w:tcW w:w="1107" w:type="dxa"/>
            <w:tcBorders>
              <w:top w:val="nil"/>
              <w:left w:val="nil"/>
              <w:bottom w:val="nil"/>
              <w:right w:val="nil"/>
            </w:tcBorders>
            <w:shd w:val="clear" w:color="000000" w:fill="FFFFFF"/>
            <w:noWrap/>
            <w:hideMark/>
          </w:tcPr>
          <w:p w14:paraId="33CD18C5"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2024-04-11</w:t>
            </w:r>
          </w:p>
        </w:tc>
        <w:tc>
          <w:tcPr>
            <w:tcW w:w="1050" w:type="dxa"/>
            <w:tcBorders>
              <w:top w:val="nil"/>
              <w:left w:val="nil"/>
              <w:bottom w:val="nil"/>
              <w:right w:val="nil"/>
            </w:tcBorders>
            <w:shd w:val="clear" w:color="000000" w:fill="FFFFFF"/>
            <w:noWrap/>
            <w:hideMark/>
          </w:tcPr>
          <w:p w14:paraId="5E3C05B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FB460F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5F9175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400100C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0187B78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E98525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257D78D5" w14:textId="77777777" w:rsidTr="00436C0C">
        <w:trPr>
          <w:trHeight w:val="216"/>
          <w:jc w:val="center"/>
        </w:trPr>
        <w:tc>
          <w:tcPr>
            <w:tcW w:w="1400" w:type="dxa"/>
            <w:vMerge/>
            <w:tcBorders>
              <w:top w:val="nil"/>
              <w:left w:val="nil"/>
              <w:bottom w:val="single" w:sz="4" w:space="0" w:color="000000"/>
              <w:right w:val="nil"/>
            </w:tcBorders>
            <w:hideMark/>
          </w:tcPr>
          <w:p w14:paraId="49A3D28C"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CD130C2"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BQ.1.1</w:t>
            </w:r>
          </w:p>
        </w:tc>
        <w:tc>
          <w:tcPr>
            <w:tcW w:w="1066" w:type="dxa"/>
            <w:tcBorders>
              <w:top w:val="nil"/>
              <w:left w:val="nil"/>
              <w:bottom w:val="nil"/>
              <w:right w:val="nil"/>
            </w:tcBorders>
            <w:shd w:val="clear" w:color="000000" w:fill="FFFFFF"/>
            <w:noWrap/>
            <w:hideMark/>
          </w:tcPr>
          <w:p w14:paraId="70484B87"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2021-11-30</w:t>
            </w:r>
          </w:p>
        </w:tc>
        <w:tc>
          <w:tcPr>
            <w:tcW w:w="1107" w:type="dxa"/>
            <w:tcBorders>
              <w:top w:val="nil"/>
              <w:left w:val="nil"/>
              <w:bottom w:val="nil"/>
              <w:right w:val="nil"/>
            </w:tcBorders>
            <w:shd w:val="clear" w:color="000000" w:fill="FFFFFF"/>
            <w:noWrap/>
            <w:hideMark/>
          </w:tcPr>
          <w:p w14:paraId="20867E12"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2024-03-27</w:t>
            </w:r>
          </w:p>
        </w:tc>
        <w:tc>
          <w:tcPr>
            <w:tcW w:w="1050" w:type="dxa"/>
            <w:tcBorders>
              <w:top w:val="nil"/>
              <w:left w:val="nil"/>
              <w:bottom w:val="nil"/>
              <w:right w:val="nil"/>
            </w:tcBorders>
            <w:shd w:val="clear" w:color="000000" w:fill="FFFFFF"/>
            <w:noWrap/>
            <w:hideMark/>
          </w:tcPr>
          <w:p w14:paraId="629F2E1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FB8E382"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42FCA4F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7150FD5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4B14684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68F1F62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204AB6FB" w14:textId="77777777" w:rsidTr="00436C0C">
        <w:trPr>
          <w:trHeight w:val="216"/>
          <w:jc w:val="center"/>
        </w:trPr>
        <w:tc>
          <w:tcPr>
            <w:tcW w:w="1400" w:type="dxa"/>
            <w:vMerge/>
            <w:tcBorders>
              <w:top w:val="nil"/>
              <w:left w:val="nil"/>
              <w:bottom w:val="single" w:sz="4" w:space="0" w:color="000000"/>
              <w:right w:val="nil"/>
            </w:tcBorders>
            <w:hideMark/>
          </w:tcPr>
          <w:p w14:paraId="59915978"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3822457C"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HV.1</w:t>
            </w:r>
          </w:p>
        </w:tc>
        <w:tc>
          <w:tcPr>
            <w:tcW w:w="1066" w:type="dxa"/>
            <w:tcBorders>
              <w:top w:val="nil"/>
              <w:left w:val="nil"/>
              <w:bottom w:val="nil"/>
              <w:right w:val="nil"/>
            </w:tcBorders>
            <w:shd w:val="clear" w:color="000000" w:fill="FFFFFF"/>
            <w:noWrap/>
            <w:hideMark/>
          </w:tcPr>
          <w:p w14:paraId="15D0675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2023-01-09</w:t>
            </w:r>
          </w:p>
        </w:tc>
        <w:tc>
          <w:tcPr>
            <w:tcW w:w="1107" w:type="dxa"/>
            <w:tcBorders>
              <w:top w:val="nil"/>
              <w:left w:val="nil"/>
              <w:bottom w:val="nil"/>
              <w:right w:val="nil"/>
            </w:tcBorders>
            <w:shd w:val="clear" w:color="000000" w:fill="FFFFFF"/>
            <w:noWrap/>
            <w:hideMark/>
          </w:tcPr>
          <w:p w14:paraId="7718238D"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2024-08-16</w:t>
            </w:r>
          </w:p>
        </w:tc>
        <w:tc>
          <w:tcPr>
            <w:tcW w:w="1050" w:type="dxa"/>
            <w:tcBorders>
              <w:top w:val="nil"/>
              <w:left w:val="nil"/>
              <w:bottom w:val="nil"/>
              <w:right w:val="nil"/>
            </w:tcBorders>
            <w:shd w:val="clear" w:color="000000" w:fill="FFFFFF"/>
            <w:noWrap/>
            <w:hideMark/>
          </w:tcPr>
          <w:p w14:paraId="7418E0F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97B509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ACFFAF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67DA9EA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49065CB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41FBAB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7B19B5EC" w14:textId="77777777" w:rsidTr="00436C0C">
        <w:trPr>
          <w:trHeight w:val="216"/>
          <w:jc w:val="center"/>
        </w:trPr>
        <w:tc>
          <w:tcPr>
            <w:tcW w:w="1400" w:type="dxa"/>
            <w:vMerge/>
            <w:tcBorders>
              <w:top w:val="nil"/>
              <w:left w:val="nil"/>
              <w:bottom w:val="single" w:sz="4" w:space="0" w:color="000000"/>
              <w:right w:val="nil"/>
            </w:tcBorders>
            <w:hideMark/>
          </w:tcPr>
          <w:p w14:paraId="6D5A6D02"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4114DDE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w:t>
            </w:r>
          </w:p>
        </w:tc>
        <w:tc>
          <w:tcPr>
            <w:tcW w:w="1066" w:type="dxa"/>
            <w:tcBorders>
              <w:top w:val="nil"/>
              <w:left w:val="nil"/>
              <w:bottom w:val="nil"/>
              <w:right w:val="nil"/>
            </w:tcBorders>
            <w:shd w:val="clear" w:color="000000" w:fill="FFFFFF"/>
            <w:noWrap/>
            <w:hideMark/>
          </w:tcPr>
          <w:p w14:paraId="58921AF8"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2023-01-09</w:t>
            </w:r>
          </w:p>
        </w:tc>
        <w:tc>
          <w:tcPr>
            <w:tcW w:w="1107" w:type="dxa"/>
            <w:tcBorders>
              <w:top w:val="nil"/>
              <w:left w:val="nil"/>
              <w:bottom w:val="nil"/>
              <w:right w:val="nil"/>
            </w:tcBorders>
            <w:shd w:val="clear" w:color="000000" w:fill="FFFFFF"/>
            <w:noWrap/>
            <w:hideMark/>
          </w:tcPr>
          <w:p w14:paraId="7821887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2024-08-31</w:t>
            </w:r>
          </w:p>
        </w:tc>
        <w:tc>
          <w:tcPr>
            <w:tcW w:w="1050" w:type="dxa"/>
            <w:tcBorders>
              <w:top w:val="nil"/>
              <w:left w:val="nil"/>
              <w:bottom w:val="nil"/>
              <w:right w:val="nil"/>
            </w:tcBorders>
            <w:shd w:val="clear" w:color="000000" w:fill="FFFFFF"/>
            <w:noWrap/>
            <w:hideMark/>
          </w:tcPr>
          <w:p w14:paraId="397C238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A6CC39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998833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1AEEF5D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5C5A855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7BAFA1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38B90E86" w14:textId="77777777" w:rsidTr="00436C0C">
        <w:trPr>
          <w:trHeight w:val="216"/>
          <w:jc w:val="center"/>
        </w:trPr>
        <w:tc>
          <w:tcPr>
            <w:tcW w:w="1400" w:type="dxa"/>
            <w:vMerge/>
            <w:tcBorders>
              <w:top w:val="nil"/>
              <w:left w:val="nil"/>
              <w:bottom w:val="single" w:sz="4" w:space="0" w:color="000000"/>
              <w:right w:val="nil"/>
            </w:tcBorders>
            <w:hideMark/>
          </w:tcPr>
          <w:p w14:paraId="24650FF4"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5421C8CC"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JN.1.4</w:t>
            </w:r>
          </w:p>
        </w:tc>
        <w:tc>
          <w:tcPr>
            <w:tcW w:w="1066" w:type="dxa"/>
            <w:tcBorders>
              <w:top w:val="nil"/>
              <w:left w:val="nil"/>
              <w:bottom w:val="nil"/>
              <w:right w:val="nil"/>
            </w:tcBorders>
            <w:shd w:val="clear" w:color="000000" w:fill="FFFFFF"/>
            <w:noWrap/>
            <w:hideMark/>
          </w:tcPr>
          <w:p w14:paraId="2F212D0D"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2023-09-13</w:t>
            </w:r>
          </w:p>
        </w:tc>
        <w:tc>
          <w:tcPr>
            <w:tcW w:w="1107" w:type="dxa"/>
            <w:tcBorders>
              <w:top w:val="nil"/>
              <w:left w:val="nil"/>
              <w:bottom w:val="nil"/>
              <w:right w:val="nil"/>
            </w:tcBorders>
            <w:shd w:val="clear" w:color="000000" w:fill="FFFFFF"/>
            <w:noWrap/>
            <w:hideMark/>
          </w:tcPr>
          <w:p w14:paraId="26CA17A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2024-08-29</w:t>
            </w:r>
          </w:p>
        </w:tc>
        <w:tc>
          <w:tcPr>
            <w:tcW w:w="1050" w:type="dxa"/>
            <w:tcBorders>
              <w:top w:val="nil"/>
              <w:left w:val="nil"/>
              <w:bottom w:val="nil"/>
              <w:right w:val="nil"/>
            </w:tcBorders>
            <w:shd w:val="clear" w:color="000000" w:fill="FFFFFF"/>
            <w:noWrap/>
            <w:hideMark/>
          </w:tcPr>
          <w:p w14:paraId="31F92F0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F8E6B4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5B631B2"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499D6EA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37A9DEB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0AD2169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0BEA333F" w14:textId="77777777" w:rsidTr="00436C0C">
        <w:trPr>
          <w:trHeight w:val="216"/>
          <w:jc w:val="center"/>
        </w:trPr>
        <w:tc>
          <w:tcPr>
            <w:tcW w:w="1400" w:type="dxa"/>
            <w:vMerge/>
            <w:tcBorders>
              <w:top w:val="nil"/>
              <w:left w:val="nil"/>
              <w:bottom w:val="single" w:sz="4" w:space="0" w:color="000000"/>
              <w:right w:val="nil"/>
            </w:tcBorders>
            <w:hideMark/>
          </w:tcPr>
          <w:p w14:paraId="2E6EED98"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single" w:sz="4" w:space="0" w:color="auto"/>
              <w:right w:val="nil"/>
            </w:tcBorders>
            <w:shd w:val="clear" w:color="000000" w:fill="FFFFFF"/>
            <w:noWrap/>
            <w:hideMark/>
          </w:tcPr>
          <w:p w14:paraId="709D9B8F"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others (n = 68)</w:t>
            </w:r>
          </w:p>
        </w:tc>
        <w:tc>
          <w:tcPr>
            <w:tcW w:w="1066" w:type="dxa"/>
            <w:tcBorders>
              <w:top w:val="nil"/>
              <w:left w:val="nil"/>
              <w:bottom w:val="single" w:sz="4" w:space="0" w:color="auto"/>
              <w:right w:val="nil"/>
            </w:tcBorders>
            <w:shd w:val="clear" w:color="000000" w:fill="FFFFFF"/>
            <w:noWrap/>
            <w:hideMark/>
          </w:tcPr>
          <w:p w14:paraId="6965B7C1"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2020-03-02</w:t>
            </w:r>
          </w:p>
        </w:tc>
        <w:tc>
          <w:tcPr>
            <w:tcW w:w="1107" w:type="dxa"/>
            <w:tcBorders>
              <w:top w:val="nil"/>
              <w:left w:val="nil"/>
              <w:bottom w:val="single" w:sz="4" w:space="0" w:color="auto"/>
              <w:right w:val="nil"/>
            </w:tcBorders>
            <w:shd w:val="clear" w:color="000000" w:fill="FFFFFF"/>
            <w:noWrap/>
            <w:hideMark/>
          </w:tcPr>
          <w:p w14:paraId="7E475C3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2024-08-16</w:t>
            </w:r>
          </w:p>
        </w:tc>
        <w:tc>
          <w:tcPr>
            <w:tcW w:w="1050" w:type="dxa"/>
            <w:tcBorders>
              <w:top w:val="nil"/>
              <w:left w:val="nil"/>
              <w:bottom w:val="single" w:sz="4" w:space="0" w:color="auto"/>
              <w:right w:val="nil"/>
            </w:tcBorders>
            <w:shd w:val="clear" w:color="000000" w:fill="FFFFFF"/>
            <w:noWrap/>
            <w:hideMark/>
          </w:tcPr>
          <w:p w14:paraId="12A9F33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1CE540C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21F3E9E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2" w:type="dxa"/>
            <w:tcBorders>
              <w:top w:val="nil"/>
              <w:left w:val="nil"/>
              <w:bottom w:val="single" w:sz="4" w:space="0" w:color="auto"/>
              <w:right w:val="nil"/>
            </w:tcBorders>
            <w:shd w:val="clear" w:color="000000" w:fill="FFFFFF"/>
            <w:noWrap/>
            <w:hideMark/>
          </w:tcPr>
          <w:p w14:paraId="2561900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1" w:type="dxa"/>
            <w:tcBorders>
              <w:top w:val="nil"/>
              <w:left w:val="nil"/>
              <w:bottom w:val="single" w:sz="4" w:space="0" w:color="auto"/>
              <w:right w:val="nil"/>
            </w:tcBorders>
            <w:shd w:val="clear" w:color="000000" w:fill="FFFFFF"/>
            <w:noWrap/>
            <w:hideMark/>
          </w:tcPr>
          <w:p w14:paraId="2ADE093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897" w:type="dxa"/>
            <w:tcBorders>
              <w:top w:val="nil"/>
              <w:left w:val="nil"/>
              <w:bottom w:val="single" w:sz="4" w:space="0" w:color="auto"/>
              <w:right w:val="nil"/>
            </w:tcBorders>
            <w:shd w:val="clear" w:color="000000" w:fill="FFFFFF"/>
            <w:noWrap/>
            <w:hideMark/>
          </w:tcPr>
          <w:p w14:paraId="2315870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r>
      <w:tr w:rsidR="00051702" w:rsidRPr="00A3614E" w14:paraId="3508D265" w14:textId="77777777" w:rsidTr="00436C0C">
        <w:trPr>
          <w:trHeight w:val="216"/>
          <w:jc w:val="center"/>
        </w:trPr>
        <w:tc>
          <w:tcPr>
            <w:tcW w:w="1400" w:type="dxa"/>
            <w:vMerge w:val="restart"/>
            <w:tcBorders>
              <w:top w:val="nil"/>
              <w:left w:val="nil"/>
              <w:bottom w:val="single" w:sz="4" w:space="0" w:color="000000"/>
              <w:right w:val="nil"/>
            </w:tcBorders>
            <w:shd w:val="clear" w:color="000000" w:fill="FFFFFF"/>
            <w:noWrap/>
            <w:hideMark/>
          </w:tcPr>
          <w:p w14:paraId="32BCBC9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United Kingdom</w:t>
            </w:r>
          </w:p>
        </w:tc>
        <w:tc>
          <w:tcPr>
            <w:tcW w:w="1317" w:type="dxa"/>
            <w:tcBorders>
              <w:top w:val="nil"/>
              <w:left w:val="nil"/>
              <w:bottom w:val="nil"/>
              <w:right w:val="nil"/>
            </w:tcBorders>
            <w:shd w:val="clear" w:color="000000" w:fill="FFFFFF"/>
            <w:noWrap/>
            <w:hideMark/>
          </w:tcPr>
          <w:p w14:paraId="0D9C02B7"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B.1.1</w:t>
            </w:r>
          </w:p>
        </w:tc>
        <w:tc>
          <w:tcPr>
            <w:tcW w:w="1066" w:type="dxa"/>
            <w:tcBorders>
              <w:top w:val="nil"/>
              <w:left w:val="nil"/>
              <w:bottom w:val="nil"/>
              <w:right w:val="nil"/>
            </w:tcBorders>
            <w:shd w:val="clear" w:color="000000" w:fill="FFFFFF"/>
            <w:noWrap/>
            <w:hideMark/>
          </w:tcPr>
          <w:p w14:paraId="3520E4BF"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2020-03-02</w:t>
            </w:r>
          </w:p>
        </w:tc>
        <w:tc>
          <w:tcPr>
            <w:tcW w:w="1107" w:type="dxa"/>
            <w:tcBorders>
              <w:top w:val="nil"/>
              <w:left w:val="nil"/>
              <w:bottom w:val="nil"/>
              <w:right w:val="nil"/>
            </w:tcBorders>
            <w:shd w:val="clear" w:color="000000" w:fill="FFFFFF"/>
            <w:noWrap/>
            <w:hideMark/>
          </w:tcPr>
          <w:p w14:paraId="49F44B0D"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2022-06-23</w:t>
            </w:r>
          </w:p>
        </w:tc>
        <w:tc>
          <w:tcPr>
            <w:tcW w:w="1050" w:type="dxa"/>
            <w:tcBorders>
              <w:top w:val="nil"/>
              <w:left w:val="nil"/>
              <w:bottom w:val="nil"/>
              <w:right w:val="nil"/>
            </w:tcBorders>
            <w:shd w:val="clear" w:color="000000" w:fill="FFFFFF"/>
            <w:noWrap/>
            <w:hideMark/>
          </w:tcPr>
          <w:p w14:paraId="3BF01F7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05F5029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2370F7D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3FE14B5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4114776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935EE6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051702" w:rsidRPr="00A3614E" w14:paraId="0DEC630F" w14:textId="77777777" w:rsidTr="00436C0C">
        <w:trPr>
          <w:trHeight w:val="216"/>
          <w:jc w:val="center"/>
        </w:trPr>
        <w:tc>
          <w:tcPr>
            <w:tcW w:w="1400" w:type="dxa"/>
            <w:vMerge/>
            <w:tcBorders>
              <w:top w:val="nil"/>
              <w:left w:val="nil"/>
              <w:bottom w:val="single" w:sz="4" w:space="0" w:color="000000"/>
              <w:right w:val="nil"/>
            </w:tcBorders>
            <w:hideMark/>
          </w:tcPr>
          <w:p w14:paraId="2E7C3DC4"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6F5A5035"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Q (B.1.1.7)</w:t>
            </w:r>
          </w:p>
        </w:tc>
        <w:tc>
          <w:tcPr>
            <w:tcW w:w="1066" w:type="dxa"/>
            <w:tcBorders>
              <w:top w:val="nil"/>
              <w:left w:val="nil"/>
              <w:bottom w:val="nil"/>
              <w:right w:val="nil"/>
            </w:tcBorders>
            <w:shd w:val="clear" w:color="000000" w:fill="FFFFFF"/>
            <w:noWrap/>
            <w:hideMark/>
          </w:tcPr>
          <w:p w14:paraId="76C3F072"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2020-03-03</w:t>
            </w:r>
          </w:p>
        </w:tc>
        <w:tc>
          <w:tcPr>
            <w:tcW w:w="1107" w:type="dxa"/>
            <w:tcBorders>
              <w:top w:val="nil"/>
              <w:left w:val="nil"/>
              <w:bottom w:val="nil"/>
              <w:right w:val="nil"/>
            </w:tcBorders>
            <w:shd w:val="clear" w:color="000000" w:fill="FFFFFF"/>
            <w:noWrap/>
            <w:hideMark/>
          </w:tcPr>
          <w:p w14:paraId="55EC3488"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2022-03-03</w:t>
            </w:r>
          </w:p>
        </w:tc>
        <w:tc>
          <w:tcPr>
            <w:tcW w:w="1050" w:type="dxa"/>
            <w:tcBorders>
              <w:top w:val="nil"/>
              <w:left w:val="nil"/>
              <w:bottom w:val="nil"/>
              <w:right w:val="nil"/>
            </w:tcBorders>
            <w:shd w:val="clear" w:color="000000" w:fill="FFFFFF"/>
            <w:noWrap/>
            <w:hideMark/>
          </w:tcPr>
          <w:p w14:paraId="61A82DA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0BEB6CB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1B7035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450836C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6729B0F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577545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673F23DF" w14:textId="77777777" w:rsidTr="00436C0C">
        <w:trPr>
          <w:trHeight w:val="216"/>
          <w:jc w:val="center"/>
        </w:trPr>
        <w:tc>
          <w:tcPr>
            <w:tcW w:w="1400" w:type="dxa"/>
            <w:vMerge/>
            <w:tcBorders>
              <w:top w:val="nil"/>
              <w:left w:val="nil"/>
              <w:bottom w:val="single" w:sz="4" w:space="0" w:color="000000"/>
              <w:right w:val="nil"/>
            </w:tcBorders>
            <w:hideMark/>
          </w:tcPr>
          <w:p w14:paraId="40A0DFCF"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76B6EC3A"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BA.2 (BA.2)</w:t>
            </w:r>
          </w:p>
        </w:tc>
        <w:tc>
          <w:tcPr>
            <w:tcW w:w="1066" w:type="dxa"/>
            <w:tcBorders>
              <w:top w:val="nil"/>
              <w:left w:val="nil"/>
              <w:bottom w:val="nil"/>
              <w:right w:val="nil"/>
            </w:tcBorders>
            <w:shd w:val="clear" w:color="000000" w:fill="FFFFFF"/>
            <w:noWrap/>
            <w:hideMark/>
          </w:tcPr>
          <w:p w14:paraId="629159B7"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2021-01-01</w:t>
            </w:r>
          </w:p>
        </w:tc>
        <w:tc>
          <w:tcPr>
            <w:tcW w:w="1107" w:type="dxa"/>
            <w:tcBorders>
              <w:top w:val="nil"/>
              <w:left w:val="nil"/>
              <w:bottom w:val="nil"/>
              <w:right w:val="nil"/>
            </w:tcBorders>
            <w:shd w:val="clear" w:color="000000" w:fill="FFFFFF"/>
            <w:noWrap/>
            <w:hideMark/>
          </w:tcPr>
          <w:p w14:paraId="7D2BAA01"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2024-01-13</w:t>
            </w:r>
          </w:p>
        </w:tc>
        <w:tc>
          <w:tcPr>
            <w:tcW w:w="1050" w:type="dxa"/>
            <w:tcBorders>
              <w:top w:val="nil"/>
              <w:left w:val="nil"/>
              <w:bottom w:val="nil"/>
              <w:right w:val="nil"/>
            </w:tcBorders>
            <w:shd w:val="clear" w:color="000000" w:fill="FFFFFF"/>
            <w:noWrap/>
            <w:hideMark/>
          </w:tcPr>
          <w:p w14:paraId="0F25D11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8D41CF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C687BB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0F5DD2C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1D6AD1FD"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2606A04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56BA1534" w14:textId="77777777" w:rsidTr="00436C0C">
        <w:trPr>
          <w:trHeight w:val="216"/>
          <w:jc w:val="center"/>
        </w:trPr>
        <w:tc>
          <w:tcPr>
            <w:tcW w:w="1400" w:type="dxa"/>
            <w:vMerge/>
            <w:tcBorders>
              <w:top w:val="nil"/>
              <w:left w:val="nil"/>
              <w:bottom w:val="single" w:sz="4" w:space="0" w:color="000000"/>
              <w:right w:val="nil"/>
            </w:tcBorders>
            <w:hideMark/>
          </w:tcPr>
          <w:p w14:paraId="7C5013AD"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70FC2BE"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BA.5.1 (BA.5.1)</w:t>
            </w:r>
          </w:p>
        </w:tc>
        <w:tc>
          <w:tcPr>
            <w:tcW w:w="1066" w:type="dxa"/>
            <w:tcBorders>
              <w:top w:val="nil"/>
              <w:left w:val="nil"/>
              <w:bottom w:val="nil"/>
              <w:right w:val="nil"/>
            </w:tcBorders>
            <w:shd w:val="clear" w:color="000000" w:fill="FFFFFF"/>
            <w:noWrap/>
            <w:hideMark/>
          </w:tcPr>
          <w:p w14:paraId="22AEC645"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2022-01-12</w:t>
            </w:r>
          </w:p>
        </w:tc>
        <w:tc>
          <w:tcPr>
            <w:tcW w:w="1107" w:type="dxa"/>
            <w:tcBorders>
              <w:top w:val="nil"/>
              <w:left w:val="nil"/>
              <w:bottom w:val="nil"/>
              <w:right w:val="nil"/>
            </w:tcBorders>
            <w:shd w:val="clear" w:color="000000" w:fill="FFFFFF"/>
            <w:noWrap/>
            <w:hideMark/>
          </w:tcPr>
          <w:p w14:paraId="25F91757"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2024-05-10</w:t>
            </w:r>
          </w:p>
        </w:tc>
        <w:tc>
          <w:tcPr>
            <w:tcW w:w="1050" w:type="dxa"/>
            <w:tcBorders>
              <w:top w:val="nil"/>
              <w:left w:val="nil"/>
              <w:bottom w:val="nil"/>
              <w:right w:val="nil"/>
            </w:tcBorders>
            <w:shd w:val="clear" w:color="000000" w:fill="FFFFFF"/>
            <w:noWrap/>
            <w:hideMark/>
          </w:tcPr>
          <w:p w14:paraId="6001290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278F521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404C71A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4FB0E9D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51078C3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299BBD4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26B58851" w14:textId="77777777" w:rsidTr="00436C0C">
        <w:trPr>
          <w:trHeight w:val="216"/>
          <w:jc w:val="center"/>
        </w:trPr>
        <w:tc>
          <w:tcPr>
            <w:tcW w:w="1400" w:type="dxa"/>
            <w:vMerge/>
            <w:tcBorders>
              <w:top w:val="nil"/>
              <w:left w:val="nil"/>
              <w:bottom w:val="single" w:sz="4" w:space="0" w:color="000000"/>
              <w:right w:val="nil"/>
            </w:tcBorders>
            <w:hideMark/>
          </w:tcPr>
          <w:p w14:paraId="3BCC4AC0"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75C7FF1"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BA.5.2 (BA.5.2)</w:t>
            </w:r>
          </w:p>
        </w:tc>
        <w:tc>
          <w:tcPr>
            <w:tcW w:w="1066" w:type="dxa"/>
            <w:tcBorders>
              <w:top w:val="nil"/>
              <w:left w:val="nil"/>
              <w:bottom w:val="nil"/>
              <w:right w:val="nil"/>
            </w:tcBorders>
            <w:shd w:val="clear" w:color="000000" w:fill="FFFFFF"/>
            <w:noWrap/>
            <w:hideMark/>
          </w:tcPr>
          <w:p w14:paraId="22A5126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2022-01-17</w:t>
            </w:r>
          </w:p>
        </w:tc>
        <w:tc>
          <w:tcPr>
            <w:tcW w:w="1107" w:type="dxa"/>
            <w:tcBorders>
              <w:top w:val="nil"/>
              <w:left w:val="nil"/>
              <w:bottom w:val="nil"/>
              <w:right w:val="nil"/>
            </w:tcBorders>
            <w:shd w:val="clear" w:color="000000" w:fill="FFFFFF"/>
            <w:noWrap/>
            <w:hideMark/>
          </w:tcPr>
          <w:p w14:paraId="31BEADD7"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2024-02-12</w:t>
            </w:r>
          </w:p>
        </w:tc>
        <w:tc>
          <w:tcPr>
            <w:tcW w:w="1050" w:type="dxa"/>
            <w:tcBorders>
              <w:top w:val="nil"/>
              <w:left w:val="nil"/>
              <w:bottom w:val="nil"/>
              <w:right w:val="nil"/>
            </w:tcBorders>
            <w:shd w:val="clear" w:color="000000" w:fill="FFFFFF"/>
            <w:noWrap/>
            <w:hideMark/>
          </w:tcPr>
          <w:p w14:paraId="7B1FD71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F8B59D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00311E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40D3BC7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15F1F56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7E5F3D0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1E1B45FC" w14:textId="77777777" w:rsidTr="00436C0C">
        <w:trPr>
          <w:trHeight w:val="216"/>
          <w:jc w:val="center"/>
        </w:trPr>
        <w:tc>
          <w:tcPr>
            <w:tcW w:w="1400" w:type="dxa"/>
            <w:vMerge/>
            <w:tcBorders>
              <w:top w:val="nil"/>
              <w:left w:val="nil"/>
              <w:bottom w:val="single" w:sz="4" w:space="0" w:color="000000"/>
              <w:right w:val="nil"/>
            </w:tcBorders>
            <w:hideMark/>
          </w:tcPr>
          <w:p w14:paraId="1D3B639E"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0A69763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BQ.1.1</w:t>
            </w:r>
          </w:p>
        </w:tc>
        <w:tc>
          <w:tcPr>
            <w:tcW w:w="1066" w:type="dxa"/>
            <w:tcBorders>
              <w:top w:val="nil"/>
              <w:left w:val="nil"/>
              <w:bottom w:val="nil"/>
              <w:right w:val="nil"/>
            </w:tcBorders>
            <w:shd w:val="clear" w:color="000000" w:fill="FFFFFF"/>
            <w:noWrap/>
            <w:hideMark/>
          </w:tcPr>
          <w:p w14:paraId="0AE929AC"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2022-02-11</w:t>
            </w:r>
          </w:p>
        </w:tc>
        <w:tc>
          <w:tcPr>
            <w:tcW w:w="1107" w:type="dxa"/>
            <w:tcBorders>
              <w:top w:val="nil"/>
              <w:left w:val="nil"/>
              <w:bottom w:val="nil"/>
              <w:right w:val="nil"/>
            </w:tcBorders>
            <w:shd w:val="clear" w:color="000000" w:fill="FFFFFF"/>
            <w:noWrap/>
            <w:hideMark/>
          </w:tcPr>
          <w:p w14:paraId="2DF07178"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2024-01-01</w:t>
            </w:r>
          </w:p>
        </w:tc>
        <w:tc>
          <w:tcPr>
            <w:tcW w:w="1050" w:type="dxa"/>
            <w:tcBorders>
              <w:top w:val="nil"/>
              <w:left w:val="nil"/>
              <w:bottom w:val="nil"/>
              <w:right w:val="nil"/>
            </w:tcBorders>
            <w:shd w:val="clear" w:color="000000" w:fill="FFFFFF"/>
            <w:noWrap/>
            <w:hideMark/>
          </w:tcPr>
          <w:p w14:paraId="7C3DD51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B24E50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172A87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26B69BC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4681F482"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028E09D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78B5EB5B" w14:textId="77777777" w:rsidTr="00436C0C">
        <w:trPr>
          <w:trHeight w:val="216"/>
          <w:jc w:val="center"/>
        </w:trPr>
        <w:tc>
          <w:tcPr>
            <w:tcW w:w="1400" w:type="dxa"/>
            <w:vMerge/>
            <w:tcBorders>
              <w:top w:val="nil"/>
              <w:left w:val="nil"/>
              <w:bottom w:val="single" w:sz="4" w:space="0" w:color="000000"/>
              <w:right w:val="nil"/>
            </w:tcBorders>
            <w:hideMark/>
          </w:tcPr>
          <w:p w14:paraId="17588ABA"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3ACEB233"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XBB.1.5</w:t>
            </w:r>
          </w:p>
        </w:tc>
        <w:tc>
          <w:tcPr>
            <w:tcW w:w="1066" w:type="dxa"/>
            <w:tcBorders>
              <w:top w:val="nil"/>
              <w:left w:val="nil"/>
              <w:bottom w:val="nil"/>
              <w:right w:val="nil"/>
            </w:tcBorders>
            <w:shd w:val="clear" w:color="000000" w:fill="FFFFFF"/>
            <w:noWrap/>
            <w:hideMark/>
          </w:tcPr>
          <w:p w14:paraId="269723F3"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2022-10-30</w:t>
            </w:r>
          </w:p>
        </w:tc>
        <w:tc>
          <w:tcPr>
            <w:tcW w:w="1107" w:type="dxa"/>
            <w:tcBorders>
              <w:top w:val="nil"/>
              <w:left w:val="nil"/>
              <w:bottom w:val="nil"/>
              <w:right w:val="nil"/>
            </w:tcBorders>
            <w:shd w:val="clear" w:color="000000" w:fill="FFFFFF"/>
            <w:noWrap/>
            <w:hideMark/>
          </w:tcPr>
          <w:p w14:paraId="0F4AD774"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2024-05-28</w:t>
            </w:r>
          </w:p>
        </w:tc>
        <w:tc>
          <w:tcPr>
            <w:tcW w:w="1050" w:type="dxa"/>
            <w:tcBorders>
              <w:top w:val="nil"/>
              <w:left w:val="nil"/>
              <w:bottom w:val="nil"/>
              <w:right w:val="nil"/>
            </w:tcBorders>
            <w:shd w:val="clear" w:color="000000" w:fill="FFFFFF"/>
            <w:noWrap/>
            <w:hideMark/>
          </w:tcPr>
          <w:p w14:paraId="45383D2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198DF97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6A872A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3743F08D"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4470106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A31848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40CA43B7" w14:textId="77777777" w:rsidTr="00436C0C">
        <w:trPr>
          <w:trHeight w:val="216"/>
          <w:jc w:val="center"/>
        </w:trPr>
        <w:tc>
          <w:tcPr>
            <w:tcW w:w="1400" w:type="dxa"/>
            <w:vMerge/>
            <w:tcBorders>
              <w:top w:val="nil"/>
              <w:left w:val="nil"/>
              <w:bottom w:val="single" w:sz="4" w:space="0" w:color="000000"/>
              <w:right w:val="nil"/>
            </w:tcBorders>
            <w:hideMark/>
          </w:tcPr>
          <w:p w14:paraId="76130ABA"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538F6766"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XBB.1.16</w:t>
            </w:r>
          </w:p>
        </w:tc>
        <w:tc>
          <w:tcPr>
            <w:tcW w:w="1066" w:type="dxa"/>
            <w:tcBorders>
              <w:top w:val="nil"/>
              <w:left w:val="nil"/>
              <w:bottom w:val="nil"/>
              <w:right w:val="nil"/>
            </w:tcBorders>
            <w:shd w:val="clear" w:color="000000" w:fill="FFFFFF"/>
            <w:noWrap/>
            <w:hideMark/>
          </w:tcPr>
          <w:p w14:paraId="3F7E8833"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2023-01-01</w:t>
            </w:r>
          </w:p>
        </w:tc>
        <w:tc>
          <w:tcPr>
            <w:tcW w:w="1107" w:type="dxa"/>
            <w:tcBorders>
              <w:top w:val="nil"/>
              <w:left w:val="nil"/>
              <w:bottom w:val="nil"/>
              <w:right w:val="nil"/>
            </w:tcBorders>
            <w:shd w:val="clear" w:color="000000" w:fill="FFFFFF"/>
            <w:noWrap/>
            <w:hideMark/>
          </w:tcPr>
          <w:p w14:paraId="743BE5B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2024-04-17</w:t>
            </w:r>
          </w:p>
        </w:tc>
        <w:tc>
          <w:tcPr>
            <w:tcW w:w="1050" w:type="dxa"/>
            <w:tcBorders>
              <w:top w:val="nil"/>
              <w:left w:val="nil"/>
              <w:bottom w:val="nil"/>
              <w:right w:val="nil"/>
            </w:tcBorders>
            <w:shd w:val="clear" w:color="000000" w:fill="FFFFFF"/>
            <w:noWrap/>
            <w:hideMark/>
          </w:tcPr>
          <w:p w14:paraId="38E796F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279819BD"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1120397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1C4A0B0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5F953812"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7A94FD6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36BBAF53" w14:textId="77777777" w:rsidTr="00436C0C">
        <w:trPr>
          <w:trHeight w:val="216"/>
          <w:jc w:val="center"/>
        </w:trPr>
        <w:tc>
          <w:tcPr>
            <w:tcW w:w="1400" w:type="dxa"/>
            <w:vMerge/>
            <w:tcBorders>
              <w:top w:val="nil"/>
              <w:left w:val="nil"/>
              <w:bottom w:val="single" w:sz="4" w:space="0" w:color="000000"/>
              <w:right w:val="nil"/>
            </w:tcBorders>
            <w:hideMark/>
          </w:tcPr>
          <w:p w14:paraId="2A94A184"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3051D3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JN.1.4</w:t>
            </w:r>
          </w:p>
        </w:tc>
        <w:tc>
          <w:tcPr>
            <w:tcW w:w="1066" w:type="dxa"/>
            <w:tcBorders>
              <w:top w:val="nil"/>
              <w:left w:val="nil"/>
              <w:bottom w:val="nil"/>
              <w:right w:val="nil"/>
            </w:tcBorders>
            <w:shd w:val="clear" w:color="000000" w:fill="FFFFFF"/>
            <w:noWrap/>
            <w:hideMark/>
          </w:tcPr>
          <w:p w14:paraId="163EC623"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2023-09-18</w:t>
            </w:r>
          </w:p>
        </w:tc>
        <w:tc>
          <w:tcPr>
            <w:tcW w:w="1107" w:type="dxa"/>
            <w:tcBorders>
              <w:top w:val="nil"/>
              <w:left w:val="nil"/>
              <w:bottom w:val="nil"/>
              <w:right w:val="nil"/>
            </w:tcBorders>
            <w:shd w:val="clear" w:color="000000" w:fill="FFFFFF"/>
            <w:noWrap/>
            <w:hideMark/>
          </w:tcPr>
          <w:p w14:paraId="0143E99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2024-08-25</w:t>
            </w:r>
          </w:p>
        </w:tc>
        <w:tc>
          <w:tcPr>
            <w:tcW w:w="1050" w:type="dxa"/>
            <w:tcBorders>
              <w:top w:val="nil"/>
              <w:left w:val="nil"/>
              <w:bottom w:val="nil"/>
              <w:right w:val="nil"/>
            </w:tcBorders>
            <w:shd w:val="clear" w:color="000000" w:fill="FFFFFF"/>
            <w:noWrap/>
            <w:hideMark/>
          </w:tcPr>
          <w:p w14:paraId="2563D94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29474A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144D196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6CD472F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2D4BBEE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DE71FC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663E1C42" w14:textId="77777777" w:rsidTr="00436C0C">
        <w:trPr>
          <w:trHeight w:val="216"/>
          <w:jc w:val="center"/>
        </w:trPr>
        <w:tc>
          <w:tcPr>
            <w:tcW w:w="1400" w:type="dxa"/>
            <w:vMerge/>
            <w:tcBorders>
              <w:top w:val="nil"/>
              <w:left w:val="nil"/>
              <w:bottom w:val="single" w:sz="4" w:space="0" w:color="000000"/>
              <w:right w:val="nil"/>
            </w:tcBorders>
            <w:hideMark/>
          </w:tcPr>
          <w:p w14:paraId="5941D14D"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4D07621F"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w:t>
            </w:r>
          </w:p>
        </w:tc>
        <w:tc>
          <w:tcPr>
            <w:tcW w:w="1066" w:type="dxa"/>
            <w:tcBorders>
              <w:top w:val="nil"/>
              <w:left w:val="nil"/>
              <w:bottom w:val="nil"/>
              <w:right w:val="nil"/>
            </w:tcBorders>
            <w:shd w:val="clear" w:color="000000" w:fill="FFFFFF"/>
            <w:noWrap/>
            <w:hideMark/>
          </w:tcPr>
          <w:p w14:paraId="2F4C0F5D"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2023-09-21</w:t>
            </w:r>
          </w:p>
        </w:tc>
        <w:tc>
          <w:tcPr>
            <w:tcW w:w="1107" w:type="dxa"/>
            <w:tcBorders>
              <w:top w:val="nil"/>
              <w:left w:val="nil"/>
              <w:bottom w:val="nil"/>
              <w:right w:val="nil"/>
            </w:tcBorders>
            <w:shd w:val="clear" w:color="000000" w:fill="FFFFFF"/>
            <w:noWrap/>
            <w:hideMark/>
          </w:tcPr>
          <w:p w14:paraId="13F61CEF"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2024-08-24</w:t>
            </w:r>
          </w:p>
        </w:tc>
        <w:tc>
          <w:tcPr>
            <w:tcW w:w="1050" w:type="dxa"/>
            <w:tcBorders>
              <w:top w:val="nil"/>
              <w:left w:val="nil"/>
              <w:bottom w:val="nil"/>
              <w:right w:val="nil"/>
            </w:tcBorders>
            <w:shd w:val="clear" w:color="000000" w:fill="FFFFFF"/>
            <w:noWrap/>
            <w:hideMark/>
          </w:tcPr>
          <w:p w14:paraId="63C0AE8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1F34EB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1E20E4F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6EFC504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60A1E79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3E3DDC6D"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322C5908" w14:textId="77777777" w:rsidTr="00436C0C">
        <w:trPr>
          <w:trHeight w:val="216"/>
          <w:jc w:val="center"/>
        </w:trPr>
        <w:tc>
          <w:tcPr>
            <w:tcW w:w="1400" w:type="dxa"/>
            <w:vMerge/>
            <w:tcBorders>
              <w:top w:val="nil"/>
              <w:left w:val="nil"/>
              <w:bottom w:val="single" w:sz="4" w:space="0" w:color="000000"/>
              <w:right w:val="nil"/>
            </w:tcBorders>
            <w:hideMark/>
          </w:tcPr>
          <w:p w14:paraId="77CF07EF"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single" w:sz="4" w:space="0" w:color="auto"/>
              <w:right w:val="nil"/>
            </w:tcBorders>
            <w:shd w:val="clear" w:color="000000" w:fill="FFFFFF"/>
            <w:noWrap/>
            <w:hideMark/>
          </w:tcPr>
          <w:p w14:paraId="5C70549B"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others (n = 76)</w:t>
            </w:r>
          </w:p>
        </w:tc>
        <w:tc>
          <w:tcPr>
            <w:tcW w:w="1066" w:type="dxa"/>
            <w:tcBorders>
              <w:top w:val="nil"/>
              <w:left w:val="nil"/>
              <w:bottom w:val="single" w:sz="4" w:space="0" w:color="auto"/>
              <w:right w:val="nil"/>
            </w:tcBorders>
            <w:shd w:val="clear" w:color="000000" w:fill="FFFFFF"/>
            <w:noWrap/>
            <w:hideMark/>
          </w:tcPr>
          <w:p w14:paraId="5C6AB704"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2020-03-02</w:t>
            </w:r>
          </w:p>
        </w:tc>
        <w:tc>
          <w:tcPr>
            <w:tcW w:w="1107" w:type="dxa"/>
            <w:tcBorders>
              <w:top w:val="nil"/>
              <w:left w:val="nil"/>
              <w:bottom w:val="single" w:sz="4" w:space="0" w:color="auto"/>
              <w:right w:val="nil"/>
            </w:tcBorders>
            <w:shd w:val="clear" w:color="000000" w:fill="FFFFFF"/>
            <w:noWrap/>
            <w:hideMark/>
          </w:tcPr>
          <w:p w14:paraId="04FC0633"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2024-07-10</w:t>
            </w:r>
          </w:p>
        </w:tc>
        <w:tc>
          <w:tcPr>
            <w:tcW w:w="1050" w:type="dxa"/>
            <w:tcBorders>
              <w:top w:val="nil"/>
              <w:left w:val="nil"/>
              <w:bottom w:val="single" w:sz="4" w:space="0" w:color="auto"/>
              <w:right w:val="nil"/>
            </w:tcBorders>
            <w:shd w:val="clear" w:color="000000" w:fill="FFFFFF"/>
            <w:noWrap/>
            <w:hideMark/>
          </w:tcPr>
          <w:p w14:paraId="53867BA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6942F7E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492C6BB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2" w:type="dxa"/>
            <w:tcBorders>
              <w:top w:val="nil"/>
              <w:left w:val="nil"/>
              <w:bottom w:val="single" w:sz="4" w:space="0" w:color="auto"/>
              <w:right w:val="nil"/>
            </w:tcBorders>
            <w:shd w:val="clear" w:color="000000" w:fill="FFFFFF"/>
            <w:noWrap/>
            <w:hideMark/>
          </w:tcPr>
          <w:p w14:paraId="482E65A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1" w:type="dxa"/>
            <w:tcBorders>
              <w:top w:val="nil"/>
              <w:left w:val="nil"/>
              <w:bottom w:val="single" w:sz="4" w:space="0" w:color="auto"/>
              <w:right w:val="nil"/>
            </w:tcBorders>
            <w:shd w:val="clear" w:color="000000" w:fill="FFFFFF"/>
            <w:noWrap/>
            <w:hideMark/>
          </w:tcPr>
          <w:p w14:paraId="36FE039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897" w:type="dxa"/>
            <w:tcBorders>
              <w:top w:val="nil"/>
              <w:left w:val="nil"/>
              <w:bottom w:val="single" w:sz="4" w:space="0" w:color="auto"/>
              <w:right w:val="nil"/>
            </w:tcBorders>
            <w:shd w:val="clear" w:color="000000" w:fill="FFFFFF"/>
            <w:noWrap/>
            <w:hideMark/>
          </w:tcPr>
          <w:p w14:paraId="49DCAED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r>
      <w:tr w:rsidR="00051702" w:rsidRPr="00A3614E" w14:paraId="2FCD7EBA" w14:textId="77777777" w:rsidTr="00436C0C">
        <w:trPr>
          <w:trHeight w:val="216"/>
          <w:jc w:val="center"/>
        </w:trPr>
        <w:tc>
          <w:tcPr>
            <w:tcW w:w="1400" w:type="dxa"/>
            <w:vMerge w:val="restart"/>
            <w:tcBorders>
              <w:top w:val="nil"/>
              <w:left w:val="nil"/>
              <w:bottom w:val="single" w:sz="4" w:space="0" w:color="000000"/>
              <w:right w:val="nil"/>
            </w:tcBorders>
            <w:shd w:val="clear" w:color="000000" w:fill="FFFFFF"/>
            <w:noWrap/>
            <w:hideMark/>
          </w:tcPr>
          <w:p w14:paraId="6A60431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South Korea</w:t>
            </w:r>
          </w:p>
        </w:tc>
        <w:tc>
          <w:tcPr>
            <w:tcW w:w="1317" w:type="dxa"/>
            <w:tcBorders>
              <w:top w:val="nil"/>
              <w:left w:val="nil"/>
              <w:bottom w:val="nil"/>
              <w:right w:val="nil"/>
            </w:tcBorders>
            <w:shd w:val="clear" w:color="000000" w:fill="FFFFFF"/>
            <w:noWrap/>
            <w:hideMark/>
          </w:tcPr>
          <w:p w14:paraId="09FB02F5"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B.1.619.1</w:t>
            </w:r>
          </w:p>
        </w:tc>
        <w:tc>
          <w:tcPr>
            <w:tcW w:w="1066" w:type="dxa"/>
            <w:tcBorders>
              <w:top w:val="nil"/>
              <w:left w:val="nil"/>
              <w:bottom w:val="nil"/>
              <w:right w:val="nil"/>
            </w:tcBorders>
            <w:shd w:val="clear" w:color="000000" w:fill="FFFFFF"/>
            <w:noWrap/>
            <w:hideMark/>
          </w:tcPr>
          <w:p w14:paraId="7DAD218E"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2021-02-22</w:t>
            </w:r>
          </w:p>
        </w:tc>
        <w:tc>
          <w:tcPr>
            <w:tcW w:w="1107" w:type="dxa"/>
            <w:tcBorders>
              <w:top w:val="nil"/>
              <w:left w:val="nil"/>
              <w:bottom w:val="nil"/>
              <w:right w:val="nil"/>
            </w:tcBorders>
            <w:shd w:val="clear" w:color="000000" w:fill="FFFFFF"/>
            <w:noWrap/>
            <w:hideMark/>
          </w:tcPr>
          <w:p w14:paraId="75ED3965"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2021-09-21</w:t>
            </w:r>
          </w:p>
        </w:tc>
        <w:tc>
          <w:tcPr>
            <w:tcW w:w="1050" w:type="dxa"/>
            <w:tcBorders>
              <w:top w:val="nil"/>
              <w:left w:val="nil"/>
              <w:bottom w:val="nil"/>
              <w:right w:val="nil"/>
            </w:tcBorders>
            <w:shd w:val="clear" w:color="000000" w:fill="FFFFFF"/>
            <w:noWrap/>
            <w:hideMark/>
          </w:tcPr>
          <w:p w14:paraId="28BFDEC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3D2B20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25050E7D"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4E09979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610A69C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6789E2C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6C5FC4C7" w14:textId="77777777" w:rsidTr="00436C0C">
        <w:trPr>
          <w:trHeight w:val="216"/>
          <w:jc w:val="center"/>
        </w:trPr>
        <w:tc>
          <w:tcPr>
            <w:tcW w:w="1400" w:type="dxa"/>
            <w:vMerge/>
            <w:tcBorders>
              <w:top w:val="nil"/>
              <w:left w:val="nil"/>
              <w:bottom w:val="single" w:sz="4" w:space="0" w:color="000000"/>
              <w:right w:val="nil"/>
            </w:tcBorders>
            <w:hideMark/>
          </w:tcPr>
          <w:p w14:paraId="79837345"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42EA05C4"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AY (B.1.617.2)</w:t>
            </w:r>
          </w:p>
        </w:tc>
        <w:tc>
          <w:tcPr>
            <w:tcW w:w="1066" w:type="dxa"/>
            <w:tcBorders>
              <w:top w:val="nil"/>
              <w:left w:val="nil"/>
              <w:bottom w:val="nil"/>
              <w:right w:val="nil"/>
            </w:tcBorders>
            <w:shd w:val="clear" w:color="000000" w:fill="FFFFFF"/>
            <w:noWrap/>
            <w:hideMark/>
          </w:tcPr>
          <w:p w14:paraId="26EC1908"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2021-04-22</w:t>
            </w:r>
          </w:p>
        </w:tc>
        <w:tc>
          <w:tcPr>
            <w:tcW w:w="1107" w:type="dxa"/>
            <w:tcBorders>
              <w:top w:val="nil"/>
              <w:left w:val="nil"/>
              <w:bottom w:val="nil"/>
              <w:right w:val="nil"/>
            </w:tcBorders>
            <w:shd w:val="clear" w:color="000000" w:fill="FFFFFF"/>
            <w:noWrap/>
            <w:hideMark/>
          </w:tcPr>
          <w:p w14:paraId="4A88FFCD"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2023-07-11</w:t>
            </w:r>
          </w:p>
        </w:tc>
        <w:tc>
          <w:tcPr>
            <w:tcW w:w="1050" w:type="dxa"/>
            <w:tcBorders>
              <w:top w:val="nil"/>
              <w:left w:val="nil"/>
              <w:bottom w:val="nil"/>
              <w:right w:val="nil"/>
            </w:tcBorders>
            <w:shd w:val="clear" w:color="000000" w:fill="FFFFFF"/>
            <w:noWrap/>
            <w:hideMark/>
          </w:tcPr>
          <w:p w14:paraId="04CA48A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5F51AE5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B9B307A"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6B9F9A7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64F6123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F257E0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7E7D8233" w14:textId="77777777" w:rsidTr="00436C0C">
        <w:trPr>
          <w:trHeight w:val="216"/>
          <w:jc w:val="center"/>
        </w:trPr>
        <w:tc>
          <w:tcPr>
            <w:tcW w:w="1400" w:type="dxa"/>
            <w:vMerge/>
            <w:tcBorders>
              <w:top w:val="nil"/>
              <w:left w:val="nil"/>
              <w:bottom w:val="single" w:sz="4" w:space="0" w:color="000000"/>
              <w:right w:val="nil"/>
            </w:tcBorders>
            <w:hideMark/>
          </w:tcPr>
          <w:p w14:paraId="310CED05"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57EDB3DA"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AY.69</w:t>
            </w:r>
          </w:p>
        </w:tc>
        <w:tc>
          <w:tcPr>
            <w:tcW w:w="1066" w:type="dxa"/>
            <w:tcBorders>
              <w:top w:val="nil"/>
              <w:left w:val="nil"/>
              <w:bottom w:val="nil"/>
              <w:right w:val="nil"/>
            </w:tcBorders>
            <w:shd w:val="clear" w:color="000000" w:fill="FFFFFF"/>
            <w:noWrap/>
            <w:hideMark/>
          </w:tcPr>
          <w:p w14:paraId="5519A6A2"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2021-05-15</w:t>
            </w:r>
          </w:p>
        </w:tc>
        <w:tc>
          <w:tcPr>
            <w:tcW w:w="1107" w:type="dxa"/>
            <w:tcBorders>
              <w:top w:val="nil"/>
              <w:left w:val="nil"/>
              <w:bottom w:val="nil"/>
              <w:right w:val="nil"/>
            </w:tcBorders>
            <w:shd w:val="clear" w:color="000000" w:fill="FFFFFF"/>
            <w:noWrap/>
            <w:hideMark/>
          </w:tcPr>
          <w:p w14:paraId="541A7908"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2022-02-10</w:t>
            </w:r>
          </w:p>
        </w:tc>
        <w:tc>
          <w:tcPr>
            <w:tcW w:w="1050" w:type="dxa"/>
            <w:tcBorders>
              <w:top w:val="nil"/>
              <w:left w:val="nil"/>
              <w:bottom w:val="nil"/>
              <w:right w:val="nil"/>
            </w:tcBorders>
            <w:shd w:val="clear" w:color="000000" w:fill="FFFFFF"/>
            <w:noWrap/>
            <w:hideMark/>
          </w:tcPr>
          <w:p w14:paraId="16A1FC2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5F5237C2"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031E90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45C5FD2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578C7C0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37F1CB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1C910327" w14:textId="77777777" w:rsidTr="00436C0C">
        <w:trPr>
          <w:trHeight w:val="216"/>
          <w:jc w:val="center"/>
        </w:trPr>
        <w:tc>
          <w:tcPr>
            <w:tcW w:w="1400" w:type="dxa"/>
            <w:vMerge/>
            <w:tcBorders>
              <w:top w:val="nil"/>
              <w:left w:val="nil"/>
              <w:bottom w:val="single" w:sz="4" w:space="0" w:color="000000"/>
              <w:right w:val="nil"/>
            </w:tcBorders>
            <w:hideMark/>
          </w:tcPr>
          <w:p w14:paraId="2FF8EA0C"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7B378A3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AY.122.5</w:t>
            </w:r>
          </w:p>
        </w:tc>
        <w:tc>
          <w:tcPr>
            <w:tcW w:w="1066" w:type="dxa"/>
            <w:tcBorders>
              <w:top w:val="nil"/>
              <w:left w:val="nil"/>
              <w:bottom w:val="nil"/>
              <w:right w:val="nil"/>
            </w:tcBorders>
            <w:shd w:val="clear" w:color="000000" w:fill="FFFFFF"/>
            <w:noWrap/>
            <w:hideMark/>
          </w:tcPr>
          <w:p w14:paraId="1CBEB1EF"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2021-08-08</w:t>
            </w:r>
          </w:p>
        </w:tc>
        <w:tc>
          <w:tcPr>
            <w:tcW w:w="1107" w:type="dxa"/>
            <w:tcBorders>
              <w:top w:val="nil"/>
              <w:left w:val="nil"/>
              <w:bottom w:val="nil"/>
              <w:right w:val="nil"/>
            </w:tcBorders>
            <w:shd w:val="clear" w:color="000000" w:fill="FFFFFF"/>
            <w:noWrap/>
            <w:hideMark/>
          </w:tcPr>
          <w:p w14:paraId="5ABCCFCD"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2022-03-04</w:t>
            </w:r>
          </w:p>
        </w:tc>
        <w:tc>
          <w:tcPr>
            <w:tcW w:w="1050" w:type="dxa"/>
            <w:tcBorders>
              <w:top w:val="nil"/>
              <w:left w:val="nil"/>
              <w:bottom w:val="nil"/>
              <w:right w:val="nil"/>
            </w:tcBorders>
            <w:shd w:val="clear" w:color="000000" w:fill="FFFFFF"/>
            <w:noWrap/>
            <w:hideMark/>
          </w:tcPr>
          <w:p w14:paraId="187CCB3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068D7585"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BE2360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3040562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2F370B3D"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6DB6E58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5FD37498" w14:textId="77777777" w:rsidTr="00436C0C">
        <w:trPr>
          <w:trHeight w:val="216"/>
          <w:jc w:val="center"/>
        </w:trPr>
        <w:tc>
          <w:tcPr>
            <w:tcW w:w="1400" w:type="dxa"/>
            <w:vMerge/>
            <w:tcBorders>
              <w:top w:val="nil"/>
              <w:left w:val="nil"/>
              <w:bottom w:val="single" w:sz="4" w:space="0" w:color="000000"/>
              <w:right w:val="nil"/>
            </w:tcBorders>
            <w:hideMark/>
          </w:tcPr>
          <w:p w14:paraId="0232BA2D"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6F1CFD01"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BA.2.3 (BA.2.3)</w:t>
            </w:r>
          </w:p>
        </w:tc>
        <w:tc>
          <w:tcPr>
            <w:tcW w:w="1066" w:type="dxa"/>
            <w:tcBorders>
              <w:top w:val="nil"/>
              <w:left w:val="nil"/>
              <w:bottom w:val="nil"/>
              <w:right w:val="nil"/>
            </w:tcBorders>
            <w:shd w:val="clear" w:color="000000" w:fill="FFFFFF"/>
            <w:noWrap/>
            <w:hideMark/>
          </w:tcPr>
          <w:p w14:paraId="4622F318"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2021-12-29</w:t>
            </w:r>
          </w:p>
        </w:tc>
        <w:tc>
          <w:tcPr>
            <w:tcW w:w="1107" w:type="dxa"/>
            <w:tcBorders>
              <w:top w:val="nil"/>
              <w:left w:val="nil"/>
              <w:bottom w:val="nil"/>
              <w:right w:val="nil"/>
            </w:tcBorders>
            <w:shd w:val="clear" w:color="000000" w:fill="FFFFFF"/>
            <w:noWrap/>
            <w:hideMark/>
          </w:tcPr>
          <w:p w14:paraId="45D4C77F"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2023-03-15</w:t>
            </w:r>
          </w:p>
        </w:tc>
        <w:tc>
          <w:tcPr>
            <w:tcW w:w="1050" w:type="dxa"/>
            <w:tcBorders>
              <w:top w:val="nil"/>
              <w:left w:val="nil"/>
              <w:bottom w:val="nil"/>
              <w:right w:val="nil"/>
            </w:tcBorders>
            <w:shd w:val="clear" w:color="000000" w:fill="FFFFFF"/>
            <w:noWrap/>
            <w:hideMark/>
          </w:tcPr>
          <w:p w14:paraId="0EF61C92"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12B2C0D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E9BD91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6BE4D01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440F5F1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CBED3E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32D76BE0" w14:textId="77777777" w:rsidTr="00436C0C">
        <w:trPr>
          <w:trHeight w:val="216"/>
          <w:jc w:val="center"/>
        </w:trPr>
        <w:tc>
          <w:tcPr>
            <w:tcW w:w="1400" w:type="dxa"/>
            <w:vMerge/>
            <w:tcBorders>
              <w:top w:val="nil"/>
              <w:left w:val="nil"/>
              <w:bottom w:val="single" w:sz="4" w:space="0" w:color="000000"/>
              <w:right w:val="nil"/>
            </w:tcBorders>
            <w:hideMark/>
          </w:tcPr>
          <w:p w14:paraId="4E2CCFD9"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82E8F8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BF (BA.5.2.1)</w:t>
            </w:r>
          </w:p>
        </w:tc>
        <w:tc>
          <w:tcPr>
            <w:tcW w:w="1066" w:type="dxa"/>
            <w:tcBorders>
              <w:top w:val="nil"/>
              <w:left w:val="nil"/>
              <w:bottom w:val="nil"/>
              <w:right w:val="nil"/>
            </w:tcBorders>
            <w:shd w:val="clear" w:color="000000" w:fill="FFFFFF"/>
            <w:noWrap/>
            <w:hideMark/>
          </w:tcPr>
          <w:p w14:paraId="1D43E8E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2022-05-10</w:t>
            </w:r>
          </w:p>
        </w:tc>
        <w:tc>
          <w:tcPr>
            <w:tcW w:w="1107" w:type="dxa"/>
            <w:tcBorders>
              <w:top w:val="nil"/>
              <w:left w:val="nil"/>
              <w:bottom w:val="nil"/>
              <w:right w:val="nil"/>
            </w:tcBorders>
            <w:shd w:val="clear" w:color="000000" w:fill="FFFFFF"/>
            <w:noWrap/>
            <w:hideMark/>
          </w:tcPr>
          <w:p w14:paraId="514AEA17"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2023-04-15</w:t>
            </w:r>
          </w:p>
        </w:tc>
        <w:tc>
          <w:tcPr>
            <w:tcW w:w="1050" w:type="dxa"/>
            <w:tcBorders>
              <w:top w:val="nil"/>
              <w:left w:val="nil"/>
              <w:bottom w:val="nil"/>
              <w:right w:val="nil"/>
            </w:tcBorders>
            <w:shd w:val="clear" w:color="000000" w:fill="FFFFFF"/>
            <w:noWrap/>
            <w:hideMark/>
          </w:tcPr>
          <w:p w14:paraId="42035E1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163D0A6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EC58CF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3BBD3D9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65EF9DB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3483797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051702" w:rsidRPr="00A3614E" w14:paraId="0EF60401" w14:textId="77777777" w:rsidTr="00436C0C">
        <w:trPr>
          <w:trHeight w:val="216"/>
          <w:jc w:val="center"/>
        </w:trPr>
        <w:tc>
          <w:tcPr>
            <w:tcW w:w="1400" w:type="dxa"/>
            <w:vMerge/>
            <w:tcBorders>
              <w:top w:val="nil"/>
              <w:left w:val="nil"/>
              <w:bottom w:val="single" w:sz="4" w:space="0" w:color="000000"/>
              <w:right w:val="nil"/>
            </w:tcBorders>
            <w:hideMark/>
          </w:tcPr>
          <w:p w14:paraId="0D523935"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6696F03"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BA.5.2 (BA.5.2)</w:t>
            </w:r>
          </w:p>
        </w:tc>
        <w:tc>
          <w:tcPr>
            <w:tcW w:w="1066" w:type="dxa"/>
            <w:tcBorders>
              <w:top w:val="nil"/>
              <w:left w:val="nil"/>
              <w:bottom w:val="nil"/>
              <w:right w:val="nil"/>
            </w:tcBorders>
            <w:shd w:val="clear" w:color="000000" w:fill="FFFFFF"/>
            <w:noWrap/>
            <w:hideMark/>
          </w:tcPr>
          <w:p w14:paraId="35D487E1"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2022-05-11</w:t>
            </w:r>
          </w:p>
        </w:tc>
        <w:tc>
          <w:tcPr>
            <w:tcW w:w="1107" w:type="dxa"/>
            <w:tcBorders>
              <w:top w:val="nil"/>
              <w:left w:val="nil"/>
              <w:bottom w:val="nil"/>
              <w:right w:val="nil"/>
            </w:tcBorders>
            <w:shd w:val="clear" w:color="000000" w:fill="FFFFFF"/>
            <w:noWrap/>
            <w:hideMark/>
          </w:tcPr>
          <w:p w14:paraId="356D88A6"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2024-01-22</w:t>
            </w:r>
          </w:p>
        </w:tc>
        <w:tc>
          <w:tcPr>
            <w:tcW w:w="1050" w:type="dxa"/>
            <w:tcBorders>
              <w:top w:val="nil"/>
              <w:left w:val="nil"/>
              <w:bottom w:val="nil"/>
              <w:right w:val="nil"/>
            </w:tcBorders>
            <w:shd w:val="clear" w:color="000000" w:fill="FFFFFF"/>
            <w:noWrap/>
            <w:hideMark/>
          </w:tcPr>
          <w:p w14:paraId="46200DD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6BFBA2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1455948F"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3230E76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192914E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5813E99D"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2BC4EF94" w14:textId="77777777" w:rsidTr="00436C0C">
        <w:trPr>
          <w:trHeight w:val="216"/>
          <w:jc w:val="center"/>
        </w:trPr>
        <w:tc>
          <w:tcPr>
            <w:tcW w:w="1400" w:type="dxa"/>
            <w:vMerge/>
            <w:tcBorders>
              <w:top w:val="nil"/>
              <w:left w:val="nil"/>
              <w:bottom w:val="single" w:sz="4" w:space="0" w:color="000000"/>
              <w:right w:val="nil"/>
            </w:tcBorders>
            <w:hideMark/>
          </w:tcPr>
          <w:p w14:paraId="0F045749"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3495327C"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XBB.1.5</w:t>
            </w:r>
          </w:p>
        </w:tc>
        <w:tc>
          <w:tcPr>
            <w:tcW w:w="1066" w:type="dxa"/>
            <w:tcBorders>
              <w:top w:val="nil"/>
              <w:left w:val="nil"/>
              <w:bottom w:val="nil"/>
              <w:right w:val="nil"/>
            </w:tcBorders>
            <w:shd w:val="clear" w:color="000000" w:fill="FFFFFF"/>
            <w:noWrap/>
            <w:hideMark/>
          </w:tcPr>
          <w:p w14:paraId="5ABE83E8"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2022-11-23</w:t>
            </w:r>
          </w:p>
        </w:tc>
        <w:tc>
          <w:tcPr>
            <w:tcW w:w="1107" w:type="dxa"/>
            <w:tcBorders>
              <w:top w:val="nil"/>
              <w:left w:val="nil"/>
              <w:bottom w:val="nil"/>
              <w:right w:val="nil"/>
            </w:tcBorders>
            <w:shd w:val="clear" w:color="000000" w:fill="FFFFFF"/>
            <w:noWrap/>
            <w:hideMark/>
          </w:tcPr>
          <w:p w14:paraId="59D7325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2023-12-11</w:t>
            </w:r>
          </w:p>
        </w:tc>
        <w:tc>
          <w:tcPr>
            <w:tcW w:w="1050" w:type="dxa"/>
            <w:tcBorders>
              <w:top w:val="nil"/>
              <w:left w:val="nil"/>
              <w:bottom w:val="nil"/>
              <w:right w:val="nil"/>
            </w:tcBorders>
            <w:shd w:val="clear" w:color="000000" w:fill="FFFFFF"/>
            <w:noWrap/>
            <w:hideMark/>
          </w:tcPr>
          <w:p w14:paraId="2FB35CB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0EF8D74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B66E5B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3587055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17E53B51"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5021624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101B1836" w14:textId="77777777" w:rsidTr="00436C0C">
        <w:trPr>
          <w:trHeight w:val="216"/>
          <w:jc w:val="center"/>
        </w:trPr>
        <w:tc>
          <w:tcPr>
            <w:tcW w:w="1400" w:type="dxa"/>
            <w:vMerge/>
            <w:tcBorders>
              <w:top w:val="nil"/>
              <w:left w:val="nil"/>
              <w:bottom w:val="single" w:sz="4" w:space="0" w:color="000000"/>
              <w:right w:val="nil"/>
            </w:tcBorders>
            <w:hideMark/>
          </w:tcPr>
          <w:p w14:paraId="3D27BECF"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38CFCDF6"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EG.5.1.1</w:t>
            </w:r>
          </w:p>
        </w:tc>
        <w:tc>
          <w:tcPr>
            <w:tcW w:w="1066" w:type="dxa"/>
            <w:tcBorders>
              <w:top w:val="nil"/>
              <w:left w:val="nil"/>
              <w:bottom w:val="nil"/>
              <w:right w:val="nil"/>
            </w:tcBorders>
            <w:shd w:val="clear" w:color="000000" w:fill="FFFFFF"/>
            <w:noWrap/>
            <w:hideMark/>
          </w:tcPr>
          <w:p w14:paraId="171D2A24"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2023-05-16</w:t>
            </w:r>
          </w:p>
        </w:tc>
        <w:tc>
          <w:tcPr>
            <w:tcW w:w="1107" w:type="dxa"/>
            <w:tcBorders>
              <w:top w:val="nil"/>
              <w:left w:val="nil"/>
              <w:bottom w:val="nil"/>
              <w:right w:val="nil"/>
            </w:tcBorders>
            <w:shd w:val="clear" w:color="000000" w:fill="FFFFFF"/>
            <w:noWrap/>
            <w:hideMark/>
          </w:tcPr>
          <w:p w14:paraId="54E65D66"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2024-03-27</w:t>
            </w:r>
          </w:p>
        </w:tc>
        <w:tc>
          <w:tcPr>
            <w:tcW w:w="1050" w:type="dxa"/>
            <w:tcBorders>
              <w:top w:val="nil"/>
              <w:left w:val="nil"/>
              <w:bottom w:val="nil"/>
              <w:right w:val="nil"/>
            </w:tcBorders>
            <w:shd w:val="clear" w:color="000000" w:fill="FFFFFF"/>
            <w:noWrap/>
            <w:hideMark/>
          </w:tcPr>
          <w:p w14:paraId="249A065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43F23436"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DC9D81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037356A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7AD000E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8BFC5F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0FF6908D" w14:textId="77777777" w:rsidTr="00436C0C">
        <w:trPr>
          <w:trHeight w:val="216"/>
          <w:jc w:val="center"/>
        </w:trPr>
        <w:tc>
          <w:tcPr>
            <w:tcW w:w="1400" w:type="dxa"/>
            <w:vMerge/>
            <w:tcBorders>
              <w:top w:val="nil"/>
              <w:left w:val="nil"/>
              <w:bottom w:val="single" w:sz="4" w:space="0" w:color="000000"/>
              <w:right w:val="nil"/>
            </w:tcBorders>
            <w:hideMark/>
          </w:tcPr>
          <w:p w14:paraId="7A7C83EA"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15DD9FF9"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HK.3</w:t>
            </w:r>
          </w:p>
        </w:tc>
        <w:tc>
          <w:tcPr>
            <w:tcW w:w="1066" w:type="dxa"/>
            <w:tcBorders>
              <w:top w:val="nil"/>
              <w:left w:val="nil"/>
              <w:bottom w:val="nil"/>
              <w:right w:val="nil"/>
            </w:tcBorders>
            <w:shd w:val="clear" w:color="000000" w:fill="FFFFFF"/>
            <w:noWrap/>
            <w:hideMark/>
          </w:tcPr>
          <w:p w14:paraId="724EBF96"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2023-07-04</w:t>
            </w:r>
          </w:p>
        </w:tc>
        <w:tc>
          <w:tcPr>
            <w:tcW w:w="1107" w:type="dxa"/>
            <w:tcBorders>
              <w:top w:val="nil"/>
              <w:left w:val="nil"/>
              <w:bottom w:val="nil"/>
              <w:right w:val="nil"/>
            </w:tcBorders>
            <w:shd w:val="clear" w:color="000000" w:fill="FFFFFF"/>
            <w:noWrap/>
            <w:hideMark/>
          </w:tcPr>
          <w:p w14:paraId="5218DD2B"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2024-04-15</w:t>
            </w:r>
          </w:p>
        </w:tc>
        <w:tc>
          <w:tcPr>
            <w:tcW w:w="1050" w:type="dxa"/>
            <w:tcBorders>
              <w:top w:val="nil"/>
              <w:left w:val="nil"/>
              <w:bottom w:val="nil"/>
              <w:right w:val="nil"/>
            </w:tcBorders>
            <w:shd w:val="clear" w:color="000000" w:fill="FFFFFF"/>
            <w:noWrap/>
            <w:hideMark/>
          </w:tcPr>
          <w:p w14:paraId="1EE9A83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4E82267"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87C6EA8"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38AE077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0760167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0C4A0D8D"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051702" w:rsidRPr="00A3614E" w14:paraId="78EF0FDD" w14:textId="77777777" w:rsidTr="00436C0C">
        <w:trPr>
          <w:trHeight w:val="216"/>
          <w:jc w:val="center"/>
        </w:trPr>
        <w:tc>
          <w:tcPr>
            <w:tcW w:w="1400" w:type="dxa"/>
            <w:vMerge/>
            <w:tcBorders>
              <w:top w:val="nil"/>
              <w:left w:val="nil"/>
              <w:bottom w:val="single" w:sz="4" w:space="0" w:color="000000"/>
              <w:right w:val="nil"/>
            </w:tcBorders>
            <w:hideMark/>
          </w:tcPr>
          <w:p w14:paraId="011418CA"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7B07AD42"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w:t>
            </w:r>
          </w:p>
        </w:tc>
        <w:tc>
          <w:tcPr>
            <w:tcW w:w="1066" w:type="dxa"/>
            <w:tcBorders>
              <w:top w:val="nil"/>
              <w:left w:val="nil"/>
              <w:bottom w:val="nil"/>
              <w:right w:val="nil"/>
            </w:tcBorders>
            <w:shd w:val="clear" w:color="000000" w:fill="FFFFFF"/>
            <w:noWrap/>
            <w:hideMark/>
          </w:tcPr>
          <w:p w14:paraId="708EBFCD"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2023-10-24</w:t>
            </w:r>
          </w:p>
        </w:tc>
        <w:tc>
          <w:tcPr>
            <w:tcW w:w="1107" w:type="dxa"/>
            <w:tcBorders>
              <w:top w:val="nil"/>
              <w:left w:val="nil"/>
              <w:bottom w:val="nil"/>
              <w:right w:val="nil"/>
            </w:tcBorders>
            <w:shd w:val="clear" w:color="000000" w:fill="FFFFFF"/>
            <w:noWrap/>
            <w:hideMark/>
          </w:tcPr>
          <w:p w14:paraId="2F610666"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2024-04-28</w:t>
            </w:r>
          </w:p>
        </w:tc>
        <w:tc>
          <w:tcPr>
            <w:tcW w:w="1050" w:type="dxa"/>
            <w:tcBorders>
              <w:top w:val="nil"/>
              <w:left w:val="nil"/>
              <w:bottom w:val="nil"/>
              <w:right w:val="nil"/>
            </w:tcBorders>
            <w:shd w:val="clear" w:color="000000" w:fill="FFFFFF"/>
            <w:noWrap/>
            <w:hideMark/>
          </w:tcPr>
          <w:p w14:paraId="383F325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6B7A67A0"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1E65E4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0DBBE56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7C5D1DF9"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B53CD1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051702" w:rsidRPr="00A3614E" w14:paraId="486CB63D" w14:textId="77777777" w:rsidTr="00436C0C">
        <w:trPr>
          <w:trHeight w:val="216"/>
          <w:jc w:val="center"/>
        </w:trPr>
        <w:tc>
          <w:tcPr>
            <w:tcW w:w="1400" w:type="dxa"/>
            <w:vMerge/>
            <w:tcBorders>
              <w:top w:val="nil"/>
              <w:left w:val="nil"/>
              <w:bottom w:val="single" w:sz="4" w:space="0" w:color="000000"/>
              <w:right w:val="nil"/>
            </w:tcBorders>
            <w:hideMark/>
          </w:tcPr>
          <w:p w14:paraId="064099CF" w14:textId="77777777" w:rsidR="00051702" w:rsidRPr="00A3614E" w:rsidRDefault="00051702" w:rsidP="00436C0C">
            <w:pPr>
              <w:spacing w:line="276" w:lineRule="auto"/>
              <w:contextualSpacing/>
              <w:rPr>
                <w:rFonts w:ascii="Times New Roman" w:hAnsi="Times New Roman" w:cs="Times New Roman"/>
                <w:color w:val="000000"/>
                <w:sz w:val="16"/>
                <w:szCs w:val="16"/>
              </w:rPr>
            </w:pPr>
          </w:p>
        </w:tc>
        <w:tc>
          <w:tcPr>
            <w:tcW w:w="1317" w:type="dxa"/>
            <w:tcBorders>
              <w:top w:val="nil"/>
              <w:left w:val="nil"/>
              <w:bottom w:val="single" w:sz="4" w:space="0" w:color="auto"/>
              <w:right w:val="nil"/>
            </w:tcBorders>
            <w:shd w:val="clear" w:color="000000" w:fill="FFFFFF"/>
            <w:noWrap/>
            <w:hideMark/>
          </w:tcPr>
          <w:p w14:paraId="77594BE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others (n = 37)</w:t>
            </w:r>
          </w:p>
        </w:tc>
        <w:tc>
          <w:tcPr>
            <w:tcW w:w="1066" w:type="dxa"/>
            <w:tcBorders>
              <w:top w:val="nil"/>
              <w:left w:val="nil"/>
              <w:bottom w:val="single" w:sz="4" w:space="0" w:color="auto"/>
              <w:right w:val="nil"/>
            </w:tcBorders>
            <w:shd w:val="clear" w:color="000000" w:fill="FFFFFF"/>
            <w:noWrap/>
            <w:hideMark/>
          </w:tcPr>
          <w:p w14:paraId="37C0BAA0"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2021-02-08</w:t>
            </w:r>
          </w:p>
        </w:tc>
        <w:tc>
          <w:tcPr>
            <w:tcW w:w="1107" w:type="dxa"/>
            <w:tcBorders>
              <w:top w:val="nil"/>
              <w:left w:val="nil"/>
              <w:bottom w:val="single" w:sz="4" w:space="0" w:color="auto"/>
              <w:right w:val="nil"/>
            </w:tcBorders>
            <w:shd w:val="clear" w:color="000000" w:fill="FFFFFF"/>
            <w:noWrap/>
            <w:hideMark/>
          </w:tcPr>
          <w:p w14:paraId="77C4557A" w14:textId="77777777" w:rsidR="00051702" w:rsidRPr="00A3614E" w:rsidRDefault="00051702" w:rsidP="00436C0C">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2024-02-20</w:t>
            </w:r>
          </w:p>
        </w:tc>
        <w:tc>
          <w:tcPr>
            <w:tcW w:w="1050" w:type="dxa"/>
            <w:tcBorders>
              <w:top w:val="nil"/>
              <w:left w:val="nil"/>
              <w:bottom w:val="single" w:sz="4" w:space="0" w:color="auto"/>
              <w:right w:val="nil"/>
            </w:tcBorders>
            <w:shd w:val="clear" w:color="000000" w:fill="FFFFFF"/>
            <w:noWrap/>
            <w:hideMark/>
          </w:tcPr>
          <w:p w14:paraId="421022DB"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0015F704"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65B2048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2" w:type="dxa"/>
            <w:tcBorders>
              <w:top w:val="nil"/>
              <w:left w:val="nil"/>
              <w:bottom w:val="single" w:sz="4" w:space="0" w:color="auto"/>
              <w:right w:val="nil"/>
            </w:tcBorders>
            <w:shd w:val="clear" w:color="000000" w:fill="FFFFFF"/>
            <w:noWrap/>
            <w:hideMark/>
          </w:tcPr>
          <w:p w14:paraId="7965ACF3"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1" w:type="dxa"/>
            <w:tcBorders>
              <w:top w:val="nil"/>
              <w:left w:val="nil"/>
              <w:bottom w:val="single" w:sz="4" w:space="0" w:color="auto"/>
              <w:right w:val="nil"/>
            </w:tcBorders>
            <w:shd w:val="clear" w:color="000000" w:fill="FFFFFF"/>
            <w:noWrap/>
            <w:hideMark/>
          </w:tcPr>
          <w:p w14:paraId="4CA8ED4C"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897" w:type="dxa"/>
            <w:tcBorders>
              <w:top w:val="nil"/>
              <w:left w:val="nil"/>
              <w:bottom w:val="single" w:sz="4" w:space="0" w:color="auto"/>
              <w:right w:val="nil"/>
            </w:tcBorders>
            <w:shd w:val="clear" w:color="000000" w:fill="FFFFFF"/>
            <w:noWrap/>
            <w:hideMark/>
          </w:tcPr>
          <w:p w14:paraId="07A462BE" w14:textId="77777777" w:rsidR="00051702" w:rsidRPr="00A3614E" w:rsidRDefault="00051702" w:rsidP="00436C0C">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r>
    </w:tbl>
    <w:p w14:paraId="2199251A" w14:textId="77777777" w:rsidR="00051702" w:rsidRPr="00A3614E" w:rsidRDefault="00051702" w:rsidP="00051702">
      <w:pPr>
        <w:pStyle w:val="BodyText"/>
        <w:spacing w:line="276" w:lineRule="auto"/>
        <w:ind w:left="0"/>
        <w:contextualSpacing/>
        <w:jc w:val="both"/>
        <w:rPr>
          <w:rFonts w:eastAsiaTheme="minorEastAsia"/>
          <w:b/>
          <w:bCs/>
          <w:color w:val="000000" w:themeColor="text1"/>
          <w:sz w:val="22"/>
          <w:szCs w:val="22"/>
          <w:lang w:eastAsia="zh-CN"/>
        </w:rPr>
      </w:pPr>
    </w:p>
    <w:p w14:paraId="3AA86607" w14:textId="77777777" w:rsidR="00051702" w:rsidRPr="00A3614E" w:rsidRDefault="00051702" w:rsidP="00010D51">
      <w:pPr>
        <w:spacing w:line="276" w:lineRule="auto"/>
        <w:rPr>
          <w:rFonts w:ascii="Times New Roman" w:hAnsi="Times New Roman" w:cs="Times New Roman"/>
          <w:color w:val="000000" w:themeColor="text1"/>
          <w:lang w:eastAsia="ko-KR"/>
        </w:rPr>
        <w:sectPr w:rsidR="00051702" w:rsidRPr="00A3614E" w:rsidSect="00010D51">
          <w:pgSz w:w="12240" w:h="15840"/>
          <w:pgMar w:top="720" w:right="720" w:bottom="720" w:left="720" w:header="720" w:footer="720" w:gutter="0"/>
          <w:lnNumType w:countBy="1" w:restart="newSection"/>
          <w:cols w:space="720"/>
          <w:docGrid w:linePitch="299"/>
        </w:sectPr>
      </w:pPr>
    </w:p>
    <w:p w14:paraId="5DDC2C3B" w14:textId="77777777" w:rsidR="00051702" w:rsidRPr="00A3614E" w:rsidRDefault="00051702" w:rsidP="00051702">
      <w:pPr>
        <w:pStyle w:val="BodyText"/>
        <w:spacing w:line="276" w:lineRule="auto"/>
        <w:ind w:left="0"/>
        <w:contextualSpacing/>
        <w:rPr>
          <w:rFonts w:eastAsiaTheme="minorEastAsia"/>
          <w:color w:val="000000" w:themeColor="text1"/>
          <w:sz w:val="22"/>
          <w:szCs w:val="22"/>
          <w:lang w:eastAsia="ko-KR"/>
        </w:rPr>
      </w:pPr>
      <w:r w:rsidRPr="00A3614E">
        <w:rPr>
          <w:rFonts w:eastAsiaTheme="minorEastAsia"/>
          <w:color w:val="000000" w:themeColor="text1"/>
          <w:sz w:val="22"/>
          <w:szCs w:val="22"/>
          <w:lang w:eastAsia="ko-KR"/>
        </w:rPr>
        <w:lastRenderedPageBreak/>
        <w:t>Table 2. Descriptive summary of GASID data showing the distribution of raw PANGO lineages in the United States, the United Kingdom, and South Korea.</w:t>
      </w:r>
    </w:p>
    <w:tbl>
      <w:tblPr>
        <w:tblW w:w="10799" w:type="dxa"/>
        <w:jc w:val="center"/>
        <w:tblLayout w:type="fixed"/>
        <w:tblLook w:val="04A0" w:firstRow="1" w:lastRow="0" w:firstColumn="1" w:lastColumn="0" w:noHBand="0" w:noVBand="1"/>
      </w:tblPr>
      <w:tblGrid>
        <w:gridCol w:w="1530"/>
        <w:gridCol w:w="720"/>
        <w:gridCol w:w="1350"/>
        <w:gridCol w:w="7199"/>
      </w:tblGrid>
      <w:tr w:rsidR="00051702" w:rsidRPr="00AB428D" w14:paraId="6BCAD825" w14:textId="77777777" w:rsidTr="00AB428D">
        <w:trPr>
          <w:trHeight w:val="202"/>
          <w:jc w:val="center"/>
        </w:trPr>
        <w:tc>
          <w:tcPr>
            <w:tcW w:w="1530" w:type="dxa"/>
            <w:tcBorders>
              <w:top w:val="single" w:sz="12" w:space="0" w:color="auto"/>
              <w:left w:val="nil"/>
              <w:bottom w:val="single" w:sz="4" w:space="0" w:color="auto"/>
              <w:right w:val="nil"/>
            </w:tcBorders>
            <w:shd w:val="clear" w:color="000000" w:fill="FFFFFF"/>
            <w:noWrap/>
            <w:vAlign w:val="center"/>
            <w:hideMark/>
          </w:tcPr>
          <w:p w14:paraId="6299CD6A" w14:textId="77777777" w:rsidR="00051702" w:rsidRPr="00AB428D" w:rsidRDefault="00051702" w:rsidP="00AB428D">
            <w:pPr>
              <w:spacing w:line="276" w:lineRule="auto"/>
              <w:contextualSpacing/>
              <w:jc w:val="center"/>
              <w:rPr>
                <w:rFonts w:ascii="Times New Roman" w:hAnsi="Times New Roman" w:cs="Times New Roman"/>
                <w:b/>
                <w:bCs/>
                <w:color w:val="000000" w:themeColor="text1"/>
                <w:sz w:val="18"/>
                <w:szCs w:val="18"/>
              </w:rPr>
            </w:pPr>
            <w:r w:rsidRPr="00AB428D">
              <w:rPr>
                <w:rFonts w:ascii="Times New Roman" w:hAnsi="Times New Roman" w:cs="Times New Roman"/>
                <w:b/>
                <w:bCs/>
                <w:color w:val="000000" w:themeColor="text1"/>
                <w:sz w:val="18"/>
                <w:szCs w:val="18"/>
              </w:rPr>
              <w:t>Country</w:t>
            </w:r>
          </w:p>
        </w:tc>
        <w:tc>
          <w:tcPr>
            <w:tcW w:w="720" w:type="dxa"/>
            <w:tcBorders>
              <w:top w:val="single" w:sz="12" w:space="0" w:color="auto"/>
              <w:left w:val="nil"/>
              <w:bottom w:val="single" w:sz="4" w:space="0" w:color="auto"/>
              <w:right w:val="nil"/>
            </w:tcBorders>
            <w:shd w:val="clear" w:color="000000" w:fill="FFFFFF"/>
            <w:noWrap/>
            <w:vAlign w:val="center"/>
            <w:hideMark/>
          </w:tcPr>
          <w:p w14:paraId="416A509F" w14:textId="77777777" w:rsidR="00051702" w:rsidRPr="00AB428D" w:rsidRDefault="00051702" w:rsidP="00AB428D">
            <w:pPr>
              <w:spacing w:line="276" w:lineRule="auto"/>
              <w:contextualSpacing/>
              <w:jc w:val="center"/>
              <w:rPr>
                <w:rFonts w:ascii="Times New Roman" w:hAnsi="Times New Roman" w:cs="Times New Roman"/>
                <w:b/>
                <w:bCs/>
                <w:color w:val="000000" w:themeColor="text1"/>
                <w:sz w:val="18"/>
                <w:szCs w:val="18"/>
              </w:rPr>
            </w:pPr>
            <w:r w:rsidRPr="00AB428D">
              <w:rPr>
                <w:rFonts w:ascii="Times New Roman" w:hAnsi="Times New Roman" w:cs="Times New Roman"/>
                <w:b/>
                <w:bCs/>
                <w:color w:val="000000" w:themeColor="text1"/>
                <w:sz w:val="18"/>
                <w:szCs w:val="18"/>
              </w:rPr>
              <w:t>Year</w:t>
            </w:r>
          </w:p>
        </w:tc>
        <w:tc>
          <w:tcPr>
            <w:tcW w:w="1350" w:type="dxa"/>
            <w:tcBorders>
              <w:top w:val="single" w:sz="12" w:space="0" w:color="auto"/>
              <w:left w:val="nil"/>
              <w:bottom w:val="single" w:sz="4" w:space="0" w:color="auto"/>
              <w:right w:val="nil"/>
            </w:tcBorders>
            <w:shd w:val="clear" w:color="000000" w:fill="FFFFFF"/>
            <w:noWrap/>
            <w:vAlign w:val="center"/>
            <w:hideMark/>
          </w:tcPr>
          <w:p w14:paraId="26A3B9EE" w14:textId="77777777" w:rsidR="00051702" w:rsidRPr="00AB428D" w:rsidRDefault="00051702" w:rsidP="00AB428D">
            <w:pPr>
              <w:spacing w:line="276" w:lineRule="auto"/>
              <w:contextualSpacing/>
              <w:jc w:val="center"/>
              <w:rPr>
                <w:rFonts w:ascii="Times New Roman" w:hAnsi="Times New Roman" w:cs="Times New Roman"/>
                <w:b/>
                <w:bCs/>
                <w:color w:val="000000" w:themeColor="text1"/>
                <w:sz w:val="18"/>
                <w:szCs w:val="18"/>
              </w:rPr>
            </w:pPr>
            <w:r w:rsidRPr="00AB428D">
              <w:rPr>
                <w:rFonts w:ascii="Times New Roman" w:hAnsi="Times New Roman" w:cs="Times New Roman"/>
                <w:b/>
                <w:bCs/>
                <w:color w:val="000000" w:themeColor="text1"/>
                <w:sz w:val="18"/>
                <w:szCs w:val="18"/>
              </w:rPr>
              <w:t>Number of Cases</w:t>
            </w:r>
          </w:p>
        </w:tc>
        <w:tc>
          <w:tcPr>
            <w:tcW w:w="7199" w:type="dxa"/>
            <w:tcBorders>
              <w:top w:val="single" w:sz="12" w:space="0" w:color="auto"/>
              <w:left w:val="nil"/>
              <w:bottom w:val="single" w:sz="4" w:space="0" w:color="auto"/>
              <w:right w:val="nil"/>
            </w:tcBorders>
            <w:shd w:val="clear" w:color="000000" w:fill="FFFFFF"/>
            <w:noWrap/>
            <w:vAlign w:val="center"/>
            <w:hideMark/>
          </w:tcPr>
          <w:p w14:paraId="7220B4F4" w14:textId="631DDD1E" w:rsidR="00051702" w:rsidRPr="00AB428D" w:rsidRDefault="00051702" w:rsidP="00AB428D">
            <w:pPr>
              <w:spacing w:line="276" w:lineRule="auto"/>
              <w:contextualSpacing/>
              <w:jc w:val="center"/>
              <w:rPr>
                <w:rFonts w:ascii="Times New Roman" w:hAnsi="Times New Roman" w:cs="Times New Roman"/>
                <w:b/>
                <w:bCs/>
                <w:color w:val="000000" w:themeColor="text1"/>
                <w:sz w:val="18"/>
                <w:szCs w:val="18"/>
              </w:rPr>
            </w:pPr>
            <w:r w:rsidRPr="00AB428D">
              <w:rPr>
                <w:rFonts w:ascii="Times New Roman" w:hAnsi="Times New Roman" w:cs="Times New Roman"/>
                <w:b/>
                <w:bCs/>
                <w:color w:val="000000" w:themeColor="text1"/>
                <w:sz w:val="18"/>
                <w:szCs w:val="18"/>
              </w:rPr>
              <w:t>Top Five Pango Lineages (Annual Proportional Share)</w:t>
            </w:r>
          </w:p>
        </w:tc>
      </w:tr>
      <w:tr w:rsidR="00051702" w:rsidRPr="00AB428D" w14:paraId="292D7816" w14:textId="77777777" w:rsidTr="00AB428D">
        <w:trPr>
          <w:trHeight w:val="202"/>
          <w:jc w:val="center"/>
        </w:trPr>
        <w:tc>
          <w:tcPr>
            <w:tcW w:w="1530" w:type="dxa"/>
            <w:vMerge w:val="restart"/>
            <w:tcBorders>
              <w:top w:val="nil"/>
              <w:left w:val="nil"/>
              <w:bottom w:val="single" w:sz="4" w:space="0" w:color="000000"/>
              <w:right w:val="nil"/>
            </w:tcBorders>
            <w:shd w:val="clear" w:color="000000" w:fill="FFFFFF"/>
            <w:vAlign w:val="center"/>
            <w:hideMark/>
          </w:tcPr>
          <w:p w14:paraId="5FD2E5AC"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United States</w:t>
            </w:r>
          </w:p>
        </w:tc>
        <w:tc>
          <w:tcPr>
            <w:tcW w:w="720" w:type="dxa"/>
            <w:tcBorders>
              <w:top w:val="nil"/>
              <w:left w:val="nil"/>
              <w:bottom w:val="nil"/>
              <w:right w:val="nil"/>
            </w:tcBorders>
            <w:shd w:val="clear" w:color="000000" w:fill="FFFFFF"/>
            <w:noWrap/>
            <w:vAlign w:val="center"/>
            <w:hideMark/>
          </w:tcPr>
          <w:p w14:paraId="38C1D66B"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2020</w:t>
            </w:r>
          </w:p>
        </w:tc>
        <w:tc>
          <w:tcPr>
            <w:tcW w:w="1350" w:type="dxa"/>
            <w:tcBorders>
              <w:top w:val="nil"/>
              <w:left w:val="nil"/>
              <w:bottom w:val="nil"/>
              <w:right w:val="nil"/>
            </w:tcBorders>
            <w:shd w:val="clear" w:color="000000" w:fill="FFFFFF"/>
            <w:noWrap/>
            <w:vAlign w:val="center"/>
            <w:hideMark/>
          </w:tcPr>
          <w:p w14:paraId="7F4BA607" w14:textId="25B116B7"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18,903,169 </w:t>
            </w:r>
          </w:p>
        </w:tc>
        <w:tc>
          <w:tcPr>
            <w:tcW w:w="7199" w:type="dxa"/>
            <w:tcBorders>
              <w:top w:val="nil"/>
              <w:left w:val="nil"/>
              <w:bottom w:val="nil"/>
              <w:right w:val="nil"/>
            </w:tcBorders>
            <w:shd w:val="clear" w:color="000000" w:fill="FFFFFF"/>
            <w:noWrap/>
            <w:vAlign w:val="center"/>
            <w:hideMark/>
          </w:tcPr>
          <w:p w14:paraId="142D4E9C"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B.1 (1.1%); B.1.1 (1.1%); B.1.595 (1.1%); B.1.369 (1.1%); B.1.243 (1%)</w:t>
            </w:r>
          </w:p>
        </w:tc>
      </w:tr>
      <w:tr w:rsidR="00051702" w:rsidRPr="00AB428D" w14:paraId="3C7BBEC8" w14:textId="77777777" w:rsidTr="00AB428D">
        <w:trPr>
          <w:trHeight w:val="202"/>
          <w:jc w:val="center"/>
        </w:trPr>
        <w:tc>
          <w:tcPr>
            <w:tcW w:w="1530" w:type="dxa"/>
            <w:vMerge/>
            <w:tcBorders>
              <w:top w:val="nil"/>
              <w:left w:val="nil"/>
              <w:bottom w:val="single" w:sz="4" w:space="0" w:color="000000"/>
              <w:right w:val="nil"/>
            </w:tcBorders>
            <w:vAlign w:val="center"/>
            <w:hideMark/>
          </w:tcPr>
          <w:p w14:paraId="5064AD6C"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415DE260"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2021</w:t>
            </w:r>
          </w:p>
        </w:tc>
        <w:tc>
          <w:tcPr>
            <w:tcW w:w="1350" w:type="dxa"/>
            <w:tcBorders>
              <w:top w:val="nil"/>
              <w:left w:val="nil"/>
              <w:bottom w:val="nil"/>
              <w:right w:val="nil"/>
            </w:tcBorders>
            <w:shd w:val="clear" w:color="000000" w:fill="FFFFFF"/>
            <w:noWrap/>
            <w:vAlign w:val="center"/>
            <w:hideMark/>
          </w:tcPr>
          <w:p w14:paraId="49C2440E" w14:textId="1F01306C"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196,861,939 </w:t>
            </w:r>
          </w:p>
        </w:tc>
        <w:tc>
          <w:tcPr>
            <w:tcW w:w="7199" w:type="dxa"/>
            <w:tcBorders>
              <w:top w:val="nil"/>
              <w:left w:val="nil"/>
              <w:bottom w:val="nil"/>
              <w:right w:val="nil"/>
            </w:tcBorders>
            <w:shd w:val="clear" w:color="000000" w:fill="FFFFFF"/>
            <w:noWrap/>
            <w:vAlign w:val="center"/>
            <w:hideMark/>
          </w:tcPr>
          <w:p w14:paraId="3CB9BC5B"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B.1 (1.0%); B.1.617.2 (1%); AY.44 (0.9%); B (0.9%); AY.25 (0.9%)</w:t>
            </w:r>
          </w:p>
        </w:tc>
      </w:tr>
      <w:tr w:rsidR="00051702" w:rsidRPr="00AB428D" w14:paraId="64744537" w14:textId="77777777" w:rsidTr="00AB428D">
        <w:trPr>
          <w:trHeight w:val="202"/>
          <w:jc w:val="center"/>
        </w:trPr>
        <w:tc>
          <w:tcPr>
            <w:tcW w:w="1530" w:type="dxa"/>
            <w:vMerge/>
            <w:tcBorders>
              <w:top w:val="nil"/>
              <w:left w:val="nil"/>
              <w:bottom w:val="single" w:sz="4" w:space="0" w:color="000000"/>
              <w:right w:val="nil"/>
            </w:tcBorders>
            <w:vAlign w:val="center"/>
            <w:hideMark/>
          </w:tcPr>
          <w:p w14:paraId="7252E2AF"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70CF4038"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2022</w:t>
            </w:r>
          </w:p>
        </w:tc>
        <w:tc>
          <w:tcPr>
            <w:tcW w:w="1350" w:type="dxa"/>
            <w:tcBorders>
              <w:top w:val="nil"/>
              <w:left w:val="nil"/>
              <w:bottom w:val="nil"/>
              <w:right w:val="nil"/>
            </w:tcBorders>
            <w:shd w:val="clear" w:color="000000" w:fill="FFFFFF"/>
            <w:noWrap/>
            <w:vAlign w:val="center"/>
            <w:hideMark/>
          </w:tcPr>
          <w:p w14:paraId="59DF8CDE" w14:textId="0AEF4141"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227,680,907 </w:t>
            </w:r>
          </w:p>
        </w:tc>
        <w:tc>
          <w:tcPr>
            <w:tcW w:w="7199" w:type="dxa"/>
            <w:tcBorders>
              <w:top w:val="nil"/>
              <w:left w:val="nil"/>
              <w:bottom w:val="nil"/>
              <w:right w:val="nil"/>
            </w:tcBorders>
            <w:shd w:val="clear" w:color="000000" w:fill="FFFFFF"/>
            <w:noWrap/>
            <w:vAlign w:val="center"/>
            <w:hideMark/>
          </w:tcPr>
          <w:p w14:paraId="702C0978"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BA.2 (0.7%); BA.1.1 (0.6%); BA.2.12.1 (0.6%); BA.2.3 (0.6%); BA.2.9 (0.5%)</w:t>
            </w:r>
          </w:p>
        </w:tc>
      </w:tr>
      <w:tr w:rsidR="00051702" w:rsidRPr="00AB428D" w14:paraId="500CDC15" w14:textId="77777777" w:rsidTr="00AB428D">
        <w:trPr>
          <w:trHeight w:val="202"/>
          <w:jc w:val="center"/>
        </w:trPr>
        <w:tc>
          <w:tcPr>
            <w:tcW w:w="1530" w:type="dxa"/>
            <w:vMerge/>
            <w:tcBorders>
              <w:top w:val="nil"/>
              <w:left w:val="nil"/>
              <w:bottom w:val="single" w:sz="4" w:space="0" w:color="000000"/>
              <w:right w:val="nil"/>
            </w:tcBorders>
            <w:vAlign w:val="center"/>
            <w:hideMark/>
          </w:tcPr>
          <w:p w14:paraId="5B903C4D"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47663056"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2023</w:t>
            </w:r>
          </w:p>
        </w:tc>
        <w:tc>
          <w:tcPr>
            <w:tcW w:w="1350" w:type="dxa"/>
            <w:tcBorders>
              <w:top w:val="nil"/>
              <w:left w:val="nil"/>
              <w:bottom w:val="nil"/>
              <w:right w:val="nil"/>
            </w:tcBorders>
            <w:shd w:val="clear" w:color="000000" w:fill="FFFFFF"/>
            <w:noWrap/>
            <w:vAlign w:val="center"/>
            <w:hideMark/>
          </w:tcPr>
          <w:p w14:paraId="36592F54" w14:textId="7C984BA7"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71,328,981 </w:t>
            </w:r>
          </w:p>
        </w:tc>
        <w:tc>
          <w:tcPr>
            <w:tcW w:w="7199" w:type="dxa"/>
            <w:tcBorders>
              <w:top w:val="nil"/>
              <w:left w:val="nil"/>
              <w:bottom w:val="nil"/>
              <w:right w:val="nil"/>
            </w:tcBorders>
            <w:shd w:val="clear" w:color="000000" w:fill="FFFFFF"/>
            <w:noWrap/>
            <w:vAlign w:val="center"/>
            <w:hideMark/>
          </w:tcPr>
          <w:p w14:paraId="16798C6D"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XBB.1.5 (0.5%); XBB.1.5.10 (0.4%); XBB.1 (0.4%); XBB.1.5.15 (0.4%); XBB.1.5.49 (0.4%)</w:t>
            </w:r>
          </w:p>
        </w:tc>
      </w:tr>
      <w:tr w:rsidR="00051702" w:rsidRPr="00AB428D" w14:paraId="07809ED3" w14:textId="77777777" w:rsidTr="00AB428D">
        <w:trPr>
          <w:trHeight w:val="202"/>
          <w:jc w:val="center"/>
        </w:trPr>
        <w:tc>
          <w:tcPr>
            <w:tcW w:w="1530" w:type="dxa"/>
            <w:vMerge/>
            <w:tcBorders>
              <w:top w:val="nil"/>
              <w:left w:val="nil"/>
              <w:bottom w:val="single" w:sz="4" w:space="0" w:color="000000"/>
              <w:right w:val="nil"/>
            </w:tcBorders>
            <w:vAlign w:val="center"/>
            <w:hideMark/>
          </w:tcPr>
          <w:p w14:paraId="1863EB19"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single" w:sz="4" w:space="0" w:color="auto"/>
              <w:right w:val="nil"/>
            </w:tcBorders>
            <w:shd w:val="clear" w:color="000000" w:fill="FFFFFF"/>
            <w:noWrap/>
            <w:vAlign w:val="center"/>
            <w:hideMark/>
          </w:tcPr>
          <w:p w14:paraId="4C3ECCE9"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2024</w:t>
            </w:r>
          </w:p>
        </w:tc>
        <w:tc>
          <w:tcPr>
            <w:tcW w:w="1350" w:type="dxa"/>
            <w:tcBorders>
              <w:top w:val="nil"/>
              <w:left w:val="nil"/>
              <w:bottom w:val="single" w:sz="4" w:space="0" w:color="auto"/>
              <w:right w:val="nil"/>
            </w:tcBorders>
            <w:shd w:val="clear" w:color="000000" w:fill="FFFFFF"/>
            <w:noWrap/>
            <w:vAlign w:val="center"/>
            <w:hideMark/>
          </w:tcPr>
          <w:p w14:paraId="2047F4A4" w14:textId="583438AF"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9,457,427 </w:t>
            </w:r>
          </w:p>
        </w:tc>
        <w:tc>
          <w:tcPr>
            <w:tcW w:w="7199" w:type="dxa"/>
            <w:tcBorders>
              <w:top w:val="nil"/>
              <w:left w:val="nil"/>
              <w:bottom w:val="single" w:sz="4" w:space="0" w:color="auto"/>
              <w:right w:val="nil"/>
            </w:tcBorders>
            <w:shd w:val="clear" w:color="000000" w:fill="FFFFFF"/>
            <w:noWrap/>
            <w:vAlign w:val="center"/>
            <w:hideMark/>
          </w:tcPr>
          <w:p w14:paraId="038103EF"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JN.1 (1.1%); JN.1.8 (1.1%); JN.1.18 (1%); JN.1.7 (1%); JN.1.4 (1.0%)</w:t>
            </w:r>
          </w:p>
        </w:tc>
      </w:tr>
      <w:tr w:rsidR="00051702" w:rsidRPr="00AB428D" w14:paraId="27948FE5" w14:textId="77777777" w:rsidTr="00AB428D">
        <w:trPr>
          <w:trHeight w:val="202"/>
          <w:jc w:val="center"/>
        </w:trPr>
        <w:tc>
          <w:tcPr>
            <w:tcW w:w="1530" w:type="dxa"/>
            <w:vMerge w:val="restart"/>
            <w:tcBorders>
              <w:top w:val="nil"/>
              <w:left w:val="nil"/>
              <w:bottom w:val="single" w:sz="4" w:space="0" w:color="000000"/>
              <w:right w:val="nil"/>
            </w:tcBorders>
            <w:shd w:val="clear" w:color="000000" w:fill="FFFFFF"/>
            <w:vAlign w:val="center"/>
            <w:hideMark/>
          </w:tcPr>
          <w:p w14:paraId="6C59C490"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United Kingdom</w:t>
            </w:r>
          </w:p>
        </w:tc>
        <w:tc>
          <w:tcPr>
            <w:tcW w:w="720" w:type="dxa"/>
            <w:tcBorders>
              <w:top w:val="nil"/>
              <w:left w:val="nil"/>
              <w:bottom w:val="nil"/>
              <w:right w:val="nil"/>
            </w:tcBorders>
            <w:shd w:val="clear" w:color="000000" w:fill="FFFFFF"/>
            <w:noWrap/>
            <w:vAlign w:val="center"/>
            <w:hideMark/>
          </w:tcPr>
          <w:p w14:paraId="4AD6C631"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2020</w:t>
            </w:r>
          </w:p>
        </w:tc>
        <w:tc>
          <w:tcPr>
            <w:tcW w:w="1350" w:type="dxa"/>
            <w:tcBorders>
              <w:top w:val="nil"/>
              <w:left w:val="nil"/>
              <w:bottom w:val="nil"/>
              <w:right w:val="nil"/>
            </w:tcBorders>
            <w:shd w:val="clear" w:color="000000" w:fill="FFFFFF"/>
            <w:noWrap/>
            <w:vAlign w:val="center"/>
            <w:hideMark/>
          </w:tcPr>
          <w:p w14:paraId="2C7E25A3" w14:textId="766B27DC"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13,728,198 </w:t>
            </w:r>
          </w:p>
        </w:tc>
        <w:tc>
          <w:tcPr>
            <w:tcW w:w="7199" w:type="dxa"/>
            <w:tcBorders>
              <w:top w:val="nil"/>
              <w:left w:val="nil"/>
              <w:bottom w:val="nil"/>
              <w:right w:val="nil"/>
            </w:tcBorders>
            <w:shd w:val="clear" w:color="000000" w:fill="FFFFFF"/>
            <w:noWrap/>
            <w:vAlign w:val="center"/>
            <w:hideMark/>
          </w:tcPr>
          <w:p w14:paraId="7E769DE7"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B.1.1 (1.2%); B.1 (1.2%); B.1.1.37 (1%); B.1.1.1 (1%); B.1.177 (0.9%)</w:t>
            </w:r>
          </w:p>
        </w:tc>
      </w:tr>
      <w:tr w:rsidR="00051702" w:rsidRPr="00AB428D" w14:paraId="7D9622F2" w14:textId="77777777" w:rsidTr="00AB428D">
        <w:trPr>
          <w:trHeight w:val="202"/>
          <w:jc w:val="center"/>
        </w:trPr>
        <w:tc>
          <w:tcPr>
            <w:tcW w:w="1530" w:type="dxa"/>
            <w:vMerge/>
            <w:tcBorders>
              <w:top w:val="nil"/>
              <w:left w:val="nil"/>
              <w:bottom w:val="single" w:sz="4" w:space="0" w:color="000000"/>
              <w:right w:val="nil"/>
            </w:tcBorders>
            <w:vAlign w:val="center"/>
            <w:hideMark/>
          </w:tcPr>
          <w:p w14:paraId="09610A1A"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6ACD4CFA"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2021</w:t>
            </w:r>
          </w:p>
        </w:tc>
        <w:tc>
          <w:tcPr>
            <w:tcW w:w="1350" w:type="dxa"/>
            <w:tcBorders>
              <w:top w:val="nil"/>
              <w:left w:val="nil"/>
              <w:bottom w:val="nil"/>
              <w:right w:val="nil"/>
            </w:tcBorders>
            <w:shd w:val="clear" w:color="000000" w:fill="FFFFFF"/>
            <w:noWrap/>
            <w:vAlign w:val="center"/>
            <w:hideMark/>
          </w:tcPr>
          <w:p w14:paraId="610F023D" w14:textId="799E95AE"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84,393,505 </w:t>
            </w:r>
          </w:p>
        </w:tc>
        <w:tc>
          <w:tcPr>
            <w:tcW w:w="7199" w:type="dxa"/>
            <w:tcBorders>
              <w:top w:val="nil"/>
              <w:left w:val="nil"/>
              <w:bottom w:val="nil"/>
              <w:right w:val="nil"/>
            </w:tcBorders>
            <w:shd w:val="clear" w:color="000000" w:fill="FFFFFF"/>
            <w:noWrap/>
            <w:vAlign w:val="center"/>
            <w:hideMark/>
          </w:tcPr>
          <w:p w14:paraId="17D5BBE6"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AY.4 (1.5%); B.1.617.2 (1.5%); AY.122 (1.5%); AY.5 (1.5%); AY.111 (1.5%)</w:t>
            </w:r>
          </w:p>
        </w:tc>
      </w:tr>
      <w:tr w:rsidR="00051702" w:rsidRPr="00AB428D" w14:paraId="40B5588E" w14:textId="77777777" w:rsidTr="00AB428D">
        <w:trPr>
          <w:trHeight w:val="202"/>
          <w:jc w:val="center"/>
        </w:trPr>
        <w:tc>
          <w:tcPr>
            <w:tcW w:w="1530" w:type="dxa"/>
            <w:vMerge/>
            <w:tcBorders>
              <w:top w:val="nil"/>
              <w:left w:val="nil"/>
              <w:bottom w:val="single" w:sz="4" w:space="0" w:color="000000"/>
              <w:right w:val="nil"/>
            </w:tcBorders>
            <w:vAlign w:val="center"/>
            <w:hideMark/>
          </w:tcPr>
          <w:p w14:paraId="03C78731"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189A1E39"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2022</w:t>
            </w:r>
          </w:p>
        </w:tc>
        <w:tc>
          <w:tcPr>
            <w:tcW w:w="1350" w:type="dxa"/>
            <w:tcBorders>
              <w:top w:val="nil"/>
              <w:left w:val="nil"/>
              <w:bottom w:val="nil"/>
              <w:right w:val="nil"/>
            </w:tcBorders>
            <w:shd w:val="clear" w:color="000000" w:fill="FFFFFF"/>
            <w:noWrap/>
            <w:vAlign w:val="center"/>
            <w:hideMark/>
          </w:tcPr>
          <w:p w14:paraId="6B8625C1" w14:textId="2D2E5132"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79,974,012 </w:t>
            </w:r>
          </w:p>
        </w:tc>
        <w:tc>
          <w:tcPr>
            <w:tcW w:w="7199" w:type="dxa"/>
            <w:tcBorders>
              <w:top w:val="nil"/>
              <w:left w:val="nil"/>
              <w:bottom w:val="nil"/>
              <w:right w:val="nil"/>
            </w:tcBorders>
            <w:shd w:val="clear" w:color="000000" w:fill="FFFFFF"/>
            <w:noWrap/>
            <w:vAlign w:val="center"/>
            <w:hideMark/>
          </w:tcPr>
          <w:p w14:paraId="14634E09"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BA.2 (1.3%); BA.2.3 (1.2%); BA.1.1 (1.2%); BA.2.10 (1.2%); BA.1 (1.2%)</w:t>
            </w:r>
          </w:p>
        </w:tc>
      </w:tr>
      <w:tr w:rsidR="00051702" w:rsidRPr="00AB428D" w14:paraId="204B188E" w14:textId="77777777" w:rsidTr="00AB428D">
        <w:trPr>
          <w:trHeight w:val="202"/>
          <w:jc w:val="center"/>
        </w:trPr>
        <w:tc>
          <w:tcPr>
            <w:tcW w:w="1530" w:type="dxa"/>
            <w:vMerge/>
            <w:tcBorders>
              <w:top w:val="nil"/>
              <w:left w:val="nil"/>
              <w:bottom w:val="single" w:sz="4" w:space="0" w:color="000000"/>
              <w:right w:val="nil"/>
            </w:tcBorders>
            <w:vAlign w:val="center"/>
            <w:hideMark/>
          </w:tcPr>
          <w:p w14:paraId="08131CA7"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603ED6B5"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2023</w:t>
            </w:r>
          </w:p>
        </w:tc>
        <w:tc>
          <w:tcPr>
            <w:tcW w:w="1350" w:type="dxa"/>
            <w:tcBorders>
              <w:top w:val="nil"/>
              <w:left w:val="nil"/>
              <w:bottom w:val="nil"/>
              <w:right w:val="nil"/>
            </w:tcBorders>
            <w:shd w:val="clear" w:color="000000" w:fill="FFFFFF"/>
            <w:noWrap/>
            <w:vAlign w:val="center"/>
            <w:hideMark/>
          </w:tcPr>
          <w:p w14:paraId="65BFC5C1" w14:textId="71BA0815"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8,416,483 </w:t>
            </w:r>
          </w:p>
        </w:tc>
        <w:tc>
          <w:tcPr>
            <w:tcW w:w="7199" w:type="dxa"/>
            <w:tcBorders>
              <w:top w:val="nil"/>
              <w:left w:val="nil"/>
              <w:bottom w:val="nil"/>
              <w:right w:val="nil"/>
            </w:tcBorders>
            <w:shd w:val="clear" w:color="000000" w:fill="FFFFFF"/>
            <w:noWrap/>
            <w:vAlign w:val="center"/>
            <w:hideMark/>
          </w:tcPr>
          <w:p w14:paraId="09125B74"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XBB.1.5 (0.9%); XBB.1.9.1 (0.7%); CH.1.1.1 (0.7%); XBB.1.5.7 (0.7%); XBB.1.5.18 (0.7%)</w:t>
            </w:r>
          </w:p>
        </w:tc>
      </w:tr>
      <w:tr w:rsidR="00051702" w:rsidRPr="00AB428D" w14:paraId="6AE4CF57" w14:textId="77777777" w:rsidTr="00AB428D">
        <w:trPr>
          <w:trHeight w:val="202"/>
          <w:jc w:val="center"/>
        </w:trPr>
        <w:tc>
          <w:tcPr>
            <w:tcW w:w="1530" w:type="dxa"/>
            <w:vMerge/>
            <w:tcBorders>
              <w:top w:val="nil"/>
              <w:left w:val="nil"/>
              <w:bottom w:val="single" w:sz="8" w:space="0" w:color="auto"/>
              <w:right w:val="nil"/>
            </w:tcBorders>
            <w:vAlign w:val="center"/>
            <w:hideMark/>
          </w:tcPr>
          <w:p w14:paraId="7BF9C7E3"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single" w:sz="8" w:space="0" w:color="auto"/>
              <w:right w:val="nil"/>
            </w:tcBorders>
            <w:shd w:val="clear" w:color="000000" w:fill="FFFFFF"/>
            <w:noWrap/>
            <w:vAlign w:val="center"/>
            <w:hideMark/>
          </w:tcPr>
          <w:p w14:paraId="38765A88"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2024</w:t>
            </w:r>
          </w:p>
        </w:tc>
        <w:tc>
          <w:tcPr>
            <w:tcW w:w="1350" w:type="dxa"/>
            <w:tcBorders>
              <w:top w:val="nil"/>
              <w:left w:val="nil"/>
              <w:bottom w:val="single" w:sz="8" w:space="0" w:color="auto"/>
              <w:right w:val="nil"/>
            </w:tcBorders>
            <w:shd w:val="clear" w:color="000000" w:fill="FFFFFF"/>
            <w:noWrap/>
            <w:vAlign w:val="center"/>
            <w:hideMark/>
          </w:tcPr>
          <w:p w14:paraId="2F7BF20B" w14:textId="63389019"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934,727 </w:t>
            </w:r>
          </w:p>
        </w:tc>
        <w:tc>
          <w:tcPr>
            <w:tcW w:w="7199" w:type="dxa"/>
            <w:tcBorders>
              <w:top w:val="nil"/>
              <w:left w:val="nil"/>
              <w:bottom w:val="single" w:sz="8" w:space="0" w:color="auto"/>
              <w:right w:val="nil"/>
            </w:tcBorders>
            <w:shd w:val="clear" w:color="000000" w:fill="FFFFFF"/>
            <w:noWrap/>
            <w:vAlign w:val="center"/>
            <w:hideMark/>
          </w:tcPr>
          <w:p w14:paraId="41015348"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JN.1 (2%); JN.1.7 (1.9%); KP.2 (1.7%); KP.3 (1.6%); JN.1.8 (1.5%)</w:t>
            </w:r>
          </w:p>
        </w:tc>
      </w:tr>
      <w:tr w:rsidR="00051702" w:rsidRPr="00AB428D" w14:paraId="77BC4FA6" w14:textId="77777777" w:rsidTr="00AB428D">
        <w:trPr>
          <w:trHeight w:val="202"/>
          <w:jc w:val="center"/>
        </w:trPr>
        <w:tc>
          <w:tcPr>
            <w:tcW w:w="1530" w:type="dxa"/>
            <w:vMerge w:val="restart"/>
            <w:tcBorders>
              <w:top w:val="single" w:sz="8" w:space="0" w:color="auto"/>
              <w:left w:val="nil"/>
              <w:right w:val="nil"/>
            </w:tcBorders>
            <w:shd w:val="clear" w:color="000000" w:fill="FFFFFF"/>
            <w:vAlign w:val="center"/>
            <w:hideMark/>
          </w:tcPr>
          <w:p w14:paraId="66F322CE"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South Korea</w:t>
            </w:r>
          </w:p>
        </w:tc>
        <w:tc>
          <w:tcPr>
            <w:tcW w:w="720" w:type="dxa"/>
            <w:tcBorders>
              <w:top w:val="single" w:sz="8" w:space="0" w:color="auto"/>
              <w:left w:val="nil"/>
              <w:right w:val="nil"/>
            </w:tcBorders>
            <w:shd w:val="clear" w:color="000000" w:fill="FFFFFF"/>
            <w:noWrap/>
            <w:vAlign w:val="center"/>
            <w:hideMark/>
          </w:tcPr>
          <w:p w14:paraId="188B2FC0"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2020</w:t>
            </w:r>
          </w:p>
        </w:tc>
        <w:tc>
          <w:tcPr>
            <w:tcW w:w="1350" w:type="dxa"/>
            <w:tcBorders>
              <w:top w:val="single" w:sz="8" w:space="0" w:color="auto"/>
              <w:left w:val="nil"/>
              <w:right w:val="nil"/>
            </w:tcBorders>
            <w:shd w:val="clear" w:color="000000" w:fill="FFFFFF"/>
            <w:noWrap/>
            <w:vAlign w:val="center"/>
            <w:hideMark/>
          </w:tcPr>
          <w:p w14:paraId="2EB39658" w14:textId="15827D8D"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5,878 </w:t>
            </w:r>
          </w:p>
        </w:tc>
        <w:tc>
          <w:tcPr>
            <w:tcW w:w="7199" w:type="dxa"/>
            <w:tcBorders>
              <w:top w:val="single" w:sz="8" w:space="0" w:color="auto"/>
              <w:left w:val="nil"/>
              <w:right w:val="nil"/>
            </w:tcBorders>
            <w:shd w:val="clear" w:color="000000" w:fill="FFFFFF"/>
            <w:noWrap/>
            <w:vAlign w:val="center"/>
            <w:hideMark/>
          </w:tcPr>
          <w:p w14:paraId="3A9B6D49"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B.1.497 (37.3%); B.1 (9.8%); B.1.1 (8.0%); B.41 (2.9%); A (2.8%)</w:t>
            </w:r>
          </w:p>
        </w:tc>
      </w:tr>
      <w:tr w:rsidR="00051702" w:rsidRPr="00AB428D" w14:paraId="168114FD" w14:textId="77777777" w:rsidTr="00AB428D">
        <w:trPr>
          <w:trHeight w:val="202"/>
          <w:jc w:val="center"/>
        </w:trPr>
        <w:tc>
          <w:tcPr>
            <w:tcW w:w="1530" w:type="dxa"/>
            <w:vMerge/>
            <w:tcBorders>
              <w:top w:val="nil"/>
              <w:left w:val="nil"/>
              <w:right w:val="nil"/>
            </w:tcBorders>
            <w:vAlign w:val="center"/>
            <w:hideMark/>
          </w:tcPr>
          <w:p w14:paraId="0E48941C"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right w:val="nil"/>
            </w:tcBorders>
            <w:shd w:val="clear" w:color="000000" w:fill="FFFFFF"/>
            <w:noWrap/>
            <w:vAlign w:val="center"/>
            <w:hideMark/>
          </w:tcPr>
          <w:p w14:paraId="1166B2F1"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2021</w:t>
            </w:r>
          </w:p>
        </w:tc>
        <w:tc>
          <w:tcPr>
            <w:tcW w:w="1350" w:type="dxa"/>
            <w:tcBorders>
              <w:top w:val="nil"/>
              <w:left w:val="nil"/>
              <w:right w:val="nil"/>
            </w:tcBorders>
            <w:shd w:val="clear" w:color="000000" w:fill="FFFFFF"/>
            <w:noWrap/>
            <w:vAlign w:val="center"/>
            <w:hideMark/>
          </w:tcPr>
          <w:p w14:paraId="2BEB86F1" w14:textId="7658F789"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215,082 </w:t>
            </w:r>
          </w:p>
        </w:tc>
        <w:tc>
          <w:tcPr>
            <w:tcW w:w="7199" w:type="dxa"/>
            <w:tcBorders>
              <w:top w:val="nil"/>
              <w:left w:val="nil"/>
              <w:right w:val="nil"/>
            </w:tcBorders>
            <w:shd w:val="clear" w:color="000000" w:fill="FFFFFF"/>
            <w:noWrap/>
            <w:vAlign w:val="center"/>
            <w:hideMark/>
          </w:tcPr>
          <w:p w14:paraId="05A498A8"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AY.69 (11.6%); B.1.617.2 (11.6%); AY.122 (9.4%); AY.122.5 (8.0%); B.1.619.1 (6.4%)</w:t>
            </w:r>
          </w:p>
        </w:tc>
      </w:tr>
      <w:tr w:rsidR="00051702" w:rsidRPr="00AB428D" w14:paraId="3D01A889" w14:textId="77777777" w:rsidTr="00AB428D">
        <w:trPr>
          <w:trHeight w:val="202"/>
          <w:jc w:val="center"/>
        </w:trPr>
        <w:tc>
          <w:tcPr>
            <w:tcW w:w="1530" w:type="dxa"/>
            <w:vMerge/>
            <w:tcBorders>
              <w:top w:val="nil"/>
              <w:left w:val="nil"/>
              <w:right w:val="nil"/>
            </w:tcBorders>
            <w:vAlign w:val="center"/>
            <w:hideMark/>
          </w:tcPr>
          <w:p w14:paraId="710EEAF9"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right w:val="nil"/>
            </w:tcBorders>
            <w:shd w:val="clear" w:color="000000" w:fill="FFFFFF"/>
            <w:noWrap/>
            <w:vAlign w:val="center"/>
            <w:hideMark/>
          </w:tcPr>
          <w:p w14:paraId="64595415"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2022</w:t>
            </w:r>
          </w:p>
        </w:tc>
        <w:tc>
          <w:tcPr>
            <w:tcW w:w="1350" w:type="dxa"/>
            <w:tcBorders>
              <w:top w:val="nil"/>
              <w:left w:val="nil"/>
              <w:right w:val="nil"/>
            </w:tcBorders>
            <w:shd w:val="clear" w:color="000000" w:fill="FFFFFF"/>
            <w:noWrap/>
            <w:vAlign w:val="center"/>
            <w:hideMark/>
          </w:tcPr>
          <w:p w14:paraId="51FB8CC2" w14:textId="0F08E5B3"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2,827,981 </w:t>
            </w:r>
          </w:p>
        </w:tc>
        <w:tc>
          <w:tcPr>
            <w:tcW w:w="7199" w:type="dxa"/>
            <w:tcBorders>
              <w:top w:val="nil"/>
              <w:left w:val="nil"/>
              <w:right w:val="nil"/>
            </w:tcBorders>
            <w:shd w:val="clear" w:color="000000" w:fill="FFFFFF"/>
            <w:noWrap/>
            <w:vAlign w:val="center"/>
            <w:hideMark/>
          </w:tcPr>
          <w:p w14:paraId="3A53D43B"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BA.5.2 (2.0%); BA.5.2.1 (2.0%); BA.5.1 (1.8%); BA.2.3 (1.8%); BA.2 (1.7%)</w:t>
            </w:r>
          </w:p>
        </w:tc>
      </w:tr>
      <w:tr w:rsidR="00051702" w:rsidRPr="00AB428D" w14:paraId="00BBC0B8" w14:textId="77777777" w:rsidTr="00AB428D">
        <w:trPr>
          <w:trHeight w:val="202"/>
          <w:jc w:val="center"/>
        </w:trPr>
        <w:tc>
          <w:tcPr>
            <w:tcW w:w="1530" w:type="dxa"/>
            <w:vMerge/>
            <w:tcBorders>
              <w:top w:val="nil"/>
              <w:left w:val="nil"/>
              <w:right w:val="nil"/>
            </w:tcBorders>
            <w:vAlign w:val="center"/>
            <w:hideMark/>
          </w:tcPr>
          <w:p w14:paraId="03AB6617"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right w:val="nil"/>
            </w:tcBorders>
            <w:shd w:val="clear" w:color="000000" w:fill="FFFFFF"/>
            <w:noWrap/>
            <w:vAlign w:val="center"/>
            <w:hideMark/>
          </w:tcPr>
          <w:p w14:paraId="61783D6C"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2023</w:t>
            </w:r>
          </w:p>
        </w:tc>
        <w:tc>
          <w:tcPr>
            <w:tcW w:w="1350" w:type="dxa"/>
            <w:tcBorders>
              <w:top w:val="nil"/>
              <w:left w:val="nil"/>
              <w:right w:val="nil"/>
            </w:tcBorders>
            <w:shd w:val="clear" w:color="000000" w:fill="FFFFFF"/>
            <w:noWrap/>
            <w:vAlign w:val="center"/>
            <w:hideMark/>
          </w:tcPr>
          <w:p w14:paraId="5CD9337F" w14:textId="63CEDCA6"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4,438,592 </w:t>
            </w:r>
          </w:p>
        </w:tc>
        <w:tc>
          <w:tcPr>
            <w:tcW w:w="7199" w:type="dxa"/>
            <w:tcBorders>
              <w:top w:val="nil"/>
              <w:left w:val="nil"/>
              <w:right w:val="nil"/>
            </w:tcBorders>
            <w:shd w:val="clear" w:color="000000" w:fill="FFFFFF"/>
            <w:noWrap/>
            <w:vAlign w:val="center"/>
            <w:hideMark/>
          </w:tcPr>
          <w:p w14:paraId="1399721F"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XBB.1.5 (1.2%); XBB.1.16 (1.0%); EG.1.6 (1.0%); EG.1 (1.0%); XBB.1.9.1 (1.0%)</w:t>
            </w:r>
          </w:p>
        </w:tc>
      </w:tr>
      <w:tr w:rsidR="00051702" w:rsidRPr="00AB428D" w14:paraId="0CF444C7" w14:textId="77777777" w:rsidTr="00AB428D">
        <w:trPr>
          <w:trHeight w:val="202"/>
          <w:jc w:val="center"/>
        </w:trPr>
        <w:tc>
          <w:tcPr>
            <w:tcW w:w="1530" w:type="dxa"/>
            <w:vMerge/>
            <w:tcBorders>
              <w:top w:val="nil"/>
              <w:left w:val="nil"/>
              <w:bottom w:val="single" w:sz="12" w:space="0" w:color="auto"/>
              <w:right w:val="nil"/>
            </w:tcBorders>
            <w:vAlign w:val="center"/>
            <w:hideMark/>
          </w:tcPr>
          <w:p w14:paraId="3DDD01D3"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single" w:sz="12" w:space="0" w:color="auto"/>
              <w:right w:val="nil"/>
            </w:tcBorders>
            <w:shd w:val="clear" w:color="000000" w:fill="FFFFFF"/>
            <w:noWrap/>
            <w:vAlign w:val="center"/>
            <w:hideMark/>
          </w:tcPr>
          <w:p w14:paraId="629BD138"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2024</w:t>
            </w:r>
          </w:p>
        </w:tc>
        <w:tc>
          <w:tcPr>
            <w:tcW w:w="1350" w:type="dxa"/>
            <w:tcBorders>
              <w:top w:val="nil"/>
              <w:left w:val="nil"/>
              <w:bottom w:val="single" w:sz="12" w:space="0" w:color="auto"/>
              <w:right w:val="nil"/>
            </w:tcBorders>
            <w:shd w:val="clear" w:color="000000" w:fill="FFFFFF"/>
            <w:noWrap/>
            <w:vAlign w:val="center"/>
            <w:hideMark/>
          </w:tcPr>
          <w:p w14:paraId="0EB64749" w14:textId="26D12261" w:rsidR="00051702" w:rsidRPr="00AB428D" w:rsidRDefault="00051702" w:rsidP="00436C0C">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225,726 </w:t>
            </w:r>
          </w:p>
        </w:tc>
        <w:tc>
          <w:tcPr>
            <w:tcW w:w="7199" w:type="dxa"/>
            <w:tcBorders>
              <w:top w:val="nil"/>
              <w:left w:val="nil"/>
              <w:bottom w:val="single" w:sz="12" w:space="0" w:color="auto"/>
              <w:right w:val="nil"/>
            </w:tcBorders>
            <w:shd w:val="clear" w:color="000000" w:fill="FFFFFF"/>
            <w:noWrap/>
            <w:vAlign w:val="center"/>
            <w:hideMark/>
          </w:tcPr>
          <w:p w14:paraId="01D96B41" w14:textId="77777777" w:rsidR="00051702" w:rsidRPr="00AB428D" w:rsidRDefault="00051702" w:rsidP="00436C0C">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JN.1.4 (4.2%); JN.1 (4.1%); JN.1.20 (3.9%); JN.1.4.5 (3.8%); JN.1.5 (3.4%)</w:t>
            </w:r>
          </w:p>
        </w:tc>
      </w:tr>
    </w:tbl>
    <w:p w14:paraId="555D7781" w14:textId="77777777" w:rsidR="00051702" w:rsidRPr="00010D51" w:rsidRDefault="00051702" w:rsidP="00010D51">
      <w:pPr>
        <w:spacing w:line="276" w:lineRule="auto"/>
        <w:rPr>
          <w:color w:val="000000" w:themeColor="text1"/>
          <w:lang w:eastAsia="ko-KR"/>
        </w:rPr>
      </w:pPr>
    </w:p>
    <w:sectPr w:rsidR="00051702" w:rsidRPr="00010D51" w:rsidSect="00010D51">
      <w:pgSz w:w="12240" w:h="15840"/>
      <w:pgMar w:top="720" w:right="720" w:bottom="720" w:left="720" w:header="720" w:footer="720" w:gutter="0"/>
      <w:lnNumType w:countBy="1" w:restart="newSection"/>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EC613" w14:textId="77777777" w:rsidR="00270375" w:rsidRDefault="00270375">
      <w:pPr>
        <w:spacing w:after="0"/>
      </w:pPr>
      <w:r>
        <w:separator/>
      </w:r>
    </w:p>
  </w:endnote>
  <w:endnote w:type="continuationSeparator" w:id="0">
    <w:p w14:paraId="7FEC51C0" w14:textId="77777777" w:rsidR="00270375" w:rsidRDefault="002703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4F3CB" w14:textId="77777777" w:rsidR="00297272" w:rsidRDefault="002972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560470"/>
      <w:docPartObj>
        <w:docPartGallery w:val="Page Numbers (Bottom of Page)"/>
        <w:docPartUnique/>
      </w:docPartObj>
    </w:sdtPr>
    <w:sdtEndPr>
      <w:rPr>
        <w:noProof/>
      </w:rPr>
    </w:sdtEndPr>
    <w:sdtContent>
      <w:p w14:paraId="1BEEDCBE" w14:textId="4CC3C155" w:rsidR="00AB428D" w:rsidRDefault="00AB42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4DE40" w14:textId="77777777" w:rsidR="00297272" w:rsidRDefault="002972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AF752" w14:textId="77777777" w:rsidR="00270375" w:rsidRDefault="00270375">
      <w:pPr>
        <w:spacing w:after="0"/>
      </w:pPr>
      <w:r>
        <w:separator/>
      </w:r>
    </w:p>
  </w:footnote>
  <w:footnote w:type="continuationSeparator" w:id="0">
    <w:p w14:paraId="2283D237" w14:textId="77777777" w:rsidR="00270375" w:rsidRDefault="002703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CDB08" w14:textId="77777777" w:rsidR="00297272" w:rsidRDefault="002972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9857" w14:textId="77777777" w:rsidR="00E6133D" w:rsidRPr="00297272" w:rsidRDefault="00E6133D" w:rsidP="002972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2D3A" w14:textId="77777777" w:rsidR="00297272" w:rsidRDefault="002972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0738219E"/>
    <w:multiLevelType w:val="hybridMultilevel"/>
    <w:tmpl w:val="C57E08F8"/>
    <w:lvl w:ilvl="0" w:tplc="50BC9342">
      <w:start w:val="1"/>
      <w:numFmt w:val="bullet"/>
      <w:lvlText w:val=""/>
      <w:lvlJc w:val="left"/>
      <w:pPr>
        <w:tabs>
          <w:tab w:val="num" w:pos="720"/>
        </w:tabs>
        <w:ind w:left="720" w:hanging="360"/>
      </w:pPr>
      <w:rPr>
        <w:rFonts w:ascii="Wingdings" w:hAnsi="Wingdings" w:hint="default"/>
      </w:rPr>
    </w:lvl>
    <w:lvl w:ilvl="1" w:tplc="B9849750" w:tentative="1">
      <w:start w:val="1"/>
      <w:numFmt w:val="bullet"/>
      <w:lvlText w:val=""/>
      <w:lvlJc w:val="left"/>
      <w:pPr>
        <w:tabs>
          <w:tab w:val="num" w:pos="1440"/>
        </w:tabs>
        <w:ind w:left="1440" w:hanging="360"/>
      </w:pPr>
      <w:rPr>
        <w:rFonts w:ascii="Wingdings" w:hAnsi="Wingdings" w:hint="default"/>
      </w:rPr>
    </w:lvl>
    <w:lvl w:ilvl="2" w:tplc="529EDD72" w:tentative="1">
      <w:start w:val="1"/>
      <w:numFmt w:val="bullet"/>
      <w:lvlText w:val=""/>
      <w:lvlJc w:val="left"/>
      <w:pPr>
        <w:tabs>
          <w:tab w:val="num" w:pos="2160"/>
        </w:tabs>
        <w:ind w:left="2160" w:hanging="360"/>
      </w:pPr>
      <w:rPr>
        <w:rFonts w:ascii="Wingdings" w:hAnsi="Wingdings" w:hint="default"/>
      </w:rPr>
    </w:lvl>
    <w:lvl w:ilvl="3" w:tplc="F3824850" w:tentative="1">
      <w:start w:val="1"/>
      <w:numFmt w:val="bullet"/>
      <w:lvlText w:val=""/>
      <w:lvlJc w:val="left"/>
      <w:pPr>
        <w:tabs>
          <w:tab w:val="num" w:pos="2880"/>
        </w:tabs>
        <w:ind w:left="2880" w:hanging="360"/>
      </w:pPr>
      <w:rPr>
        <w:rFonts w:ascii="Wingdings" w:hAnsi="Wingdings" w:hint="default"/>
      </w:rPr>
    </w:lvl>
    <w:lvl w:ilvl="4" w:tplc="ACA26F1E" w:tentative="1">
      <w:start w:val="1"/>
      <w:numFmt w:val="bullet"/>
      <w:lvlText w:val=""/>
      <w:lvlJc w:val="left"/>
      <w:pPr>
        <w:tabs>
          <w:tab w:val="num" w:pos="3600"/>
        </w:tabs>
        <w:ind w:left="3600" w:hanging="360"/>
      </w:pPr>
      <w:rPr>
        <w:rFonts w:ascii="Wingdings" w:hAnsi="Wingdings" w:hint="default"/>
      </w:rPr>
    </w:lvl>
    <w:lvl w:ilvl="5" w:tplc="69D821B8" w:tentative="1">
      <w:start w:val="1"/>
      <w:numFmt w:val="bullet"/>
      <w:lvlText w:val=""/>
      <w:lvlJc w:val="left"/>
      <w:pPr>
        <w:tabs>
          <w:tab w:val="num" w:pos="4320"/>
        </w:tabs>
        <w:ind w:left="4320" w:hanging="360"/>
      </w:pPr>
      <w:rPr>
        <w:rFonts w:ascii="Wingdings" w:hAnsi="Wingdings" w:hint="default"/>
      </w:rPr>
    </w:lvl>
    <w:lvl w:ilvl="6" w:tplc="F828C880" w:tentative="1">
      <w:start w:val="1"/>
      <w:numFmt w:val="bullet"/>
      <w:lvlText w:val=""/>
      <w:lvlJc w:val="left"/>
      <w:pPr>
        <w:tabs>
          <w:tab w:val="num" w:pos="5040"/>
        </w:tabs>
        <w:ind w:left="5040" w:hanging="360"/>
      </w:pPr>
      <w:rPr>
        <w:rFonts w:ascii="Wingdings" w:hAnsi="Wingdings" w:hint="default"/>
      </w:rPr>
    </w:lvl>
    <w:lvl w:ilvl="7" w:tplc="74820E80" w:tentative="1">
      <w:start w:val="1"/>
      <w:numFmt w:val="bullet"/>
      <w:lvlText w:val=""/>
      <w:lvlJc w:val="left"/>
      <w:pPr>
        <w:tabs>
          <w:tab w:val="num" w:pos="5760"/>
        </w:tabs>
        <w:ind w:left="5760" w:hanging="360"/>
      </w:pPr>
      <w:rPr>
        <w:rFonts w:ascii="Wingdings" w:hAnsi="Wingdings" w:hint="default"/>
      </w:rPr>
    </w:lvl>
    <w:lvl w:ilvl="8" w:tplc="A7C8443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5"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7"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41217"/>
    <w:multiLevelType w:val="multilevel"/>
    <w:tmpl w:val="5B1A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7F215BB"/>
    <w:multiLevelType w:val="hybridMultilevel"/>
    <w:tmpl w:val="48B6E53E"/>
    <w:lvl w:ilvl="0" w:tplc="DEF60DD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C91516"/>
    <w:multiLevelType w:val="multilevel"/>
    <w:tmpl w:val="22E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048749B"/>
    <w:multiLevelType w:val="multilevel"/>
    <w:tmpl w:val="597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21" w15:restartNumberingAfterBreak="0">
    <w:nsid w:val="6F6F423E"/>
    <w:multiLevelType w:val="hybridMultilevel"/>
    <w:tmpl w:val="1E78242C"/>
    <w:lvl w:ilvl="0" w:tplc="18CE0D90">
      <w:start w:val="1"/>
      <w:numFmt w:val="bullet"/>
      <w:lvlText w:val=""/>
      <w:lvlJc w:val="left"/>
      <w:pPr>
        <w:tabs>
          <w:tab w:val="num" w:pos="720"/>
        </w:tabs>
        <w:ind w:left="720" w:hanging="360"/>
      </w:pPr>
      <w:rPr>
        <w:rFonts w:ascii="Wingdings" w:hAnsi="Wingdings" w:hint="default"/>
      </w:rPr>
    </w:lvl>
    <w:lvl w:ilvl="1" w:tplc="997E1136" w:tentative="1">
      <w:start w:val="1"/>
      <w:numFmt w:val="bullet"/>
      <w:lvlText w:val=""/>
      <w:lvlJc w:val="left"/>
      <w:pPr>
        <w:tabs>
          <w:tab w:val="num" w:pos="1440"/>
        </w:tabs>
        <w:ind w:left="1440" w:hanging="360"/>
      </w:pPr>
      <w:rPr>
        <w:rFonts w:ascii="Wingdings" w:hAnsi="Wingdings" w:hint="default"/>
      </w:rPr>
    </w:lvl>
    <w:lvl w:ilvl="2" w:tplc="9CB2EFDA" w:tentative="1">
      <w:start w:val="1"/>
      <w:numFmt w:val="bullet"/>
      <w:lvlText w:val=""/>
      <w:lvlJc w:val="left"/>
      <w:pPr>
        <w:tabs>
          <w:tab w:val="num" w:pos="2160"/>
        </w:tabs>
        <w:ind w:left="2160" w:hanging="360"/>
      </w:pPr>
      <w:rPr>
        <w:rFonts w:ascii="Wingdings" w:hAnsi="Wingdings" w:hint="default"/>
      </w:rPr>
    </w:lvl>
    <w:lvl w:ilvl="3" w:tplc="2D22F9FA" w:tentative="1">
      <w:start w:val="1"/>
      <w:numFmt w:val="bullet"/>
      <w:lvlText w:val=""/>
      <w:lvlJc w:val="left"/>
      <w:pPr>
        <w:tabs>
          <w:tab w:val="num" w:pos="2880"/>
        </w:tabs>
        <w:ind w:left="2880" w:hanging="360"/>
      </w:pPr>
      <w:rPr>
        <w:rFonts w:ascii="Wingdings" w:hAnsi="Wingdings" w:hint="default"/>
      </w:rPr>
    </w:lvl>
    <w:lvl w:ilvl="4" w:tplc="717C1C00" w:tentative="1">
      <w:start w:val="1"/>
      <w:numFmt w:val="bullet"/>
      <w:lvlText w:val=""/>
      <w:lvlJc w:val="left"/>
      <w:pPr>
        <w:tabs>
          <w:tab w:val="num" w:pos="3600"/>
        </w:tabs>
        <w:ind w:left="3600" w:hanging="360"/>
      </w:pPr>
      <w:rPr>
        <w:rFonts w:ascii="Wingdings" w:hAnsi="Wingdings" w:hint="default"/>
      </w:rPr>
    </w:lvl>
    <w:lvl w:ilvl="5" w:tplc="A912AD4C" w:tentative="1">
      <w:start w:val="1"/>
      <w:numFmt w:val="bullet"/>
      <w:lvlText w:val=""/>
      <w:lvlJc w:val="left"/>
      <w:pPr>
        <w:tabs>
          <w:tab w:val="num" w:pos="4320"/>
        </w:tabs>
        <w:ind w:left="4320" w:hanging="360"/>
      </w:pPr>
      <w:rPr>
        <w:rFonts w:ascii="Wingdings" w:hAnsi="Wingdings" w:hint="default"/>
      </w:rPr>
    </w:lvl>
    <w:lvl w:ilvl="6" w:tplc="F0DCF2B8" w:tentative="1">
      <w:start w:val="1"/>
      <w:numFmt w:val="bullet"/>
      <w:lvlText w:val=""/>
      <w:lvlJc w:val="left"/>
      <w:pPr>
        <w:tabs>
          <w:tab w:val="num" w:pos="5040"/>
        </w:tabs>
        <w:ind w:left="5040" w:hanging="360"/>
      </w:pPr>
      <w:rPr>
        <w:rFonts w:ascii="Wingdings" w:hAnsi="Wingdings" w:hint="default"/>
      </w:rPr>
    </w:lvl>
    <w:lvl w:ilvl="7" w:tplc="25C07940" w:tentative="1">
      <w:start w:val="1"/>
      <w:numFmt w:val="bullet"/>
      <w:lvlText w:val=""/>
      <w:lvlJc w:val="left"/>
      <w:pPr>
        <w:tabs>
          <w:tab w:val="num" w:pos="5760"/>
        </w:tabs>
        <w:ind w:left="5760" w:hanging="360"/>
      </w:pPr>
      <w:rPr>
        <w:rFonts w:ascii="Wingdings" w:hAnsi="Wingdings" w:hint="default"/>
      </w:rPr>
    </w:lvl>
    <w:lvl w:ilvl="8" w:tplc="289C779A"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E1842B5"/>
    <w:multiLevelType w:val="hybridMultilevel"/>
    <w:tmpl w:val="A6F46720"/>
    <w:lvl w:ilvl="0" w:tplc="A5D42BFE">
      <w:start w:val="1"/>
      <w:numFmt w:val="bullet"/>
      <w:lvlText w:val=""/>
      <w:lvlJc w:val="left"/>
      <w:pPr>
        <w:tabs>
          <w:tab w:val="num" w:pos="720"/>
        </w:tabs>
        <w:ind w:left="720" w:hanging="360"/>
      </w:pPr>
      <w:rPr>
        <w:rFonts w:ascii="Wingdings" w:hAnsi="Wingdings" w:hint="default"/>
      </w:rPr>
    </w:lvl>
    <w:lvl w:ilvl="1" w:tplc="3BC44230" w:tentative="1">
      <w:start w:val="1"/>
      <w:numFmt w:val="bullet"/>
      <w:lvlText w:val=""/>
      <w:lvlJc w:val="left"/>
      <w:pPr>
        <w:tabs>
          <w:tab w:val="num" w:pos="1440"/>
        </w:tabs>
        <w:ind w:left="1440" w:hanging="360"/>
      </w:pPr>
      <w:rPr>
        <w:rFonts w:ascii="Wingdings" w:hAnsi="Wingdings" w:hint="default"/>
      </w:rPr>
    </w:lvl>
    <w:lvl w:ilvl="2" w:tplc="BADE88FC" w:tentative="1">
      <w:start w:val="1"/>
      <w:numFmt w:val="bullet"/>
      <w:lvlText w:val=""/>
      <w:lvlJc w:val="left"/>
      <w:pPr>
        <w:tabs>
          <w:tab w:val="num" w:pos="2160"/>
        </w:tabs>
        <w:ind w:left="2160" w:hanging="360"/>
      </w:pPr>
      <w:rPr>
        <w:rFonts w:ascii="Wingdings" w:hAnsi="Wingdings" w:hint="default"/>
      </w:rPr>
    </w:lvl>
    <w:lvl w:ilvl="3" w:tplc="8AE4E550" w:tentative="1">
      <w:start w:val="1"/>
      <w:numFmt w:val="bullet"/>
      <w:lvlText w:val=""/>
      <w:lvlJc w:val="left"/>
      <w:pPr>
        <w:tabs>
          <w:tab w:val="num" w:pos="2880"/>
        </w:tabs>
        <w:ind w:left="2880" w:hanging="360"/>
      </w:pPr>
      <w:rPr>
        <w:rFonts w:ascii="Wingdings" w:hAnsi="Wingdings" w:hint="default"/>
      </w:rPr>
    </w:lvl>
    <w:lvl w:ilvl="4" w:tplc="CD4A0C1A" w:tentative="1">
      <w:start w:val="1"/>
      <w:numFmt w:val="bullet"/>
      <w:lvlText w:val=""/>
      <w:lvlJc w:val="left"/>
      <w:pPr>
        <w:tabs>
          <w:tab w:val="num" w:pos="3600"/>
        </w:tabs>
        <w:ind w:left="3600" w:hanging="360"/>
      </w:pPr>
      <w:rPr>
        <w:rFonts w:ascii="Wingdings" w:hAnsi="Wingdings" w:hint="default"/>
      </w:rPr>
    </w:lvl>
    <w:lvl w:ilvl="5" w:tplc="8E026958" w:tentative="1">
      <w:start w:val="1"/>
      <w:numFmt w:val="bullet"/>
      <w:lvlText w:val=""/>
      <w:lvlJc w:val="left"/>
      <w:pPr>
        <w:tabs>
          <w:tab w:val="num" w:pos="4320"/>
        </w:tabs>
        <w:ind w:left="4320" w:hanging="360"/>
      </w:pPr>
      <w:rPr>
        <w:rFonts w:ascii="Wingdings" w:hAnsi="Wingdings" w:hint="default"/>
      </w:rPr>
    </w:lvl>
    <w:lvl w:ilvl="6" w:tplc="D32E2BE8" w:tentative="1">
      <w:start w:val="1"/>
      <w:numFmt w:val="bullet"/>
      <w:lvlText w:val=""/>
      <w:lvlJc w:val="left"/>
      <w:pPr>
        <w:tabs>
          <w:tab w:val="num" w:pos="5040"/>
        </w:tabs>
        <w:ind w:left="5040" w:hanging="360"/>
      </w:pPr>
      <w:rPr>
        <w:rFonts w:ascii="Wingdings" w:hAnsi="Wingdings" w:hint="default"/>
      </w:rPr>
    </w:lvl>
    <w:lvl w:ilvl="7" w:tplc="B92C59E0" w:tentative="1">
      <w:start w:val="1"/>
      <w:numFmt w:val="bullet"/>
      <w:lvlText w:val=""/>
      <w:lvlJc w:val="left"/>
      <w:pPr>
        <w:tabs>
          <w:tab w:val="num" w:pos="5760"/>
        </w:tabs>
        <w:ind w:left="5760" w:hanging="360"/>
      </w:pPr>
      <w:rPr>
        <w:rFonts w:ascii="Wingdings" w:hAnsi="Wingdings" w:hint="default"/>
      </w:rPr>
    </w:lvl>
    <w:lvl w:ilvl="8" w:tplc="3FCE306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76191141">
    <w:abstractNumId w:val="3"/>
  </w:num>
  <w:num w:numId="2" w16cid:durableId="1391491802">
    <w:abstractNumId w:val="7"/>
  </w:num>
  <w:num w:numId="3" w16cid:durableId="209802491">
    <w:abstractNumId w:val="18"/>
  </w:num>
  <w:num w:numId="4" w16cid:durableId="713045352">
    <w:abstractNumId w:val="4"/>
  </w:num>
  <w:num w:numId="5" w16cid:durableId="387842681">
    <w:abstractNumId w:val="6"/>
  </w:num>
  <w:num w:numId="6" w16cid:durableId="2057578860">
    <w:abstractNumId w:val="15"/>
  </w:num>
  <w:num w:numId="7" w16cid:durableId="914169778">
    <w:abstractNumId w:val="11"/>
  </w:num>
  <w:num w:numId="8" w16cid:durableId="1840387213">
    <w:abstractNumId w:val="23"/>
  </w:num>
  <w:num w:numId="9" w16cid:durableId="842284517">
    <w:abstractNumId w:val="5"/>
  </w:num>
  <w:num w:numId="10" w16cid:durableId="2114398685">
    <w:abstractNumId w:val="8"/>
  </w:num>
  <w:num w:numId="11" w16cid:durableId="2133552152">
    <w:abstractNumId w:val="19"/>
  </w:num>
  <w:num w:numId="12" w16cid:durableId="1481530932">
    <w:abstractNumId w:val="2"/>
  </w:num>
  <w:num w:numId="13" w16cid:durableId="29302338">
    <w:abstractNumId w:val="0"/>
  </w:num>
  <w:num w:numId="14" w16cid:durableId="2146391294">
    <w:abstractNumId w:val="20"/>
  </w:num>
  <w:num w:numId="15" w16cid:durableId="1509322224">
    <w:abstractNumId w:val="13"/>
  </w:num>
  <w:num w:numId="16" w16cid:durableId="1305158378">
    <w:abstractNumId w:val="9"/>
  </w:num>
  <w:num w:numId="17" w16cid:durableId="1436755736">
    <w:abstractNumId w:val="17"/>
  </w:num>
  <w:num w:numId="18" w16cid:durableId="2072733445">
    <w:abstractNumId w:val="12"/>
  </w:num>
  <w:num w:numId="19" w16cid:durableId="587691582">
    <w:abstractNumId w:val="14"/>
  </w:num>
  <w:num w:numId="20" w16cid:durableId="1055398771">
    <w:abstractNumId w:val="16"/>
  </w:num>
  <w:num w:numId="21" w16cid:durableId="391583243">
    <w:abstractNumId w:val="10"/>
  </w:num>
  <w:num w:numId="22" w16cid:durableId="1003627966">
    <w:abstractNumId w:val="1"/>
  </w:num>
  <w:num w:numId="23" w16cid:durableId="1156608249">
    <w:abstractNumId w:val="22"/>
  </w:num>
  <w:num w:numId="24" w16cid:durableId="15580552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E0sTQysjS2MDY3sjRS0lEKTi0uzszPAykwqwUAc3hYjiwAAAA="/>
  </w:docVars>
  <w:rsids>
    <w:rsidRoot w:val="00E6133D"/>
    <w:rsid w:val="0000153A"/>
    <w:rsid w:val="00004672"/>
    <w:rsid w:val="00010D51"/>
    <w:rsid w:val="000206BE"/>
    <w:rsid w:val="000370FB"/>
    <w:rsid w:val="00050166"/>
    <w:rsid w:val="00051702"/>
    <w:rsid w:val="0006263A"/>
    <w:rsid w:val="0006356B"/>
    <w:rsid w:val="00064757"/>
    <w:rsid w:val="000761EF"/>
    <w:rsid w:val="00092F0E"/>
    <w:rsid w:val="00097129"/>
    <w:rsid w:val="000C3044"/>
    <w:rsid w:val="000E3957"/>
    <w:rsid w:val="0010376C"/>
    <w:rsid w:val="00141AC3"/>
    <w:rsid w:val="00190822"/>
    <w:rsid w:val="001A1AF4"/>
    <w:rsid w:val="001B0070"/>
    <w:rsid w:val="001B6D38"/>
    <w:rsid w:val="001B7158"/>
    <w:rsid w:val="001C1E4E"/>
    <w:rsid w:val="00220643"/>
    <w:rsid w:val="002361C0"/>
    <w:rsid w:val="00270375"/>
    <w:rsid w:val="00270945"/>
    <w:rsid w:val="00297272"/>
    <w:rsid w:val="002A7053"/>
    <w:rsid w:val="002B2848"/>
    <w:rsid w:val="002C1563"/>
    <w:rsid w:val="002E6E64"/>
    <w:rsid w:val="003126AD"/>
    <w:rsid w:val="00324628"/>
    <w:rsid w:val="00333F4D"/>
    <w:rsid w:val="0033749C"/>
    <w:rsid w:val="003830A5"/>
    <w:rsid w:val="003A1DB4"/>
    <w:rsid w:val="003B76D3"/>
    <w:rsid w:val="003D2BE0"/>
    <w:rsid w:val="003E408D"/>
    <w:rsid w:val="0040158E"/>
    <w:rsid w:val="00450E2A"/>
    <w:rsid w:val="00456A72"/>
    <w:rsid w:val="004650FE"/>
    <w:rsid w:val="00474D11"/>
    <w:rsid w:val="004768C8"/>
    <w:rsid w:val="00476D4B"/>
    <w:rsid w:val="00477714"/>
    <w:rsid w:val="00483D1D"/>
    <w:rsid w:val="00493574"/>
    <w:rsid w:val="004B135C"/>
    <w:rsid w:val="004C396F"/>
    <w:rsid w:val="004D5D0C"/>
    <w:rsid w:val="0052396A"/>
    <w:rsid w:val="00535D47"/>
    <w:rsid w:val="00546C53"/>
    <w:rsid w:val="0055194C"/>
    <w:rsid w:val="005652AE"/>
    <w:rsid w:val="00595073"/>
    <w:rsid w:val="005A42D0"/>
    <w:rsid w:val="005A78D5"/>
    <w:rsid w:val="005C58AA"/>
    <w:rsid w:val="005C7DD7"/>
    <w:rsid w:val="005D3DA6"/>
    <w:rsid w:val="0061707B"/>
    <w:rsid w:val="00623869"/>
    <w:rsid w:val="00664139"/>
    <w:rsid w:val="006B0F22"/>
    <w:rsid w:val="006B5D26"/>
    <w:rsid w:val="006D70F0"/>
    <w:rsid w:val="00740E86"/>
    <w:rsid w:val="007527BE"/>
    <w:rsid w:val="00765D9C"/>
    <w:rsid w:val="007A024E"/>
    <w:rsid w:val="007A18F0"/>
    <w:rsid w:val="007F1953"/>
    <w:rsid w:val="00813C85"/>
    <w:rsid w:val="00820A97"/>
    <w:rsid w:val="00897349"/>
    <w:rsid w:val="008B5E9F"/>
    <w:rsid w:val="008D615E"/>
    <w:rsid w:val="008E0142"/>
    <w:rsid w:val="008E1562"/>
    <w:rsid w:val="008E6DB8"/>
    <w:rsid w:val="00904BB1"/>
    <w:rsid w:val="00904FBD"/>
    <w:rsid w:val="0091501C"/>
    <w:rsid w:val="00921F43"/>
    <w:rsid w:val="00933BAB"/>
    <w:rsid w:val="00980C22"/>
    <w:rsid w:val="009A0DF7"/>
    <w:rsid w:val="009A3B92"/>
    <w:rsid w:val="009A63EA"/>
    <w:rsid w:val="009F66BE"/>
    <w:rsid w:val="00A04C44"/>
    <w:rsid w:val="00A1401C"/>
    <w:rsid w:val="00A3614E"/>
    <w:rsid w:val="00A500E3"/>
    <w:rsid w:val="00A53343"/>
    <w:rsid w:val="00A635A9"/>
    <w:rsid w:val="00A65C74"/>
    <w:rsid w:val="00A84DC9"/>
    <w:rsid w:val="00A85CC3"/>
    <w:rsid w:val="00AA3F36"/>
    <w:rsid w:val="00AB428D"/>
    <w:rsid w:val="00AE11BB"/>
    <w:rsid w:val="00AE60EF"/>
    <w:rsid w:val="00AF51C0"/>
    <w:rsid w:val="00AF7B8A"/>
    <w:rsid w:val="00B02454"/>
    <w:rsid w:val="00B05BB8"/>
    <w:rsid w:val="00B2469C"/>
    <w:rsid w:val="00B30924"/>
    <w:rsid w:val="00B4169B"/>
    <w:rsid w:val="00B643BB"/>
    <w:rsid w:val="00B9147E"/>
    <w:rsid w:val="00BC62D3"/>
    <w:rsid w:val="00BE4840"/>
    <w:rsid w:val="00BE6274"/>
    <w:rsid w:val="00C33F07"/>
    <w:rsid w:val="00C60190"/>
    <w:rsid w:val="00C97AF8"/>
    <w:rsid w:val="00CA1C1E"/>
    <w:rsid w:val="00CA7708"/>
    <w:rsid w:val="00CB2D3D"/>
    <w:rsid w:val="00CB5B28"/>
    <w:rsid w:val="00D45A7F"/>
    <w:rsid w:val="00D57293"/>
    <w:rsid w:val="00D75BC5"/>
    <w:rsid w:val="00DE3A31"/>
    <w:rsid w:val="00DF48AE"/>
    <w:rsid w:val="00DF7EA3"/>
    <w:rsid w:val="00E01958"/>
    <w:rsid w:val="00E20F4F"/>
    <w:rsid w:val="00E229F1"/>
    <w:rsid w:val="00E24BE7"/>
    <w:rsid w:val="00E517EB"/>
    <w:rsid w:val="00E521EF"/>
    <w:rsid w:val="00E6133D"/>
    <w:rsid w:val="00E62015"/>
    <w:rsid w:val="00E66397"/>
    <w:rsid w:val="00E90D97"/>
    <w:rsid w:val="00EB5DD5"/>
    <w:rsid w:val="00EB7B8C"/>
    <w:rsid w:val="00ED24C5"/>
    <w:rsid w:val="00F06DEB"/>
    <w:rsid w:val="00F12BB3"/>
    <w:rsid w:val="00F62123"/>
    <w:rsid w:val="00F649EE"/>
    <w:rsid w:val="00F839A7"/>
    <w:rsid w:val="00F86C02"/>
    <w:rsid w:val="00FD4802"/>
    <w:rsid w:val="00FF48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2D3"/>
  </w:style>
  <w:style w:type="paragraph" w:styleId="Heading1">
    <w:name w:val="heading 1"/>
    <w:basedOn w:val="Normal"/>
    <w:next w:val="Normal"/>
    <w:link w:val="Heading1Char"/>
    <w:uiPriority w:val="9"/>
    <w:qFormat/>
    <w:rsid w:val="00010D51"/>
    <w:pPr>
      <w:keepNext/>
      <w:keepLines/>
      <w:widowControl w:val="0"/>
      <w:autoSpaceDE w:val="0"/>
      <w:autoSpaceDN w:val="0"/>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10D51"/>
    <w:pPr>
      <w:keepNext/>
      <w:keepLines/>
      <w:widowControl w:val="0"/>
      <w:autoSpaceDE w:val="0"/>
      <w:autoSpaceDN w:val="0"/>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10D51"/>
    <w:pPr>
      <w:keepNext/>
      <w:keepLines/>
      <w:widowControl w:val="0"/>
      <w:autoSpaceDE w:val="0"/>
      <w:autoSpaceDN w:val="0"/>
      <w:spacing w:before="160" w:after="80"/>
      <w:outlineLvl w:val="2"/>
    </w:pPr>
    <w:rPr>
      <w:rFonts w:ascii="Times New Roman" w:eastAsiaTheme="majorEastAsia" w:hAnsi="Times New Roman"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10D51"/>
    <w:pPr>
      <w:keepNext/>
      <w:keepLines/>
      <w:widowControl w:val="0"/>
      <w:autoSpaceDE w:val="0"/>
      <w:autoSpaceDN w:val="0"/>
      <w:spacing w:before="80" w:after="40"/>
      <w:outlineLvl w:val="3"/>
    </w:pPr>
    <w:rPr>
      <w:rFonts w:ascii="Times New Roman" w:eastAsiaTheme="majorEastAsia" w:hAnsi="Times New Roman" w:cstheme="majorBidi"/>
      <w:i/>
      <w:iCs/>
      <w:color w:val="365F91" w:themeColor="accent1" w:themeShade="BF"/>
    </w:rPr>
  </w:style>
  <w:style w:type="paragraph" w:styleId="Heading5">
    <w:name w:val="heading 5"/>
    <w:basedOn w:val="Normal"/>
    <w:next w:val="Normal"/>
    <w:link w:val="Heading5Char"/>
    <w:uiPriority w:val="9"/>
    <w:semiHidden/>
    <w:unhideWhenUsed/>
    <w:qFormat/>
    <w:rsid w:val="00010D51"/>
    <w:pPr>
      <w:keepNext/>
      <w:keepLines/>
      <w:widowControl w:val="0"/>
      <w:autoSpaceDE w:val="0"/>
      <w:autoSpaceDN w:val="0"/>
      <w:spacing w:before="80" w:after="40"/>
      <w:outlineLvl w:val="4"/>
    </w:pPr>
    <w:rPr>
      <w:rFonts w:ascii="Times New Roman" w:eastAsiaTheme="majorEastAsia" w:hAnsi="Times New Roman" w:cstheme="majorBidi"/>
      <w:color w:val="365F91" w:themeColor="accent1" w:themeShade="BF"/>
    </w:rPr>
  </w:style>
  <w:style w:type="paragraph" w:styleId="Heading6">
    <w:name w:val="heading 6"/>
    <w:basedOn w:val="Normal"/>
    <w:next w:val="Normal"/>
    <w:link w:val="Heading6Char"/>
    <w:uiPriority w:val="9"/>
    <w:semiHidden/>
    <w:unhideWhenUsed/>
    <w:qFormat/>
    <w:rsid w:val="00010D51"/>
    <w:pPr>
      <w:keepNext/>
      <w:keepLines/>
      <w:widowControl w:val="0"/>
      <w:autoSpaceDE w:val="0"/>
      <w:autoSpaceDN w:val="0"/>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semiHidden/>
    <w:unhideWhenUsed/>
    <w:qFormat/>
    <w:rsid w:val="00010D51"/>
    <w:pPr>
      <w:keepNext/>
      <w:keepLines/>
      <w:widowControl w:val="0"/>
      <w:autoSpaceDE w:val="0"/>
      <w:autoSpaceDN w:val="0"/>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010D51"/>
    <w:pPr>
      <w:keepNext/>
      <w:keepLines/>
      <w:widowControl w:val="0"/>
      <w:autoSpaceDE w:val="0"/>
      <w:autoSpaceDN w:val="0"/>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010D51"/>
    <w:pPr>
      <w:keepNext/>
      <w:keepLines/>
      <w:widowControl w:val="0"/>
      <w:autoSpaceDE w:val="0"/>
      <w:autoSpaceDN w:val="0"/>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rsid w:val="00483D1D"/>
    <w:pPr>
      <w:spacing w:after="0"/>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40158E"/>
  </w:style>
  <w:style w:type="paragraph" w:styleId="Revision">
    <w:name w:val="Revision"/>
    <w:hidden/>
    <w:uiPriority w:val="99"/>
    <w:semiHidden/>
    <w:rsid w:val="002C1563"/>
    <w:pPr>
      <w:spacing w:after="0"/>
    </w:pPr>
  </w:style>
  <w:style w:type="character" w:styleId="UnresolvedMention">
    <w:name w:val="Unresolved Mention"/>
    <w:basedOn w:val="DefaultParagraphFont"/>
    <w:uiPriority w:val="99"/>
    <w:semiHidden/>
    <w:unhideWhenUsed/>
    <w:rsid w:val="00A84DC9"/>
    <w:rPr>
      <w:color w:val="605E5C"/>
      <w:shd w:val="clear" w:color="auto" w:fill="E1DFDD"/>
    </w:rPr>
  </w:style>
  <w:style w:type="paragraph" w:styleId="BodyText">
    <w:name w:val="Body Text"/>
    <w:basedOn w:val="Normal"/>
    <w:link w:val="BodyTextChar"/>
    <w:uiPriority w:val="1"/>
    <w:qFormat/>
    <w:rsid w:val="00010D51"/>
    <w:pPr>
      <w:widowControl w:val="0"/>
      <w:autoSpaceDE w:val="0"/>
      <w:autoSpaceDN w:val="0"/>
      <w:spacing w:after="0"/>
      <w:ind w:left="117"/>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010D51"/>
    <w:rPr>
      <w:rFonts w:ascii="Times New Roman" w:eastAsia="Times New Roman" w:hAnsi="Times New Roman" w:cs="Times New Roman"/>
      <w:sz w:val="24"/>
      <w:szCs w:val="24"/>
    </w:rPr>
  </w:style>
  <w:style w:type="paragraph" w:styleId="ListParagraph">
    <w:name w:val="List Paragraph"/>
    <w:basedOn w:val="Normal"/>
    <w:uiPriority w:val="34"/>
    <w:qFormat/>
    <w:rsid w:val="00010D51"/>
    <w:pPr>
      <w:widowControl w:val="0"/>
      <w:autoSpaceDE w:val="0"/>
      <w:autoSpaceDN w:val="0"/>
      <w:spacing w:after="0"/>
      <w:ind w:left="720"/>
      <w:contextualSpacing/>
    </w:pPr>
    <w:rPr>
      <w:rFonts w:ascii="Times New Roman" w:eastAsia="Times New Roman" w:hAnsi="Times New Roman" w:cs="Times New Roman"/>
    </w:rPr>
  </w:style>
  <w:style w:type="character" w:styleId="Strong">
    <w:name w:val="Strong"/>
    <w:basedOn w:val="DefaultParagraphFont"/>
    <w:uiPriority w:val="22"/>
    <w:qFormat/>
    <w:rsid w:val="00010D51"/>
    <w:rPr>
      <w:b/>
      <w:bCs/>
    </w:rPr>
  </w:style>
  <w:style w:type="table" w:styleId="TableGrid">
    <w:name w:val="Table Grid"/>
    <w:basedOn w:val="TableNormal"/>
    <w:uiPriority w:val="39"/>
    <w:rsid w:val="00010D51"/>
    <w:pPr>
      <w:spacing w:after="0"/>
    </w:pPr>
    <w:rPr>
      <w:kern w:val="2"/>
      <w:sz w:val="24"/>
      <w:szCs w:val="24"/>
      <w:lang w:eastAsia="ko-KR"/>
      <w14:ligatures w14:val="standardContextual"/>
    </w:rPr>
    <w:tblPr/>
  </w:style>
  <w:style w:type="character" w:customStyle="1" w:styleId="cf01">
    <w:name w:val="cf01"/>
    <w:basedOn w:val="DefaultParagraphFont"/>
    <w:rsid w:val="00010D51"/>
    <w:rPr>
      <w:rFonts w:ascii="Segoe UI" w:hAnsi="Segoe UI" w:cs="Segoe UI" w:hint="default"/>
      <w:sz w:val="18"/>
      <w:szCs w:val="18"/>
    </w:rPr>
  </w:style>
  <w:style w:type="character" w:customStyle="1" w:styleId="citation-69">
    <w:name w:val="citation-69"/>
    <w:basedOn w:val="DefaultParagraphFont"/>
    <w:rsid w:val="00010D51"/>
  </w:style>
  <w:style w:type="character" w:customStyle="1" w:styleId="citation-68">
    <w:name w:val="citation-68"/>
    <w:basedOn w:val="DefaultParagraphFont"/>
    <w:rsid w:val="00010D51"/>
  </w:style>
  <w:style w:type="character" w:customStyle="1" w:styleId="citation-67">
    <w:name w:val="citation-67"/>
    <w:basedOn w:val="DefaultParagraphFont"/>
    <w:rsid w:val="00010D51"/>
  </w:style>
  <w:style w:type="character" w:customStyle="1" w:styleId="citation-66">
    <w:name w:val="citation-66"/>
    <w:basedOn w:val="DefaultParagraphFont"/>
    <w:rsid w:val="00010D51"/>
  </w:style>
  <w:style w:type="character" w:customStyle="1" w:styleId="cf11">
    <w:name w:val="cf11"/>
    <w:basedOn w:val="DefaultParagraphFont"/>
    <w:rsid w:val="00010D51"/>
    <w:rPr>
      <w:rFonts w:ascii="Segoe UI" w:hAnsi="Segoe UI" w:cs="Segoe UI" w:hint="default"/>
      <w:i/>
      <w:iCs/>
      <w:sz w:val="18"/>
      <w:szCs w:val="18"/>
    </w:rPr>
  </w:style>
  <w:style w:type="paragraph" w:customStyle="1" w:styleId="pf0">
    <w:name w:val="pf0"/>
    <w:basedOn w:val="Normal"/>
    <w:rsid w:val="00010D51"/>
    <w:pPr>
      <w:spacing w:before="100" w:beforeAutospacing="1" w:after="100" w:afterAutospacing="1"/>
    </w:pPr>
    <w:rPr>
      <w:rFonts w:ascii="Times New Roman" w:eastAsia="Times New Roman" w:hAnsi="Times New Roman" w:cs="Times New Roman"/>
      <w:sz w:val="24"/>
      <w:szCs w:val="24"/>
      <w:lang w:eastAsia="ko-KR"/>
    </w:rPr>
  </w:style>
  <w:style w:type="paragraph" w:customStyle="1" w:styleId="p1">
    <w:name w:val="p1"/>
    <w:basedOn w:val="Normal"/>
    <w:rsid w:val="00010D5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Heading1Char">
    <w:name w:val="Heading 1 Char"/>
    <w:basedOn w:val="DefaultParagraphFont"/>
    <w:link w:val="Heading1"/>
    <w:uiPriority w:val="9"/>
    <w:rsid w:val="00010D5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10D5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10D51"/>
    <w:rPr>
      <w:rFonts w:ascii="Times New Roman" w:eastAsiaTheme="majorEastAsia" w:hAnsi="Times New Roman"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10D51"/>
    <w:rPr>
      <w:rFonts w:ascii="Times New Roman" w:eastAsiaTheme="majorEastAsia" w:hAnsi="Times New Roman" w:cstheme="majorBidi"/>
      <w:i/>
      <w:iCs/>
      <w:color w:val="365F91" w:themeColor="accent1" w:themeShade="BF"/>
    </w:rPr>
  </w:style>
  <w:style w:type="character" w:customStyle="1" w:styleId="Heading5Char">
    <w:name w:val="Heading 5 Char"/>
    <w:basedOn w:val="DefaultParagraphFont"/>
    <w:link w:val="Heading5"/>
    <w:uiPriority w:val="9"/>
    <w:semiHidden/>
    <w:rsid w:val="00010D51"/>
    <w:rPr>
      <w:rFonts w:ascii="Times New Roman" w:eastAsiaTheme="majorEastAsia" w:hAnsi="Times New Roman" w:cstheme="majorBidi"/>
      <w:color w:val="365F91" w:themeColor="accent1" w:themeShade="BF"/>
    </w:rPr>
  </w:style>
  <w:style w:type="character" w:customStyle="1" w:styleId="Heading6Char">
    <w:name w:val="Heading 6 Char"/>
    <w:basedOn w:val="DefaultParagraphFont"/>
    <w:link w:val="Heading6"/>
    <w:uiPriority w:val="9"/>
    <w:semiHidden/>
    <w:rsid w:val="00010D51"/>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010D51"/>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010D51"/>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010D51"/>
    <w:rPr>
      <w:rFonts w:ascii="Times New Roman" w:eastAsiaTheme="majorEastAsia" w:hAnsi="Times New Roman" w:cstheme="majorBidi"/>
      <w:color w:val="272727" w:themeColor="text1" w:themeTint="D8"/>
    </w:rPr>
  </w:style>
  <w:style w:type="paragraph" w:styleId="Bibliography">
    <w:name w:val="Bibliography"/>
    <w:basedOn w:val="Normal"/>
    <w:next w:val="Normal"/>
    <w:uiPriority w:val="37"/>
    <w:unhideWhenUsed/>
    <w:rsid w:val="00010D51"/>
    <w:pPr>
      <w:tabs>
        <w:tab w:val="left" w:pos="380"/>
      </w:tabs>
      <w:spacing w:after="240"/>
      <w:ind w:left="384" w:hanging="384"/>
    </w:pPr>
    <w:rPr>
      <w:rFonts w:ascii="Times New Roman" w:eastAsia="Times New Roman" w:hAnsi="Times New Roman" w:cs="Times New Roman"/>
      <w:sz w:val="24"/>
      <w:szCs w:val="24"/>
      <w:lang w:eastAsia="zh-CN"/>
    </w:rPr>
  </w:style>
  <w:style w:type="paragraph" w:styleId="Title">
    <w:name w:val="Title"/>
    <w:basedOn w:val="Normal"/>
    <w:next w:val="Normal"/>
    <w:link w:val="TitleChar"/>
    <w:uiPriority w:val="10"/>
    <w:qFormat/>
    <w:rsid w:val="00010D51"/>
    <w:pPr>
      <w:widowControl w:val="0"/>
      <w:autoSpaceDE w:val="0"/>
      <w:autoSpaceDN w:val="0"/>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D51"/>
    <w:pPr>
      <w:widowControl w:val="0"/>
      <w:numPr>
        <w:ilvl w:val="1"/>
      </w:numPr>
      <w:autoSpaceDE w:val="0"/>
      <w:autoSpaceDN w:val="0"/>
      <w:spacing w:after="0"/>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D51"/>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010D51"/>
    <w:pPr>
      <w:widowControl w:val="0"/>
      <w:autoSpaceDE w:val="0"/>
      <w:autoSpaceDN w:val="0"/>
      <w:spacing w:before="160" w:after="0"/>
      <w:jc w:val="center"/>
    </w:pPr>
    <w:rPr>
      <w:rFonts w:ascii="Times New Roman" w:eastAsia="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010D51"/>
    <w:rPr>
      <w:rFonts w:ascii="Times New Roman" w:eastAsia="Times New Roman" w:hAnsi="Times New Roman" w:cs="Times New Roman"/>
      <w:i/>
      <w:iCs/>
      <w:color w:val="404040" w:themeColor="text1" w:themeTint="BF"/>
    </w:rPr>
  </w:style>
  <w:style w:type="character" w:styleId="IntenseEmphasis">
    <w:name w:val="Intense Emphasis"/>
    <w:basedOn w:val="DefaultParagraphFont"/>
    <w:uiPriority w:val="21"/>
    <w:qFormat/>
    <w:rsid w:val="00010D51"/>
    <w:rPr>
      <w:i/>
      <w:iCs/>
      <w:color w:val="365F91" w:themeColor="accent1" w:themeShade="BF"/>
    </w:rPr>
  </w:style>
  <w:style w:type="paragraph" w:styleId="IntenseQuote">
    <w:name w:val="Intense Quote"/>
    <w:basedOn w:val="Normal"/>
    <w:next w:val="Normal"/>
    <w:link w:val="IntenseQuoteChar"/>
    <w:uiPriority w:val="30"/>
    <w:qFormat/>
    <w:rsid w:val="00010D51"/>
    <w:pPr>
      <w:widowControl w:val="0"/>
      <w:pBdr>
        <w:top w:val="single" w:sz="4" w:space="10" w:color="365F91" w:themeColor="accent1" w:themeShade="BF"/>
        <w:bottom w:val="single" w:sz="4" w:space="10" w:color="365F91" w:themeColor="accent1" w:themeShade="BF"/>
      </w:pBdr>
      <w:autoSpaceDE w:val="0"/>
      <w:autoSpaceDN w:val="0"/>
      <w:spacing w:before="360" w:after="360"/>
      <w:ind w:left="864" w:right="864"/>
      <w:jc w:val="center"/>
    </w:pPr>
    <w:rPr>
      <w:rFonts w:ascii="Times New Roman" w:eastAsia="Times New Roman" w:hAnsi="Times New Roman" w:cs="Times New Roman"/>
      <w:i/>
      <w:iCs/>
      <w:color w:val="365F91" w:themeColor="accent1" w:themeShade="BF"/>
    </w:rPr>
  </w:style>
  <w:style w:type="character" w:customStyle="1" w:styleId="IntenseQuoteChar">
    <w:name w:val="Intense Quote Char"/>
    <w:basedOn w:val="DefaultParagraphFont"/>
    <w:link w:val="IntenseQuote"/>
    <w:uiPriority w:val="30"/>
    <w:rsid w:val="00010D51"/>
    <w:rPr>
      <w:rFonts w:ascii="Times New Roman" w:eastAsia="Times New Roman" w:hAnsi="Times New Roman" w:cs="Times New Roman"/>
      <w:i/>
      <w:iCs/>
      <w:color w:val="365F91" w:themeColor="accent1" w:themeShade="BF"/>
    </w:rPr>
  </w:style>
  <w:style w:type="character" w:styleId="IntenseReference">
    <w:name w:val="Intense Reference"/>
    <w:basedOn w:val="DefaultParagraphFont"/>
    <w:uiPriority w:val="32"/>
    <w:qFormat/>
    <w:rsid w:val="00010D51"/>
    <w:rPr>
      <w:b/>
      <w:bCs/>
      <w:smallCaps/>
      <w:color w:val="365F91" w:themeColor="accent1" w:themeShade="BF"/>
      <w:spacing w:val="5"/>
    </w:rPr>
  </w:style>
  <w:style w:type="paragraph" w:styleId="FootnoteText">
    <w:name w:val="footnote text"/>
    <w:basedOn w:val="Normal"/>
    <w:link w:val="FootnoteTextChar"/>
    <w:uiPriority w:val="99"/>
    <w:semiHidden/>
    <w:unhideWhenUsed/>
    <w:rsid w:val="00010D51"/>
    <w:pPr>
      <w:widowControl w:val="0"/>
      <w:autoSpaceDE w:val="0"/>
      <w:autoSpaceDN w:val="0"/>
      <w:spacing w:after="0"/>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010D51"/>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10D51"/>
    <w:rPr>
      <w:vertAlign w:val="superscript"/>
    </w:rPr>
  </w:style>
  <w:style w:type="character" w:styleId="PlaceholderText">
    <w:name w:val="Placeholder Text"/>
    <w:basedOn w:val="DefaultParagraphFont"/>
    <w:uiPriority w:val="99"/>
    <w:semiHidden/>
    <w:rsid w:val="00010D51"/>
    <w:rPr>
      <w:color w:val="666666"/>
    </w:rPr>
  </w:style>
  <w:style w:type="character" w:styleId="FollowedHyperlink">
    <w:name w:val="FollowedHyperlink"/>
    <w:basedOn w:val="DefaultParagraphFont"/>
    <w:uiPriority w:val="99"/>
    <w:semiHidden/>
    <w:unhideWhenUsed/>
    <w:rsid w:val="00010D51"/>
    <w:rPr>
      <w:color w:val="800080" w:themeColor="followedHyperlink"/>
      <w:u w:val="single"/>
    </w:rPr>
  </w:style>
  <w:style w:type="character" w:customStyle="1" w:styleId="ui-provider">
    <w:name w:val="ui-provider"/>
    <w:basedOn w:val="DefaultParagraphFont"/>
    <w:rsid w:val="00010D51"/>
  </w:style>
  <w:style w:type="paragraph" w:styleId="Header">
    <w:name w:val="header"/>
    <w:basedOn w:val="Normal"/>
    <w:link w:val="HeaderChar"/>
    <w:uiPriority w:val="99"/>
    <w:unhideWhenUsed/>
    <w:rsid w:val="00010D51"/>
    <w:pPr>
      <w:widowControl w:val="0"/>
      <w:tabs>
        <w:tab w:val="center" w:pos="4680"/>
        <w:tab w:val="right" w:pos="9360"/>
      </w:tabs>
      <w:autoSpaceDE w:val="0"/>
      <w:autoSpaceDN w:val="0"/>
      <w:spacing w:after="0"/>
    </w:pPr>
    <w:rPr>
      <w:rFonts w:ascii="Times New Roman" w:eastAsia="Times New Roman" w:hAnsi="Times New Roman" w:cs="Times New Roman"/>
    </w:rPr>
  </w:style>
  <w:style w:type="character" w:customStyle="1" w:styleId="HeaderChar">
    <w:name w:val="Header Char"/>
    <w:basedOn w:val="DefaultParagraphFont"/>
    <w:link w:val="Header"/>
    <w:uiPriority w:val="99"/>
    <w:rsid w:val="00010D51"/>
    <w:rPr>
      <w:rFonts w:ascii="Times New Roman" w:eastAsia="Times New Roman" w:hAnsi="Times New Roman" w:cs="Times New Roman"/>
    </w:rPr>
  </w:style>
  <w:style w:type="paragraph" w:styleId="Footer">
    <w:name w:val="footer"/>
    <w:basedOn w:val="Normal"/>
    <w:link w:val="FooterChar"/>
    <w:uiPriority w:val="99"/>
    <w:unhideWhenUsed/>
    <w:rsid w:val="00010D51"/>
    <w:pPr>
      <w:widowControl w:val="0"/>
      <w:tabs>
        <w:tab w:val="center" w:pos="4680"/>
        <w:tab w:val="right" w:pos="9360"/>
      </w:tabs>
      <w:autoSpaceDE w:val="0"/>
      <w:autoSpaceDN w:val="0"/>
      <w:spacing w:after="0"/>
    </w:pPr>
    <w:rPr>
      <w:rFonts w:ascii="Times New Roman" w:eastAsia="Times New Roman" w:hAnsi="Times New Roman" w:cs="Times New Roman"/>
    </w:rPr>
  </w:style>
  <w:style w:type="character" w:customStyle="1" w:styleId="FooterChar">
    <w:name w:val="Footer Char"/>
    <w:basedOn w:val="DefaultParagraphFont"/>
    <w:link w:val="Footer"/>
    <w:uiPriority w:val="99"/>
    <w:rsid w:val="00010D51"/>
    <w:rPr>
      <w:rFonts w:ascii="Times New Roman" w:eastAsia="Times New Roman" w:hAnsi="Times New Roman" w:cs="Times New Roman"/>
    </w:rPr>
  </w:style>
  <w:style w:type="paragraph" w:customStyle="1" w:styleId="whitespace-normal">
    <w:name w:val="whitespace-normal"/>
    <w:basedOn w:val="Normal"/>
    <w:rsid w:val="00010D51"/>
    <w:pPr>
      <w:spacing w:before="100" w:beforeAutospacing="1" w:after="100" w:afterAutospacing="1"/>
    </w:pPr>
    <w:rPr>
      <w:rFonts w:ascii="Times New Roman" w:eastAsia="Times New Roman" w:hAnsi="Times New Roman" w:cs="Times New Roman"/>
      <w:sz w:val="24"/>
      <w:szCs w:val="24"/>
      <w:lang w:eastAsia="ko-KR"/>
    </w:rPr>
  </w:style>
  <w:style w:type="character" w:customStyle="1" w:styleId="citation-17">
    <w:name w:val="citation-17"/>
    <w:basedOn w:val="DefaultParagraphFont"/>
    <w:rsid w:val="00010D51"/>
  </w:style>
  <w:style w:type="character" w:customStyle="1" w:styleId="citation-16">
    <w:name w:val="citation-16"/>
    <w:basedOn w:val="DefaultParagraphFont"/>
    <w:rsid w:val="00010D51"/>
  </w:style>
  <w:style w:type="character" w:customStyle="1" w:styleId="citation-15">
    <w:name w:val="citation-15"/>
    <w:basedOn w:val="DefaultParagraphFont"/>
    <w:rsid w:val="00010D51"/>
  </w:style>
  <w:style w:type="character" w:styleId="Emphasis">
    <w:name w:val="Emphasis"/>
    <w:basedOn w:val="DefaultParagraphFont"/>
    <w:uiPriority w:val="20"/>
    <w:qFormat/>
    <w:rsid w:val="00010D51"/>
    <w:rPr>
      <w:i/>
      <w:iCs/>
    </w:rPr>
  </w:style>
  <w:style w:type="character" w:customStyle="1" w:styleId="ms-1">
    <w:name w:val="ms-1"/>
    <w:basedOn w:val="DefaultParagraphFont"/>
    <w:rsid w:val="00010D51"/>
  </w:style>
  <w:style w:type="character" w:customStyle="1" w:styleId="max-w-full">
    <w:name w:val="max-w-full"/>
    <w:basedOn w:val="DefaultParagraphFont"/>
    <w:rsid w:val="00010D51"/>
  </w:style>
  <w:style w:type="character" w:customStyle="1" w:styleId="citation-75">
    <w:name w:val="citation-75"/>
    <w:basedOn w:val="DefaultParagraphFont"/>
    <w:rsid w:val="00010D51"/>
  </w:style>
  <w:style w:type="character" w:customStyle="1" w:styleId="citation-74">
    <w:name w:val="citation-74"/>
    <w:basedOn w:val="DefaultParagraphFont"/>
    <w:rsid w:val="00010D51"/>
  </w:style>
  <w:style w:type="character" w:customStyle="1" w:styleId="citation-73">
    <w:name w:val="citation-73"/>
    <w:basedOn w:val="DefaultParagraphFont"/>
    <w:rsid w:val="00010D51"/>
  </w:style>
  <w:style w:type="character" w:customStyle="1" w:styleId="citation-72">
    <w:name w:val="citation-72"/>
    <w:basedOn w:val="DefaultParagraphFont"/>
    <w:rsid w:val="00010D51"/>
  </w:style>
  <w:style w:type="character" w:customStyle="1" w:styleId="citation-71">
    <w:name w:val="citation-71"/>
    <w:basedOn w:val="DefaultParagraphFont"/>
    <w:rsid w:val="00010D51"/>
  </w:style>
  <w:style w:type="character" w:customStyle="1" w:styleId="citation-91">
    <w:name w:val="citation-91"/>
    <w:basedOn w:val="DefaultParagraphFont"/>
    <w:rsid w:val="00010D51"/>
  </w:style>
  <w:style w:type="character" w:customStyle="1" w:styleId="citation-90">
    <w:name w:val="citation-90"/>
    <w:basedOn w:val="DefaultParagraphFont"/>
    <w:rsid w:val="00010D51"/>
  </w:style>
  <w:style w:type="character" w:customStyle="1" w:styleId="citation-89">
    <w:name w:val="citation-89"/>
    <w:basedOn w:val="DefaultParagraphFont"/>
    <w:rsid w:val="00010D51"/>
  </w:style>
  <w:style w:type="character" w:customStyle="1" w:styleId="citation-88">
    <w:name w:val="citation-88"/>
    <w:basedOn w:val="DefaultParagraphFont"/>
    <w:rsid w:val="00010D51"/>
  </w:style>
  <w:style w:type="character" w:customStyle="1" w:styleId="citation-87">
    <w:name w:val="citation-87"/>
    <w:basedOn w:val="DefaultParagraphFont"/>
    <w:rsid w:val="00010D51"/>
  </w:style>
  <w:style w:type="character" w:customStyle="1" w:styleId="citation-86">
    <w:name w:val="citation-86"/>
    <w:basedOn w:val="DefaultParagraphFont"/>
    <w:rsid w:val="00010D51"/>
  </w:style>
  <w:style w:type="character" w:customStyle="1" w:styleId="citation-85">
    <w:name w:val="citation-85"/>
    <w:basedOn w:val="DefaultParagraphFont"/>
    <w:rsid w:val="00010D51"/>
  </w:style>
  <w:style w:type="character" w:customStyle="1" w:styleId="citation-84">
    <w:name w:val="citation-84"/>
    <w:basedOn w:val="DefaultParagraphFont"/>
    <w:rsid w:val="00010D51"/>
  </w:style>
  <w:style w:type="table" w:styleId="PlainTable2">
    <w:name w:val="Plain Table 2"/>
    <w:basedOn w:val="TableNormal"/>
    <w:uiPriority w:val="42"/>
    <w:rsid w:val="00010D51"/>
    <w:pPr>
      <w:spacing w:after="0"/>
    </w:pPr>
    <w:rPr>
      <w:kern w:val="2"/>
      <w:sz w:val="24"/>
      <w:szCs w:val="24"/>
      <w:lang w:eastAsia="ko-KR"/>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10D51"/>
    <w:pPr>
      <w:spacing w:after="0"/>
    </w:pPr>
    <w:rPr>
      <w:kern w:val="2"/>
      <w:sz w:val="24"/>
      <w:szCs w:val="24"/>
      <w:lang w:eastAsia="ko-KR"/>
      <w14:ligatures w14:val="standardContextual"/>
    </w:r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010D5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xl65">
    <w:name w:val="xl65"/>
    <w:basedOn w:val="Normal"/>
    <w:rsid w:val="00010D51"/>
    <w:pPr>
      <w:pBdr>
        <w:bottom w:val="single" w:sz="8"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66">
    <w:name w:val="xl66"/>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67">
    <w:name w:val="xl67"/>
    <w:basedOn w:val="Normal"/>
    <w:rsid w:val="00010D51"/>
    <w:pPr>
      <w:spacing w:before="100" w:beforeAutospacing="1" w:after="100" w:afterAutospacing="1"/>
    </w:pPr>
    <w:rPr>
      <w:rFonts w:ascii="Times New Roman" w:eastAsia="Times New Roman" w:hAnsi="Times New Roman" w:cs="Times New Roman"/>
      <w:lang w:eastAsia="zh-CN"/>
    </w:rPr>
  </w:style>
  <w:style w:type="paragraph" w:customStyle="1" w:styleId="xl69">
    <w:name w:val="xl69"/>
    <w:basedOn w:val="Normal"/>
    <w:rsid w:val="00010D51"/>
    <w:pPr>
      <w:spacing w:before="100" w:beforeAutospacing="1" w:after="100" w:afterAutospacing="1"/>
      <w:jc w:val="center"/>
    </w:pPr>
    <w:rPr>
      <w:rFonts w:ascii="Times New Roman" w:eastAsia="Times New Roman" w:hAnsi="Times New Roman" w:cs="Times New Roman"/>
      <w:sz w:val="24"/>
      <w:szCs w:val="24"/>
      <w:lang w:eastAsia="zh-CN"/>
    </w:rPr>
  </w:style>
  <w:style w:type="paragraph" w:customStyle="1" w:styleId="xl71">
    <w:name w:val="xl71"/>
    <w:basedOn w:val="Normal"/>
    <w:rsid w:val="00010D51"/>
    <w:pP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72">
    <w:name w:val="xl72"/>
    <w:basedOn w:val="Normal"/>
    <w:rsid w:val="00010D51"/>
    <w:pP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73">
    <w:name w:val="xl73"/>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74">
    <w:name w:val="xl74"/>
    <w:basedOn w:val="Normal"/>
    <w:rsid w:val="00010D51"/>
    <w:pP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75">
    <w:name w:val="xl75"/>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76">
    <w:name w:val="xl76"/>
    <w:basedOn w:val="Normal"/>
    <w:rsid w:val="00010D51"/>
    <w:pPr>
      <w:pBdr>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lang w:eastAsia="zh-CN"/>
    </w:rPr>
  </w:style>
  <w:style w:type="paragraph" w:customStyle="1" w:styleId="xl77">
    <w:name w:val="xl77"/>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78">
    <w:name w:val="xl78"/>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79">
    <w:name w:val="xl79"/>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80">
    <w:name w:val="xl80"/>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81">
    <w:name w:val="xl81"/>
    <w:basedOn w:val="Normal"/>
    <w:rsid w:val="00010D51"/>
    <w:pP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82">
    <w:name w:val="xl82"/>
    <w:basedOn w:val="Normal"/>
    <w:rsid w:val="00010D51"/>
    <w:pPr>
      <w:pBdr>
        <w:top w:val="single" w:sz="8" w:space="0" w:color="auto"/>
        <w:bottom w:val="single" w:sz="4" w:space="0" w:color="auto"/>
      </w:pBdr>
      <w:shd w:val="clear" w:color="000000" w:fill="FFFFFF"/>
      <w:spacing w:before="100" w:beforeAutospacing="1" w:after="100" w:afterAutospacing="1"/>
      <w:jc w:val="center"/>
    </w:pPr>
    <w:rPr>
      <w:rFonts w:ascii="Times New Roman" w:eastAsia="Times New Roman" w:hAnsi="Times New Roman" w:cs="Times New Roman"/>
      <w:b/>
      <w:bCs/>
      <w:lang w:eastAsia="zh-CN"/>
    </w:rPr>
  </w:style>
  <w:style w:type="paragraph" w:customStyle="1" w:styleId="xl83">
    <w:name w:val="xl83"/>
    <w:basedOn w:val="Normal"/>
    <w:rsid w:val="00010D51"/>
    <w:pPr>
      <w:pBdr>
        <w:top w:val="single" w:sz="8" w:space="0" w:color="auto"/>
        <w:bottom w:val="single" w:sz="4" w:space="0" w:color="auto"/>
      </w:pBdr>
      <w:shd w:val="clear" w:color="000000" w:fill="FFFFFF"/>
      <w:spacing w:before="100" w:beforeAutospacing="1" w:after="100" w:afterAutospacing="1"/>
    </w:pPr>
    <w:rPr>
      <w:rFonts w:ascii="Times New Roman" w:eastAsia="Times New Roman" w:hAnsi="Times New Roman" w:cs="Times New Roman"/>
      <w:b/>
      <w:bCs/>
      <w:lang w:eastAsia="zh-CN"/>
    </w:rPr>
  </w:style>
  <w:style w:type="paragraph" w:customStyle="1" w:styleId="xl84">
    <w:name w:val="xl84"/>
    <w:basedOn w:val="Normal"/>
    <w:rsid w:val="00010D51"/>
    <w:pPr>
      <w:pBdr>
        <w:top w:val="single" w:sz="8"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lang w:eastAsia="zh-CN"/>
    </w:rPr>
  </w:style>
  <w:style w:type="paragraph" w:customStyle="1" w:styleId="xl85">
    <w:name w:val="xl85"/>
    <w:basedOn w:val="Normal"/>
    <w:rsid w:val="00010D51"/>
    <w:pPr>
      <w:pBdr>
        <w:top w:val="single" w:sz="8" w:space="0" w:color="auto"/>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b/>
      <w:bCs/>
      <w:lang w:eastAsia="zh-CN"/>
    </w:rPr>
  </w:style>
  <w:style w:type="paragraph" w:customStyle="1" w:styleId="xl86">
    <w:name w:val="xl86"/>
    <w:basedOn w:val="Normal"/>
    <w:rsid w:val="00010D51"/>
    <w:pPr>
      <w:pBdr>
        <w:top w:val="single" w:sz="8"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lang w:eastAsia="zh-CN"/>
    </w:rPr>
  </w:style>
  <w:style w:type="paragraph" w:customStyle="1" w:styleId="xl87">
    <w:name w:val="xl87"/>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88">
    <w:name w:val="xl88"/>
    <w:basedOn w:val="Normal"/>
    <w:rsid w:val="00010D51"/>
    <w:pPr>
      <w:pBdr>
        <w:top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89">
    <w:name w:val="xl89"/>
    <w:basedOn w:val="Normal"/>
    <w:rsid w:val="00010D51"/>
    <w:pPr>
      <w:pBdr>
        <w:bottom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90">
    <w:name w:val="xl90"/>
    <w:basedOn w:val="Normal"/>
    <w:rsid w:val="00010D51"/>
    <w:pPr>
      <w:pBdr>
        <w:bottom w:val="single" w:sz="4" w:space="0" w:color="auto"/>
      </w:pBdr>
      <w:shd w:val="clear" w:color="000000" w:fill="FFFFFF"/>
      <w:spacing w:before="100" w:beforeAutospacing="1" w:after="100" w:afterAutospacing="1"/>
      <w:jc w:val="right"/>
      <w:textAlignment w:val="center"/>
    </w:pPr>
    <w:rPr>
      <w:rFonts w:ascii="Times New Roman" w:eastAsia="Times New Roman" w:hAnsi="Times New Roman" w:cs="Times New Roman"/>
      <w:color w:val="000000"/>
      <w:lang w:eastAsia="zh-CN"/>
    </w:rPr>
  </w:style>
  <w:style w:type="paragraph" w:customStyle="1" w:styleId="xl91">
    <w:name w:val="xl91"/>
    <w:basedOn w:val="Normal"/>
    <w:rsid w:val="00010D51"/>
    <w:pPr>
      <w:pBdr>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92">
    <w:name w:val="xl92"/>
    <w:basedOn w:val="Normal"/>
    <w:rsid w:val="00010D51"/>
    <w:pPr>
      <w:pBdr>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color w:val="000000"/>
      <w:lang w:eastAsia="zh-CN"/>
    </w:rPr>
  </w:style>
  <w:style w:type="paragraph" w:customStyle="1" w:styleId="xl93">
    <w:name w:val="xl93"/>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94">
    <w:name w:val="xl94"/>
    <w:basedOn w:val="Normal"/>
    <w:rsid w:val="00010D51"/>
    <w:pPr>
      <w:pBdr>
        <w:bottom w:val="single" w:sz="8"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95">
    <w:name w:val="xl95"/>
    <w:basedOn w:val="Normal"/>
    <w:rsid w:val="00010D51"/>
    <w:pPr>
      <w:pBdr>
        <w:bottom w:val="single" w:sz="8" w:space="0" w:color="auto"/>
      </w:pBdr>
      <w:shd w:val="clear" w:color="000000" w:fill="FFFFFF"/>
      <w:spacing w:before="100" w:beforeAutospacing="1" w:after="100" w:afterAutospacing="1"/>
      <w:jc w:val="right"/>
      <w:textAlignment w:val="center"/>
    </w:pPr>
    <w:rPr>
      <w:rFonts w:ascii="Times New Roman" w:eastAsia="Times New Roman" w:hAnsi="Times New Roman" w:cs="Times New Roman"/>
      <w:color w:val="000000"/>
      <w:lang w:eastAsia="zh-CN"/>
    </w:rPr>
  </w:style>
  <w:style w:type="paragraph" w:customStyle="1" w:styleId="xl96">
    <w:name w:val="xl96"/>
    <w:basedOn w:val="Normal"/>
    <w:rsid w:val="00010D51"/>
    <w:pPr>
      <w:pBdr>
        <w:bottom w:val="single" w:sz="8" w:space="0" w:color="auto"/>
      </w:pBdr>
      <w:shd w:val="clear" w:color="000000" w:fill="FFFFFF"/>
      <w:spacing w:before="100" w:beforeAutospacing="1" w:after="100" w:afterAutospacing="1"/>
      <w:jc w:val="right"/>
    </w:pPr>
    <w:rPr>
      <w:rFonts w:ascii="Times New Roman" w:eastAsia="Times New Roman" w:hAnsi="Times New Roman" w:cs="Times New Roman"/>
      <w:color w:val="000000"/>
      <w:lang w:eastAsia="zh-CN"/>
    </w:rPr>
  </w:style>
  <w:style w:type="paragraph" w:customStyle="1" w:styleId="xl97">
    <w:name w:val="xl97"/>
    <w:basedOn w:val="Normal"/>
    <w:rsid w:val="00010D51"/>
    <w:pPr>
      <w:pBdr>
        <w:bottom w:val="single" w:sz="8"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98">
    <w:name w:val="xl98"/>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99">
    <w:name w:val="xl99"/>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00">
    <w:name w:val="xl100"/>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01">
    <w:name w:val="xl101"/>
    <w:basedOn w:val="Normal"/>
    <w:rsid w:val="00010D51"/>
    <w:pPr>
      <w:pBdr>
        <w:top w:val="single" w:sz="4"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102">
    <w:name w:val="xl102"/>
    <w:basedOn w:val="Normal"/>
    <w:rsid w:val="00010D51"/>
    <w:pPr>
      <w:pBdr>
        <w:bottom w:val="single" w:sz="4"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103">
    <w:name w:val="xl103"/>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04">
    <w:name w:val="xl104"/>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05">
    <w:name w:val="xl105"/>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character" w:customStyle="1" w:styleId="relative">
    <w:name w:val="relative"/>
    <w:basedOn w:val="DefaultParagraphFont"/>
    <w:rsid w:val="00010D51"/>
  </w:style>
  <w:style w:type="paragraph" w:customStyle="1" w:styleId="not-prose">
    <w:name w:val="not-prose"/>
    <w:basedOn w:val="Normal"/>
    <w:rsid w:val="00010D51"/>
    <w:pPr>
      <w:spacing w:before="100" w:beforeAutospacing="1" w:after="100" w:afterAutospacing="1"/>
    </w:pPr>
    <w:rPr>
      <w:rFonts w:ascii="Times New Roman" w:eastAsia="Times New Roman" w:hAnsi="Times New Roman" w:cs="Times New Roman"/>
      <w:sz w:val="24"/>
      <w:szCs w:val="24"/>
      <w:lang w:eastAsia="ko-KR"/>
    </w:rPr>
  </w:style>
  <w:style w:type="paragraph" w:customStyle="1" w:styleId="xl68">
    <w:name w:val="xl68"/>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70">
    <w:name w:val="xl70"/>
    <w:basedOn w:val="Normal"/>
    <w:rsid w:val="00010D51"/>
    <w:pPr>
      <w:shd w:val="clear" w:color="000000" w:fill="FFFFFF"/>
      <w:spacing w:before="100" w:beforeAutospacing="1" w:after="100" w:afterAutospacing="1"/>
    </w:pPr>
    <w:rPr>
      <w:rFonts w:ascii="Times New Roman" w:eastAsia="Times New Roman" w:hAnsi="Times New Roman" w:cs="Times New Roman"/>
      <w:lang w:eastAsia="zh-CN"/>
    </w:rPr>
  </w:style>
  <w:style w:type="paragraph" w:customStyle="1" w:styleId="xl106">
    <w:name w:val="xl106"/>
    <w:basedOn w:val="Normal"/>
    <w:rsid w:val="00010D51"/>
    <w:pPr>
      <w:pBdr>
        <w:top w:val="single" w:sz="8"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lang w:eastAsia="zh-CN"/>
    </w:rPr>
  </w:style>
  <w:style w:type="paragraph" w:customStyle="1" w:styleId="xl107">
    <w:name w:val="xl107"/>
    <w:basedOn w:val="Normal"/>
    <w:rsid w:val="00010D51"/>
    <w:pPr>
      <w:pBdr>
        <w:top w:val="single" w:sz="8" w:space="0" w:color="auto"/>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b/>
      <w:bCs/>
      <w:lang w:eastAsia="zh-CN"/>
    </w:rPr>
  </w:style>
  <w:style w:type="paragraph" w:customStyle="1" w:styleId="xl108">
    <w:name w:val="xl108"/>
    <w:basedOn w:val="Normal"/>
    <w:rsid w:val="00010D51"/>
    <w:pPr>
      <w:pBdr>
        <w:top w:val="single" w:sz="8"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lang w:eastAsia="zh-CN"/>
    </w:rPr>
  </w:style>
  <w:style w:type="paragraph" w:customStyle="1" w:styleId="xl109">
    <w:name w:val="xl109"/>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0">
    <w:name w:val="xl110"/>
    <w:basedOn w:val="Normal"/>
    <w:rsid w:val="00010D51"/>
    <w:pPr>
      <w:pBdr>
        <w:top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111">
    <w:name w:val="xl111"/>
    <w:basedOn w:val="Normal"/>
    <w:rsid w:val="00010D51"/>
    <w:pPr>
      <w:pBdr>
        <w:bottom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2">
    <w:name w:val="xl112"/>
    <w:basedOn w:val="Normal"/>
    <w:rsid w:val="00010D51"/>
    <w:pPr>
      <w:pBdr>
        <w:bottom w:val="single" w:sz="4" w:space="0" w:color="auto"/>
      </w:pBdr>
      <w:shd w:val="clear" w:color="000000" w:fill="FFFFFF"/>
      <w:spacing w:before="100" w:beforeAutospacing="1" w:after="100" w:afterAutospacing="1"/>
      <w:jc w:val="right"/>
      <w:textAlignment w:val="center"/>
    </w:pPr>
    <w:rPr>
      <w:rFonts w:ascii="Times New Roman" w:eastAsia="Times New Roman" w:hAnsi="Times New Roman" w:cs="Times New Roman"/>
      <w:color w:val="000000"/>
      <w:lang w:eastAsia="zh-CN"/>
    </w:rPr>
  </w:style>
  <w:style w:type="paragraph" w:customStyle="1" w:styleId="xl113">
    <w:name w:val="xl113"/>
    <w:basedOn w:val="Normal"/>
    <w:rsid w:val="00010D51"/>
    <w:pPr>
      <w:pBdr>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114">
    <w:name w:val="xl114"/>
    <w:basedOn w:val="Normal"/>
    <w:rsid w:val="00010D51"/>
    <w:pPr>
      <w:pBdr>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color w:val="000000"/>
      <w:lang w:eastAsia="zh-CN"/>
    </w:rPr>
  </w:style>
  <w:style w:type="paragraph" w:customStyle="1" w:styleId="xl115">
    <w:name w:val="xl115"/>
    <w:basedOn w:val="Normal"/>
    <w:rsid w:val="00010D51"/>
    <w:pPr>
      <w:pBdr>
        <w:bottom w:val="single" w:sz="8"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6">
    <w:name w:val="xl116"/>
    <w:basedOn w:val="Normal"/>
    <w:rsid w:val="00010D51"/>
    <w:pPr>
      <w:pBdr>
        <w:bottom w:val="single" w:sz="8" w:space="0" w:color="auto"/>
      </w:pBdr>
      <w:shd w:val="clear" w:color="000000" w:fill="FFFFFF"/>
      <w:spacing w:before="100" w:beforeAutospacing="1" w:after="100" w:afterAutospacing="1"/>
      <w:jc w:val="right"/>
      <w:textAlignment w:val="center"/>
    </w:pPr>
    <w:rPr>
      <w:rFonts w:ascii="Times New Roman" w:eastAsia="Times New Roman" w:hAnsi="Times New Roman" w:cs="Times New Roman"/>
      <w:color w:val="000000"/>
      <w:lang w:eastAsia="zh-CN"/>
    </w:rPr>
  </w:style>
  <w:style w:type="paragraph" w:customStyle="1" w:styleId="xl117">
    <w:name w:val="xl117"/>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8">
    <w:name w:val="xl118"/>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9">
    <w:name w:val="xl119"/>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20">
    <w:name w:val="xl120"/>
    <w:basedOn w:val="Normal"/>
    <w:rsid w:val="00010D51"/>
    <w:pPr>
      <w:pBdr>
        <w:top w:val="single" w:sz="4"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121">
    <w:name w:val="xl121"/>
    <w:basedOn w:val="Normal"/>
    <w:rsid w:val="00010D51"/>
    <w:pPr>
      <w:pBdr>
        <w:bottom w:val="single" w:sz="4"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122">
    <w:name w:val="xl122"/>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23">
    <w:name w:val="xl123"/>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24">
    <w:name w:val="xl124"/>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5">
    <w:name w:val="xl125"/>
    <w:basedOn w:val="Normal"/>
    <w:rsid w:val="00010D51"/>
    <w:pP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6">
    <w:name w:val="xl126"/>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7">
    <w:name w:val="xl127"/>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8">
    <w:name w:val="xl128"/>
    <w:basedOn w:val="Normal"/>
    <w:rsid w:val="00010D51"/>
    <w:pPr>
      <w:pBdr>
        <w:top w:val="single" w:sz="4" w:space="0" w:color="000000"/>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9">
    <w:name w:val="xl129"/>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30">
    <w:name w:val="xl130"/>
    <w:basedOn w:val="Normal"/>
    <w:rsid w:val="00010D51"/>
    <w:pPr>
      <w:pBdr>
        <w:bottom w:val="single" w:sz="8" w:space="0" w:color="auto"/>
      </w:pBdr>
      <w:shd w:val="clear" w:color="000000" w:fill="FFFFFF"/>
      <w:spacing w:before="100" w:beforeAutospacing="1" w:after="100" w:afterAutospacing="1"/>
      <w:jc w:val="right"/>
    </w:pPr>
    <w:rPr>
      <w:rFonts w:ascii="Times New Roman" w:eastAsia="Times New Roman" w:hAnsi="Times New Roman" w:cs="Times New Roman"/>
      <w:lang w:eastAsia="zh-CN"/>
    </w:rPr>
  </w:style>
  <w:style w:type="paragraph" w:customStyle="1" w:styleId="xl131">
    <w:name w:val="xl131"/>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32">
    <w:name w:val="xl132"/>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33">
    <w:name w:val="xl133"/>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character" w:customStyle="1" w:styleId="s1">
    <w:name w:val="s1"/>
    <w:basedOn w:val="DefaultParagraphFont"/>
    <w:rsid w:val="00141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 w:id="2004123316">
      <w:bodyDiv w:val="1"/>
      <w:marLeft w:val="0"/>
      <w:marRight w:val="0"/>
      <w:marTop w:val="0"/>
      <w:marBottom w:val="0"/>
      <w:divBdr>
        <w:top w:val="none" w:sz="0" w:space="0" w:color="auto"/>
        <w:left w:val="none" w:sz="0" w:space="0" w:color="auto"/>
        <w:bottom w:val="none" w:sz="0" w:space="0" w:color="auto"/>
        <w:right w:val="none" w:sz="0" w:space="0" w:color="auto"/>
      </w:divBdr>
      <w:divsChild>
        <w:div w:id="7465340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tiff"/><Relationship Id="rId3" Type="http://schemas.openxmlformats.org/officeDocument/2006/relationships/styles" Target="styles.xml"/><Relationship Id="rId21" Type="http://schemas.openxmlformats.org/officeDocument/2006/relationships/image" Target="media/image8.tif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tiff"/><Relationship Id="rId2" Type="http://schemas.openxmlformats.org/officeDocument/2006/relationships/numbering" Target="numbering.xml"/><Relationship Id="rId16" Type="http://schemas.openxmlformats.org/officeDocument/2006/relationships/image" Target="media/image3.tiff"/><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tif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tif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tiff"/><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14949</Words>
  <Characters>101659</Characters>
  <Application>Microsoft Office Word</Application>
  <DocSecurity>0</DocSecurity>
  <Lines>1588</Lines>
  <Paragraphs>513</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116095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Jo,Youngji</cp:lastModifiedBy>
  <cp:revision>3</cp:revision>
  <cp:lastPrinted>2026-02-12T17:39:00Z</cp:lastPrinted>
  <dcterms:created xsi:type="dcterms:W3CDTF">2026-04-14T17:23:00Z</dcterms:created>
  <dcterms:modified xsi:type="dcterms:W3CDTF">2026-04-14T17:23:00Z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115d9d6a-f377-42fa-ac5e-2b6e34cfe640</vt:lpwstr>
  </property>
  <property fmtid="{D5CDD505-2E9C-101B-9397-08002B2CF9AE}" pid="3" name="ZOTERO_PREF_1">
    <vt:lpwstr>&lt;data data-version="3" zotero-version="8.0"&gt;&lt;session id="YKAL81w0"/&gt;&lt;style id="http://www.zotero.org/styles/nlm-citation-sequence" locale="en-US"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