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EC7D" w14:textId="66065AF7" w:rsidR="00E6133D" w:rsidRPr="00E6133D" w:rsidRDefault="00474D11" w:rsidP="00E6133D">
      <w:pPr>
        <w:jc w:val="both"/>
        <w:rPr>
          <w:rFonts w:ascii="Arial" w:hAnsi="Arial" w:cs="Arial"/>
          <w:i/>
          <w:sz w:val="18"/>
          <w:szCs w:val="18"/>
        </w:rPr>
      </w:pPr>
      <w:r>
        <w:rPr>
          <w:rFonts w:ascii="Arial" w:hAnsi="Arial" w:cs="Arial"/>
          <w:i/>
          <w:sz w:val="18"/>
          <w:szCs w:val="18"/>
        </w:rPr>
        <w:t xml:space="preserve">Updated </w:t>
      </w:r>
      <w:r w:rsidR="005C58AA">
        <w:rPr>
          <w:rFonts w:ascii="Arial" w:hAnsi="Arial" w:cs="Arial"/>
          <w:i/>
          <w:sz w:val="18"/>
          <w:szCs w:val="18"/>
        </w:rPr>
        <w:t xml:space="preserve">August </w:t>
      </w:r>
      <w:r w:rsidR="00DF48AE">
        <w:rPr>
          <w:rFonts w:ascii="Arial" w:hAnsi="Arial" w:cs="Arial"/>
          <w:i/>
          <w:sz w:val="18"/>
          <w:szCs w:val="18"/>
        </w:rPr>
        <w:t>202</w:t>
      </w:r>
      <w:r w:rsidR="002C1563">
        <w:rPr>
          <w:rFonts w:ascii="Arial" w:hAnsi="Arial" w:cs="Arial"/>
          <w:i/>
          <w:sz w:val="18"/>
          <w:szCs w:val="18"/>
        </w:rPr>
        <w:t>5</w:t>
      </w:r>
    </w:p>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427DB8FD" w14:textId="77777777" w:rsidR="00010D51" w:rsidRPr="00A3614E" w:rsidRDefault="00010D51" w:rsidP="00010D51">
      <w:pPr>
        <w:pStyle w:val="BodyText"/>
        <w:spacing w:line="360" w:lineRule="auto"/>
        <w:ind w:left="0"/>
        <w:rPr>
          <w:rFonts w:eastAsiaTheme="minorEastAsia"/>
          <w:b/>
          <w:color w:val="000000" w:themeColor="text1"/>
          <w:sz w:val="28"/>
          <w:szCs w:val="28"/>
          <w:lang w:eastAsia="ko-KR"/>
        </w:rPr>
      </w:pPr>
      <w:r w:rsidRPr="00A3614E">
        <w:rPr>
          <w:rFonts w:eastAsiaTheme="minorEastAsia"/>
          <w:b/>
          <w:sz w:val="28"/>
          <w:szCs w:val="28"/>
          <w:lang w:eastAsia="ko-KR"/>
        </w:rPr>
        <w:t xml:space="preserve">Predictive Modeling of COVID-19 Variant Peak Prevalence and </w:t>
      </w:r>
      <w:r w:rsidRPr="00A3614E">
        <w:rPr>
          <w:rFonts w:eastAsiaTheme="minorEastAsia"/>
          <w:b/>
          <w:color w:val="000000" w:themeColor="text1"/>
          <w:sz w:val="28"/>
          <w:szCs w:val="28"/>
          <w:lang w:eastAsia="ko-KR"/>
        </w:rPr>
        <w:t>Duration Using GISAID Data Across 15 Countries</w:t>
      </w:r>
    </w:p>
    <w:p w14:paraId="12588F07" w14:textId="77777777" w:rsidR="00E6133D" w:rsidRPr="00A3614E" w:rsidRDefault="00E6133D" w:rsidP="00E6133D">
      <w:pPr>
        <w:rPr>
          <w:rFonts w:ascii="Times New Roman" w:hAnsi="Times New Roman" w:cs="Times New Roman"/>
          <w:sz w:val="20"/>
          <w:szCs w:val="20"/>
        </w:rPr>
      </w:pPr>
    </w:p>
    <w:p w14:paraId="54F34A59" w14:textId="75F9FF95"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Authors:</w:t>
      </w:r>
      <w:r w:rsidRPr="00A3614E">
        <w:rPr>
          <w:rFonts w:eastAsiaTheme="minorEastAsia"/>
          <w:color w:val="000000" w:themeColor="text1"/>
          <w:sz w:val="22"/>
          <w:szCs w:val="22"/>
          <w:lang w:eastAsia="ko-KR"/>
        </w:rPr>
        <w:t xml:space="preserve"> Yifan Zhang</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Rob</w:t>
      </w:r>
      <w:r w:rsidR="0055194C">
        <w:rPr>
          <w:rFonts w:eastAsiaTheme="minorEastAsia" w:hint="eastAsia"/>
          <w:color w:val="000000" w:themeColor="text1"/>
          <w:sz w:val="22"/>
          <w:szCs w:val="22"/>
          <w:lang w:eastAsia="ko-KR"/>
        </w:rPr>
        <w:t>ert</w:t>
      </w:r>
      <w:r w:rsidRPr="00A3614E">
        <w:rPr>
          <w:rFonts w:eastAsiaTheme="minorEastAsia"/>
          <w:color w:val="000000" w:themeColor="text1"/>
          <w:sz w:val="22"/>
          <w:szCs w:val="22"/>
          <w:lang w:eastAsia="ko-KR"/>
        </w:rPr>
        <w:t xml:space="preserve"> Paton</w:t>
      </w:r>
      <w:r w:rsidRPr="00A3614E">
        <w:rPr>
          <w:rFonts w:eastAsiaTheme="minorEastAsia"/>
          <w:color w:val="000000" w:themeColor="text1"/>
          <w:sz w:val="22"/>
          <w:szCs w:val="22"/>
          <w:vertAlign w:val="superscript"/>
          <w:lang w:eastAsia="ko-KR"/>
        </w:rPr>
        <w:t>2</w:t>
      </w:r>
      <w:r w:rsidRPr="00A3614E">
        <w:rPr>
          <w:rFonts w:eastAsiaTheme="minorEastAsia"/>
          <w:color w:val="000000" w:themeColor="text1"/>
          <w:sz w:val="22"/>
          <w:szCs w:val="22"/>
          <w:lang w:eastAsia="ko-KR"/>
        </w:rPr>
        <w:t>, Kun Chen</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Christopher E. Overton</w:t>
      </w:r>
      <w:r w:rsidRPr="00A3614E">
        <w:rPr>
          <w:rFonts w:eastAsiaTheme="minorEastAsia"/>
          <w:color w:val="000000" w:themeColor="text1"/>
          <w:sz w:val="22"/>
          <w:szCs w:val="22"/>
          <w:vertAlign w:val="superscript"/>
          <w:lang w:eastAsia="ko-KR"/>
        </w:rPr>
        <w:t>2,4</w:t>
      </w:r>
      <w:r w:rsidRPr="00A3614E">
        <w:rPr>
          <w:rFonts w:eastAsiaTheme="minorEastAsia"/>
          <w:color w:val="000000" w:themeColor="text1"/>
          <w:sz w:val="22"/>
          <w:szCs w:val="22"/>
          <w:lang w:eastAsia="ko-KR"/>
        </w:rPr>
        <w:t>, Jaehun Jung</w:t>
      </w:r>
      <w:r w:rsidRPr="00A3614E">
        <w:rPr>
          <w:rFonts w:eastAsiaTheme="minorEastAsia"/>
          <w:color w:val="000000" w:themeColor="text1"/>
          <w:sz w:val="22"/>
          <w:szCs w:val="22"/>
          <w:vertAlign w:val="superscript"/>
          <w:lang w:eastAsia="ko-KR"/>
        </w:rPr>
        <w:t>3</w:t>
      </w:r>
      <w:r w:rsidRPr="00A3614E">
        <w:rPr>
          <w:rFonts w:eastAsiaTheme="minorEastAsia"/>
          <w:color w:val="000000" w:themeColor="text1"/>
          <w:sz w:val="22"/>
          <w:szCs w:val="22"/>
          <w:lang w:eastAsia="ko-KR"/>
        </w:rPr>
        <w:t>*, Youngji Jo</w:t>
      </w:r>
      <w:r w:rsidRPr="00A3614E">
        <w:rPr>
          <w:rFonts w:eastAsiaTheme="minorEastAsia"/>
          <w:color w:val="000000" w:themeColor="text1"/>
          <w:sz w:val="22"/>
          <w:szCs w:val="22"/>
          <w:vertAlign w:val="superscript"/>
          <w:lang w:eastAsia="ko-KR"/>
        </w:rPr>
        <w:t>5</w:t>
      </w:r>
      <w:r w:rsidRPr="00A3614E">
        <w:rPr>
          <w:rFonts w:eastAsiaTheme="minorEastAsia"/>
          <w:color w:val="000000" w:themeColor="text1"/>
          <w:sz w:val="22"/>
          <w:szCs w:val="22"/>
          <w:lang w:eastAsia="ko-KR"/>
        </w:rPr>
        <w:t>*</w:t>
      </w:r>
    </w:p>
    <w:p w14:paraId="14782E92"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619F62A4"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Affiliations:</w:t>
      </w:r>
    </w:p>
    <w:p w14:paraId="3A9811FC"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rPr>
        <w:t>Department of Statistics, University of Connecticut</w:t>
      </w:r>
      <w:r w:rsidRPr="00A3614E">
        <w:rPr>
          <w:rFonts w:eastAsiaTheme="minorEastAsia"/>
          <w:color w:val="000000" w:themeColor="text1"/>
          <w:sz w:val="22"/>
          <w:szCs w:val="22"/>
          <w:lang w:eastAsia="ko-KR"/>
        </w:rPr>
        <w:t>, Storrs, CT, USA</w:t>
      </w:r>
    </w:p>
    <w:p w14:paraId="76F6B34E"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shd w:val="clear" w:color="auto" w:fill="FFFFFF"/>
        </w:rPr>
        <w:t xml:space="preserve">Infectious Disease Modelling Team, Modelling Division, Analysis and Intelligence Assessment, Chief Data Officer Group, </w:t>
      </w:r>
      <w:r w:rsidRPr="00A3614E">
        <w:rPr>
          <w:rFonts w:eastAsiaTheme="minorEastAsia"/>
          <w:color w:val="000000" w:themeColor="text1"/>
          <w:sz w:val="22"/>
          <w:szCs w:val="22"/>
          <w:lang w:eastAsia="ko-KR"/>
          <w14:ligatures w14:val="standardContextual"/>
        </w:rPr>
        <w:t>UK Health Security Agency</w:t>
      </w:r>
      <w:r w:rsidRPr="00A3614E">
        <w:rPr>
          <w:color w:val="000000" w:themeColor="text1"/>
          <w:sz w:val="22"/>
          <w:szCs w:val="22"/>
          <w:shd w:val="clear" w:color="auto" w:fill="FFFFFF"/>
        </w:rPr>
        <w:t xml:space="preserve">, </w:t>
      </w:r>
      <w:r w:rsidRPr="00A3614E">
        <w:rPr>
          <w:rFonts w:eastAsiaTheme="minorEastAsia"/>
          <w:color w:val="000000" w:themeColor="text1"/>
          <w:sz w:val="22"/>
          <w:szCs w:val="22"/>
          <w:lang w:eastAsia="ko-KR"/>
          <w14:ligatures w14:val="standardContextual"/>
        </w:rPr>
        <w:t xml:space="preserve">London, </w:t>
      </w:r>
      <w:r w:rsidRPr="00A3614E">
        <w:rPr>
          <w:color w:val="000000" w:themeColor="text1"/>
          <w:sz w:val="22"/>
          <w:szCs w:val="22"/>
          <w:shd w:val="clear" w:color="auto" w:fill="FFFFFF"/>
        </w:rPr>
        <w:t>UK</w:t>
      </w:r>
    </w:p>
    <w:p w14:paraId="7149B177"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Department of Preventive Medicine, Korea University College of Medicine, Seoul, Korea</w:t>
      </w:r>
    </w:p>
    <w:p w14:paraId="332A256E" w14:textId="77777777" w:rsidR="00010D51" w:rsidRPr="00A3614E" w:rsidRDefault="00010D51" w:rsidP="00010D51">
      <w:pPr>
        <w:pStyle w:val="ListParagraph"/>
        <w:widowControl/>
        <w:numPr>
          <w:ilvl w:val="0"/>
          <w:numId w:val="3"/>
        </w:numPr>
        <w:kinsoku w:val="0"/>
        <w:overflowPunct w:val="0"/>
        <w:adjustRightInd w:val="0"/>
        <w:spacing w:line="276" w:lineRule="auto"/>
        <w:jc w:val="both"/>
        <w:rPr>
          <w:rFonts w:eastAsiaTheme="minorEastAsia"/>
          <w:color w:val="000000" w:themeColor="text1"/>
          <w:lang w:eastAsia="ko-KR"/>
        </w:rPr>
      </w:pPr>
      <w:r w:rsidRPr="00A3614E">
        <w:rPr>
          <w:rFonts w:eastAsiaTheme="minorEastAsia"/>
          <w:color w:val="000000" w:themeColor="text1"/>
          <w:lang w:eastAsia="ko-KR"/>
          <w14:ligatures w14:val="standardContextual"/>
        </w:rPr>
        <w:t>Department of Mathematical Sciences, University of Liverpool, Liverpool, UK</w:t>
      </w:r>
    </w:p>
    <w:p w14:paraId="72EAC8E5" w14:textId="77777777" w:rsidR="00010D51" w:rsidRPr="00A3614E" w:rsidRDefault="00010D51" w:rsidP="00010D51">
      <w:pPr>
        <w:pStyle w:val="BodyText"/>
        <w:numPr>
          <w:ilvl w:val="0"/>
          <w:numId w:val="3"/>
        </w:numPr>
        <w:spacing w:line="360" w:lineRule="auto"/>
        <w:rPr>
          <w:rFonts w:eastAsiaTheme="minorEastAsia"/>
          <w:color w:val="000000" w:themeColor="text1"/>
          <w:sz w:val="22"/>
          <w:szCs w:val="22"/>
          <w:lang w:eastAsia="ko-KR"/>
        </w:rPr>
      </w:pPr>
      <w:r w:rsidRPr="00A3614E">
        <w:rPr>
          <w:color w:val="000000" w:themeColor="text1"/>
          <w:sz w:val="22"/>
          <w:szCs w:val="22"/>
        </w:rPr>
        <w:t xml:space="preserve">Departments of </w:t>
      </w:r>
      <w:r w:rsidRPr="00A3614E">
        <w:rPr>
          <w:rFonts w:eastAsiaTheme="minorEastAsia"/>
          <w:color w:val="000000" w:themeColor="text1"/>
          <w:sz w:val="22"/>
          <w:szCs w:val="22"/>
          <w:lang w:eastAsia="ko-KR"/>
        </w:rPr>
        <w:t>Public Health Sciences</w:t>
      </w:r>
      <w:r w:rsidRPr="00A3614E">
        <w:rPr>
          <w:color w:val="000000" w:themeColor="text1"/>
          <w:sz w:val="22"/>
          <w:szCs w:val="22"/>
        </w:rPr>
        <w:t xml:space="preserve">, </w:t>
      </w:r>
      <w:r w:rsidRPr="00A3614E">
        <w:rPr>
          <w:rFonts w:eastAsiaTheme="minorEastAsia"/>
          <w:color w:val="000000" w:themeColor="text1"/>
          <w:sz w:val="22"/>
          <w:szCs w:val="22"/>
          <w:lang w:eastAsia="ko-KR"/>
        </w:rPr>
        <w:t xml:space="preserve">School of Medicine, </w:t>
      </w:r>
      <w:r w:rsidRPr="00A3614E">
        <w:rPr>
          <w:color w:val="000000" w:themeColor="text1"/>
          <w:sz w:val="22"/>
          <w:szCs w:val="22"/>
        </w:rPr>
        <w:t>UConn Health</w:t>
      </w:r>
      <w:r w:rsidRPr="00A3614E">
        <w:rPr>
          <w:rFonts w:eastAsiaTheme="minorEastAsia"/>
          <w:color w:val="000000" w:themeColor="text1"/>
          <w:sz w:val="22"/>
          <w:szCs w:val="22"/>
          <w:lang w:eastAsia="ko-KR"/>
        </w:rPr>
        <w:t>, Farmington, CT, USA</w:t>
      </w:r>
    </w:p>
    <w:p w14:paraId="3429F48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489691EB"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Corresponding authors</w:t>
      </w:r>
    </w:p>
    <w:p w14:paraId="5368CB0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Youngji Jo: jo@uchc.edu</w:t>
      </w:r>
    </w:p>
    <w:p w14:paraId="7641792C"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Jaehun Jung: eastside1st@gmail.com</w:t>
      </w:r>
    </w:p>
    <w:p w14:paraId="1D3D6577" w14:textId="77777777" w:rsidR="00010D51" w:rsidRPr="00A3614E" w:rsidRDefault="00010D51" w:rsidP="002A7053">
      <w:pPr>
        <w:rPr>
          <w:rFonts w:ascii="Times New Roman" w:hAnsi="Times New Roman" w:cs="Times New Roman"/>
        </w:rPr>
      </w:pPr>
    </w:p>
    <w:p w14:paraId="5EF37892" w14:textId="448B586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Author Contributions</w:t>
      </w:r>
      <w:r w:rsidRPr="00A3614E">
        <w:rPr>
          <w:rFonts w:ascii="Times New Roman" w:hAnsi="Times New Roman" w:cs="Times New Roman"/>
          <w:bCs/>
          <w:lang w:eastAsia="ko-KR"/>
        </w:rPr>
        <w:t xml:space="preserve">: J.J </w:t>
      </w:r>
      <w:r w:rsidR="00D57293">
        <w:rPr>
          <w:rFonts w:ascii="Times New Roman" w:hAnsi="Times New Roman" w:cs="Times New Roman" w:hint="eastAsia"/>
          <w:bCs/>
          <w:lang w:eastAsia="ko-KR"/>
        </w:rPr>
        <w:t xml:space="preserve">and </w:t>
      </w:r>
      <w:r w:rsidRPr="00A3614E">
        <w:rPr>
          <w:rFonts w:ascii="Times New Roman" w:hAnsi="Times New Roman" w:cs="Times New Roman"/>
          <w:bCs/>
          <w:lang w:eastAsia="ko-KR"/>
        </w:rPr>
        <w:t>Y.J c</w:t>
      </w:r>
      <w:r w:rsidRPr="00A3614E">
        <w:rPr>
          <w:rFonts w:ascii="Times New Roman" w:hAnsi="Times New Roman" w:cs="Times New Roman"/>
          <w:bCs/>
        </w:rPr>
        <w:t>onceived and designed the study.</w:t>
      </w:r>
      <w:r w:rsidRPr="00A3614E">
        <w:rPr>
          <w:rFonts w:ascii="Times New Roman" w:hAnsi="Times New Roman" w:cs="Times New Roman"/>
          <w:bCs/>
          <w:lang w:eastAsia="ko-KR"/>
        </w:rPr>
        <w:t xml:space="preserve"> R.P provided data</w:t>
      </w:r>
      <w:r w:rsidR="00897349" w:rsidRPr="00A3614E">
        <w:rPr>
          <w:rFonts w:ascii="Times New Roman" w:hAnsi="Times New Roman" w:cs="Times New Roman"/>
          <w:bCs/>
          <w:lang w:eastAsia="ko-KR"/>
        </w:rPr>
        <w:t xml:space="preserve"> and</w:t>
      </w:r>
      <w:r w:rsidRPr="00A3614E">
        <w:rPr>
          <w:rFonts w:ascii="Times New Roman" w:hAnsi="Times New Roman" w:cs="Times New Roman"/>
          <w:bCs/>
        </w:rPr>
        <w:t xml:space="preserve"> </w:t>
      </w:r>
      <w:r w:rsidRPr="00A3614E">
        <w:rPr>
          <w:rFonts w:ascii="Times New Roman" w:hAnsi="Times New Roman" w:cs="Times New Roman"/>
          <w:bCs/>
          <w:lang w:eastAsia="ko-KR"/>
        </w:rPr>
        <w:t>variants grouping codes</w:t>
      </w:r>
      <w:r w:rsidR="00897349" w:rsidRPr="00A3614E">
        <w:rPr>
          <w:rFonts w:ascii="Times New Roman" w:hAnsi="Times New Roman" w:cs="Times New Roman"/>
          <w:bCs/>
          <w:lang w:eastAsia="ko-KR"/>
        </w:rPr>
        <w:t xml:space="preserve">. </w:t>
      </w:r>
      <w:r w:rsidR="00FD4802">
        <w:rPr>
          <w:rFonts w:ascii="Times New Roman" w:hAnsi="Times New Roman" w:cs="Times New Roman" w:hint="eastAsia"/>
          <w:bCs/>
          <w:lang w:eastAsia="ko-KR"/>
        </w:rPr>
        <w:t xml:space="preserve">Y.Z, </w:t>
      </w:r>
      <w:r w:rsidR="0033749C">
        <w:rPr>
          <w:rFonts w:ascii="Times New Roman" w:hAnsi="Times New Roman" w:cs="Times New Roman" w:hint="eastAsia"/>
          <w:bCs/>
          <w:lang w:eastAsia="ko-KR"/>
        </w:rPr>
        <w:t xml:space="preserve">Y.J, </w:t>
      </w:r>
      <w:r w:rsidRPr="00A3614E">
        <w:rPr>
          <w:rFonts w:ascii="Times New Roman" w:hAnsi="Times New Roman" w:cs="Times New Roman"/>
          <w:bCs/>
        </w:rPr>
        <w:t xml:space="preserve">C.E.O., </w:t>
      </w:r>
      <w:r w:rsidR="00897349" w:rsidRPr="00A3614E">
        <w:rPr>
          <w:rFonts w:ascii="Times New Roman" w:hAnsi="Times New Roman" w:cs="Times New Roman"/>
          <w:bCs/>
        </w:rPr>
        <w:t>R.P.</w:t>
      </w:r>
      <w:r w:rsidR="0033749C">
        <w:rPr>
          <w:rFonts w:ascii="Times New Roman" w:hAnsi="Times New Roman" w:cs="Times New Roman" w:hint="eastAsia"/>
          <w:bCs/>
          <w:lang w:eastAsia="ko-KR"/>
        </w:rPr>
        <w:t xml:space="preserve"> and</w:t>
      </w:r>
      <w:r w:rsidR="00CA7708">
        <w:rPr>
          <w:rFonts w:ascii="Times New Roman" w:hAnsi="Times New Roman" w:cs="Times New Roman" w:hint="eastAsia"/>
          <w:bCs/>
          <w:lang w:eastAsia="ko-KR"/>
        </w:rPr>
        <w:t xml:space="preserve"> </w:t>
      </w:r>
      <w:r w:rsidRPr="00A3614E">
        <w:rPr>
          <w:rFonts w:ascii="Times New Roman" w:hAnsi="Times New Roman" w:cs="Times New Roman"/>
          <w:bCs/>
        </w:rPr>
        <w:t>K.C.</w:t>
      </w:r>
      <w:r w:rsidR="007F1953">
        <w:rPr>
          <w:rFonts w:ascii="Times New Roman" w:hAnsi="Times New Roman" w:cs="Times New Roman" w:hint="eastAsia"/>
          <w:bCs/>
          <w:lang w:eastAsia="ko-KR"/>
        </w:rPr>
        <w:t xml:space="preserve"> </w:t>
      </w:r>
      <w:r w:rsidRPr="00A3614E">
        <w:rPr>
          <w:rFonts w:ascii="Times New Roman" w:hAnsi="Times New Roman" w:cs="Times New Roman"/>
          <w:bCs/>
        </w:rPr>
        <w:t>contributed to model development and interpretation.</w:t>
      </w:r>
      <w:r w:rsidR="00897349" w:rsidRPr="00A3614E">
        <w:rPr>
          <w:rFonts w:ascii="Times New Roman" w:hAnsi="Times New Roman" w:cs="Times New Roman"/>
          <w:bCs/>
          <w:lang w:eastAsia="ko-KR"/>
        </w:rPr>
        <w:t xml:space="preserve"> </w:t>
      </w:r>
      <w:r w:rsidR="004C396F">
        <w:rPr>
          <w:rFonts w:ascii="Times New Roman" w:hAnsi="Times New Roman" w:cs="Times New Roman" w:hint="eastAsia"/>
          <w:bCs/>
          <w:lang w:eastAsia="ko-KR"/>
        </w:rPr>
        <w:t>Y.Z</w:t>
      </w:r>
      <w:r w:rsidR="000206BE">
        <w:rPr>
          <w:rFonts w:ascii="Times New Roman" w:hAnsi="Times New Roman" w:cs="Times New Roman" w:hint="eastAsia"/>
          <w:bCs/>
          <w:lang w:eastAsia="ko-KR"/>
        </w:rPr>
        <w:t xml:space="preserve"> conducted data analysis and visualization. </w:t>
      </w:r>
      <w:r w:rsidRPr="00A3614E">
        <w:rPr>
          <w:rFonts w:ascii="Times New Roman" w:hAnsi="Times New Roman" w:cs="Times New Roman"/>
          <w:bCs/>
        </w:rPr>
        <w:t>J.J.</w:t>
      </w:r>
      <w:r w:rsidRPr="00A3614E">
        <w:rPr>
          <w:rFonts w:ascii="Times New Roman" w:hAnsi="Times New Roman" w:cs="Times New Roman"/>
          <w:bCs/>
          <w:lang w:eastAsia="ko-KR"/>
        </w:rPr>
        <w:t xml:space="preserve"> secured funding, </w:t>
      </w:r>
      <w:r w:rsidRPr="00A3614E">
        <w:rPr>
          <w:rFonts w:ascii="Times New Roman" w:hAnsi="Times New Roman" w:cs="Times New Roman"/>
          <w:bCs/>
        </w:rPr>
        <w:t>contributed domain expertise on SARS-CoV-2 variant dynamics</w:t>
      </w:r>
      <w:r w:rsidR="00897349" w:rsidRPr="00A3614E">
        <w:rPr>
          <w:rFonts w:ascii="Times New Roman" w:hAnsi="Times New Roman" w:cs="Times New Roman"/>
          <w:bCs/>
          <w:lang w:eastAsia="ko-KR"/>
        </w:rPr>
        <w:t>, forecasting modeling,</w:t>
      </w:r>
      <w:r w:rsidRPr="00A3614E">
        <w:rPr>
          <w:rFonts w:ascii="Times New Roman" w:hAnsi="Times New Roman" w:cs="Times New Roman"/>
          <w:bCs/>
        </w:rPr>
        <w:t xml:space="preserve"> </w:t>
      </w:r>
      <w:r w:rsidR="00897349" w:rsidRPr="00A3614E">
        <w:rPr>
          <w:rFonts w:ascii="Times New Roman" w:hAnsi="Times New Roman" w:cs="Times New Roman"/>
          <w:bCs/>
          <w:lang w:eastAsia="ko-KR"/>
        </w:rPr>
        <w:t xml:space="preserve">and </w:t>
      </w:r>
      <w:r w:rsidRPr="00A3614E">
        <w:rPr>
          <w:rFonts w:ascii="Times New Roman" w:hAnsi="Times New Roman" w:cs="Times New Roman"/>
          <w:bCs/>
        </w:rPr>
        <w:t>public health interpretation.</w:t>
      </w:r>
      <w:r w:rsidRPr="00A3614E">
        <w:rPr>
          <w:rFonts w:ascii="Times New Roman" w:hAnsi="Times New Roman" w:cs="Times New Roman"/>
          <w:bCs/>
          <w:lang w:eastAsia="ko-KR"/>
        </w:rPr>
        <w:t xml:space="preserve"> </w:t>
      </w:r>
      <w:r w:rsidRPr="00A3614E">
        <w:rPr>
          <w:rFonts w:ascii="Times New Roman" w:hAnsi="Times New Roman" w:cs="Times New Roman"/>
          <w:bCs/>
        </w:rPr>
        <w:t>Y.J. supervised the study</w:t>
      </w:r>
      <w:r w:rsidR="00933BAB" w:rsidRPr="00A3614E">
        <w:rPr>
          <w:rFonts w:ascii="Times New Roman" w:hAnsi="Times New Roman" w:cs="Times New Roman"/>
          <w:bCs/>
        </w:rPr>
        <w:t xml:space="preserve"> and contributed to the </w:t>
      </w:r>
      <w:r w:rsidRPr="00A3614E">
        <w:rPr>
          <w:rFonts w:ascii="Times New Roman" w:hAnsi="Times New Roman" w:cs="Times New Roman"/>
          <w:bCs/>
        </w:rPr>
        <w:t>interpretation of results.</w:t>
      </w:r>
      <w:r w:rsidR="00897349" w:rsidRPr="00A3614E">
        <w:rPr>
          <w:rFonts w:ascii="Times New Roman" w:hAnsi="Times New Roman" w:cs="Times New Roman"/>
          <w:bCs/>
          <w:lang w:eastAsia="ko-KR"/>
        </w:rPr>
        <w:t xml:space="preserve"> </w:t>
      </w:r>
      <w:r w:rsidRPr="00A3614E">
        <w:rPr>
          <w:rFonts w:ascii="Times New Roman" w:hAnsi="Times New Roman" w:cs="Times New Roman"/>
          <w:bCs/>
        </w:rPr>
        <w:t>Y.Z. and Y.J. drafted the manuscript.</w:t>
      </w:r>
      <w:r w:rsidRPr="00A3614E">
        <w:rPr>
          <w:rFonts w:ascii="Times New Roman" w:hAnsi="Times New Roman" w:cs="Times New Roman"/>
          <w:bCs/>
          <w:lang w:eastAsia="ko-KR"/>
        </w:rPr>
        <w:t xml:space="preserve"> </w:t>
      </w:r>
      <w:r w:rsidRPr="00A3614E">
        <w:rPr>
          <w:rFonts w:ascii="Times New Roman" w:hAnsi="Times New Roman" w:cs="Times New Roman"/>
          <w:bCs/>
        </w:rPr>
        <w:t>All authors critically reviewed, edited, and approved the final manuscript.</w:t>
      </w:r>
    </w:p>
    <w:p w14:paraId="3D6571AD" w14:textId="77777777" w:rsidR="00921F43" w:rsidRPr="00A3614E" w:rsidRDefault="00921F43" w:rsidP="00921F43">
      <w:pPr>
        <w:spacing w:after="0"/>
        <w:rPr>
          <w:rFonts w:ascii="Times New Roman" w:hAnsi="Times New Roman" w:cs="Times New Roman"/>
          <w:bCs/>
        </w:rPr>
      </w:pPr>
    </w:p>
    <w:p w14:paraId="179BD738" w14:textId="77777777" w:rsidR="00921F43" w:rsidRPr="00A3614E" w:rsidRDefault="00921F43" w:rsidP="00921F43">
      <w:pPr>
        <w:spacing w:after="0"/>
        <w:rPr>
          <w:rFonts w:ascii="Times New Roman" w:hAnsi="Times New Roman" w:cs="Times New Roman"/>
          <w:bCs/>
        </w:rPr>
      </w:pPr>
    </w:p>
    <w:p w14:paraId="58DF6555" w14:textId="003E4CE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Competing Interest Statement</w:t>
      </w:r>
      <w:r w:rsidR="00933BAB" w:rsidRPr="00A3614E">
        <w:rPr>
          <w:rFonts w:ascii="Times New Roman" w:hAnsi="Times New Roman" w:cs="Times New Roman"/>
          <w:b/>
          <w:lang w:eastAsia="ko-KR"/>
        </w:rPr>
        <w:t xml:space="preserve">: </w:t>
      </w:r>
      <w:r w:rsidRPr="00A3614E">
        <w:rPr>
          <w:rFonts w:ascii="Times New Roman" w:hAnsi="Times New Roman" w:cs="Times New Roman"/>
          <w:bCs/>
        </w:rPr>
        <w:t>The authors declare no competing interests.</w:t>
      </w:r>
    </w:p>
    <w:p w14:paraId="0D3F440D" w14:textId="77777777" w:rsidR="00921F43" w:rsidRPr="00A3614E" w:rsidRDefault="00921F43" w:rsidP="00921F43">
      <w:pPr>
        <w:spacing w:after="0"/>
        <w:rPr>
          <w:rFonts w:ascii="Times New Roman" w:hAnsi="Times New Roman" w:cs="Times New Roman"/>
          <w:bCs/>
        </w:rPr>
      </w:pPr>
    </w:p>
    <w:p w14:paraId="4F2255DA" w14:textId="77777777" w:rsidR="00921F43" w:rsidRPr="00A3614E" w:rsidRDefault="00921F43" w:rsidP="00921F43">
      <w:pPr>
        <w:spacing w:after="0"/>
        <w:rPr>
          <w:rFonts w:ascii="Times New Roman" w:hAnsi="Times New Roman" w:cs="Times New Roman"/>
          <w:b/>
        </w:rPr>
      </w:pPr>
      <w:r w:rsidRPr="00A3614E">
        <w:rPr>
          <w:rFonts w:ascii="Times New Roman" w:hAnsi="Times New Roman" w:cs="Times New Roman"/>
          <w:b/>
        </w:rPr>
        <w:t>Classification</w:t>
      </w:r>
    </w:p>
    <w:p w14:paraId="237E0843" w14:textId="3C0C43B6" w:rsidR="00921F43" w:rsidRPr="00A3614E" w:rsidRDefault="00921F43" w:rsidP="00921F43">
      <w:pPr>
        <w:spacing w:after="0"/>
        <w:rPr>
          <w:rFonts w:ascii="Times New Roman" w:hAnsi="Times New Roman" w:cs="Times New Roman"/>
          <w:bCs/>
          <w:lang w:eastAsia="ko-KR"/>
        </w:rPr>
      </w:pPr>
      <w:r w:rsidRPr="00A3614E">
        <w:rPr>
          <w:rFonts w:ascii="Times New Roman" w:hAnsi="Times New Roman" w:cs="Times New Roman"/>
          <w:bCs/>
        </w:rPr>
        <w:t xml:space="preserve">Major Classification: </w:t>
      </w:r>
      <w:r w:rsidRPr="00A3614E">
        <w:rPr>
          <w:rFonts w:ascii="Times New Roman" w:hAnsi="Times New Roman" w:cs="Times New Roman"/>
          <w:bCs/>
          <w:lang w:eastAsia="ko-KR"/>
        </w:rPr>
        <w:t>Infectious Diseases</w:t>
      </w:r>
    </w:p>
    <w:p w14:paraId="350FAAE9" w14:textId="77777777"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Cs/>
        </w:rPr>
        <w:t>Minor Classification: Computational Biology</w:t>
      </w:r>
    </w:p>
    <w:p w14:paraId="708F0E78" w14:textId="77777777" w:rsidR="00921F43" w:rsidRPr="00A3614E" w:rsidRDefault="00921F43" w:rsidP="00921F43">
      <w:pPr>
        <w:spacing w:after="0"/>
        <w:rPr>
          <w:rFonts w:ascii="Times New Roman" w:hAnsi="Times New Roman" w:cs="Times New Roman"/>
          <w:bCs/>
        </w:rPr>
      </w:pPr>
    </w:p>
    <w:p w14:paraId="1265A261" w14:textId="79FA50C0" w:rsidR="00623869" w:rsidRPr="00A3614E" w:rsidRDefault="00921F43" w:rsidP="00921F43">
      <w:pPr>
        <w:spacing w:after="0"/>
        <w:rPr>
          <w:rFonts w:ascii="Times New Roman" w:hAnsi="Times New Roman" w:cs="Times New Roman"/>
          <w:bCs/>
        </w:rPr>
      </w:pPr>
      <w:r w:rsidRPr="00A3614E">
        <w:rPr>
          <w:rFonts w:ascii="Times New Roman" w:hAnsi="Times New Roman" w:cs="Times New Roman"/>
          <w:b/>
        </w:rPr>
        <w:t>Keywords</w:t>
      </w:r>
      <w:r w:rsidRPr="00A3614E">
        <w:rPr>
          <w:rFonts w:ascii="Times New Roman" w:hAnsi="Times New Roman" w:cs="Times New Roman"/>
          <w:bCs/>
          <w:lang w:eastAsia="ko-KR"/>
        </w:rPr>
        <w:t xml:space="preserve">: </w:t>
      </w:r>
      <w:r w:rsidRPr="00A3614E">
        <w:rPr>
          <w:rFonts w:ascii="Times New Roman" w:hAnsi="Times New Roman" w:cs="Times New Roman"/>
          <w:bCs/>
        </w:rPr>
        <w:t>SARS-CoV-2 variants; genomic surveillance; machine learning; early warning systems; epidemic dynamics</w:t>
      </w:r>
    </w:p>
    <w:p w14:paraId="5815DC82" w14:textId="77777777" w:rsidR="00921F43" w:rsidRPr="00A3614E" w:rsidRDefault="00921F43" w:rsidP="00921F43">
      <w:pPr>
        <w:spacing w:after="0"/>
        <w:rPr>
          <w:rFonts w:ascii="Times New Roman" w:hAnsi="Times New Roman" w:cs="Times New Roman"/>
          <w:bCs/>
        </w:rPr>
      </w:pPr>
    </w:p>
    <w:p w14:paraId="788EAF02" w14:textId="21CEB795" w:rsidR="00E6133D" w:rsidRPr="00A3614E" w:rsidRDefault="00E6133D" w:rsidP="00921F43">
      <w:pPr>
        <w:spacing w:after="0"/>
        <w:rPr>
          <w:rFonts w:ascii="Times New Roman" w:hAnsi="Times New Roman" w:cs="Times New Roman"/>
          <w:bCs/>
        </w:rPr>
      </w:pPr>
      <w:r w:rsidRPr="00A3614E">
        <w:rPr>
          <w:rFonts w:ascii="Times New Roman" w:hAnsi="Times New Roman" w:cs="Times New Roman"/>
          <w:bCs/>
        </w:rPr>
        <w:t>This PDF file includes:</w:t>
      </w:r>
    </w:p>
    <w:p w14:paraId="14DCCC60" w14:textId="77777777" w:rsidR="00E6133D" w:rsidRPr="00A3614E" w:rsidRDefault="00E6133D" w:rsidP="00E6133D">
      <w:pPr>
        <w:ind w:left="720"/>
        <w:contextualSpacing/>
        <w:rPr>
          <w:rFonts w:ascii="Times New Roman" w:hAnsi="Times New Roman" w:cs="Times New Roman"/>
        </w:rPr>
      </w:pPr>
      <w:r w:rsidRPr="00A3614E">
        <w:rPr>
          <w:rFonts w:ascii="Times New Roman" w:hAnsi="Times New Roman" w:cs="Times New Roman"/>
        </w:rPr>
        <w:t>Main Text</w:t>
      </w:r>
    </w:p>
    <w:p w14:paraId="4EEAF45F" w14:textId="5912D800" w:rsidR="00474D11" w:rsidRPr="00A3614E" w:rsidRDefault="00E6133D" w:rsidP="00474D11">
      <w:pPr>
        <w:ind w:left="720"/>
        <w:contextualSpacing/>
        <w:rPr>
          <w:rFonts w:ascii="Times New Roman" w:hAnsi="Times New Roman" w:cs="Times New Roman"/>
          <w:lang w:eastAsia="ko-KR"/>
        </w:rPr>
      </w:pPr>
      <w:r w:rsidRPr="00A3614E">
        <w:rPr>
          <w:rFonts w:ascii="Times New Roman" w:hAnsi="Times New Roman" w:cs="Times New Roman"/>
        </w:rPr>
        <w:t xml:space="preserve">Figures 1 to </w:t>
      </w:r>
      <w:r w:rsidR="00051702" w:rsidRPr="00A3614E">
        <w:rPr>
          <w:rFonts w:ascii="Times New Roman" w:hAnsi="Times New Roman" w:cs="Times New Roman"/>
          <w:lang w:eastAsia="ko-KR"/>
        </w:rPr>
        <w:t>6</w:t>
      </w:r>
    </w:p>
    <w:p w14:paraId="62F68347" w14:textId="5C06231A" w:rsidR="0040158E" w:rsidRPr="00A3614E" w:rsidRDefault="00E6133D" w:rsidP="00474D11">
      <w:pPr>
        <w:ind w:left="720"/>
        <w:contextualSpacing/>
        <w:rPr>
          <w:rFonts w:ascii="Times New Roman" w:hAnsi="Times New Roman" w:cs="Times New Roman"/>
          <w:lang w:eastAsia="ko-KR"/>
        </w:rPr>
        <w:sectPr w:rsidR="0040158E" w:rsidRPr="00A3614E" w:rsidSect="00010D51">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720" w:bottom="720" w:left="720" w:header="720" w:footer="720" w:gutter="0"/>
          <w:cols w:space="720"/>
          <w:docGrid w:linePitch="299"/>
        </w:sectPr>
      </w:pPr>
      <w:r w:rsidRPr="00A3614E">
        <w:rPr>
          <w:rFonts w:ascii="Times New Roman" w:hAnsi="Times New Roman" w:cs="Times New Roman"/>
        </w:rPr>
        <w:t xml:space="preserve">Tables 1 to </w:t>
      </w:r>
      <w:r w:rsidR="00051702" w:rsidRPr="00A3614E">
        <w:rPr>
          <w:rFonts w:ascii="Times New Roman" w:hAnsi="Times New Roman" w:cs="Times New Roman"/>
          <w:lang w:eastAsia="ko-KR"/>
        </w:rPr>
        <w:t>2</w:t>
      </w:r>
    </w:p>
    <w:p w14:paraId="1022AED8" w14:textId="77777777" w:rsidR="00E6133D" w:rsidRPr="00A3614E" w:rsidRDefault="00E6133D" w:rsidP="00E6133D">
      <w:pPr>
        <w:keepNext/>
        <w:pBdr>
          <w:top w:val="nil"/>
          <w:left w:val="nil"/>
          <w:bottom w:val="nil"/>
          <w:right w:val="nil"/>
          <w:between w:val="nil"/>
        </w:pBdr>
        <w:spacing w:before="240" w:after="60"/>
        <w:rPr>
          <w:rFonts w:ascii="Times New Roman" w:hAnsi="Times New Roman" w:cs="Times New Roman"/>
          <w:b/>
          <w:color w:val="000000"/>
        </w:rPr>
      </w:pPr>
      <w:bookmarkStart w:id="0" w:name="30j0zll" w:colFirst="0" w:colLast="0"/>
      <w:bookmarkStart w:id="1" w:name="1fob9te" w:colFirst="0" w:colLast="0"/>
      <w:bookmarkEnd w:id="0"/>
      <w:bookmarkEnd w:id="1"/>
      <w:r w:rsidRPr="00A3614E">
        <w:rPr>
          <w:rFonts w:ascii="Times New Roman" w:hAnsi="Times New Roman" w:cs="Times New Roman"/>
          <w:b/>
          <w:color w:val="000000"/>
        </w:rPr>
        <w:lastRenderedPageBreak/>
        <w:t>Abstract</w:t>
      </w:r>
    </w:p>
    <w:p w14:paraId="5F6F91AF" w14:textId="77777777" w:rsidR="00010D51" w:rsidRPr="00A3614E" w:rsidRDefault="00010D51" w:rsidP="00E6133D">
      <w:pPr>
        <w:keepNext/>
        <w:pBdr>
          <w:top w:val="nil"/>
          <w:left w:val="nil"/>
          <w:bottom w:val="nil"/>
          <w:right w:val="nil"/>
          <w:between w:val="nil"/>
        </w:pBdr>
        <w:spacing w:before="240" w:after="60"/>
        <w:rPr>
          <w:rFonts w:ascii="Times New Roman" w:hAnsi="Times New Roman" w:cs="Times New Roman"/>
          <w:b/>
          <w:color w:val="000000"/>
        </w:rPr>
      </w:pPr>
    </w:p>
    <w:p w14:paraId="58AAB38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Background:</w:t>
      </w:r>
      <w:r w:rsidRPr="00A3614E">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cross-country heterogeneity in sequencing intensity and reporting.</w:t>
      </w:r>
    </w:p>
    <w:p w14:paraId="27B62EC4"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132CDE30"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Methods:</w:t>
      </w:r>
      <w:r w:rsidRPr="00A3614E">
        <w:rPr>
          <w:rFonts w:eastAsiaTheme="minorEastAsia"/>
          <w:color w:val="000000" w:themeColor="text1"/>
          <w:sz w:val="22"/>
          <w:szCs w:val="22"/>
          <w:lang w:eastAsia="ko-KR"/>
        </w:rPr>
        <w:t xml:space="preserve"> We develop a scalable forecasting framework that predicts whether new variants will reach high prevalence and how long they will persist based on their initial genomic growth patterns. Using more than nine million sequences from 15 countries (GISAID, 2020–2024), we characterize dominance through peak prevalence and duration above 10% and extract early growth descriptors from the first 2–4 weeks after a lineage surpasses 1% frequency.  Outcomes were classified using multiple models (GLM, GAM, SVM, CART, Elastic Net, and SuperLearner). We evaluated performance based on accuracy and utilized SHAP analysis to interpret feature importance. </w:t>
      </w:r>
    </w:p>
    <w:p w14:paraId="3B5487C4"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4E94A1D"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Results:</w:t>
      </w:r>
      <w:r w:rsidRPr="00A3614E">
        <w:rPr>
          <w:rFonts w:eastAsiaTheme="minorEastAsia"/>
          <w:color w:val="000000" w:themeColor="text1"/>
          <w:sz w:val="22"/>
          <w:szCs w:val="22"/>
          <w:lang w:eastAsia="ko-KR"/>
        </w:rPr>
        <w:t xml:space="preserve"> The Super</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Learner ensemble</w:t>
      </w:r>
      <w:r w:rsidRPr="00A3614E">
        <w:rPr>
          <w:rFonts w:eastAsiaTheme="minorEastAsia"/>
          <w:color w:val="000000" w:themeColor="text1"/>
          <w:sz w:val="22"/>
          <w:szCs w:val="22"/>
          <w:lang w:eastAsia="zh-CN"/>
        </w:rPr>
        <w:t xml:space="preserve"> model</w:t>
      </w:r>
      <w:r w:rsidRPr="00A3614E">
        <w:rPr>
          <w:rFonts w:eastAsiaTheme="minorEastAsia"/>
          <w:color w:val="000000" w:themeColor="text1"/>
          <w:sz w:val="22"/>
          <w:szCs w:val="22"/>
          <w:lang w:eastAsia="ko-KR"/>
        </w:rPr>
        <w:t xml:space="preserve"> achieved the best performance, achieving up to 0.</w:t>
      </w:r>
      <w:r w:rsidRPr="00A3614E">
        <w:rPr>
          <w:rFonts w:eastAsiaTheme="minorEastAsia"/>
          <w:color w:val="000000" w:themeColor="text1"/>
          <w:sz w:val="22"/>
          <w:szCs w:val="22"/>
          <w:lang w:eastAsia="zh-CN"/>
        </w:rPr>
        <w:t>76</w:t>
      </w:r>
      <w:r w:rsidRPr="00A3614E">
        <w:rPr>
          <w:rFonts w:eastAsiaTheme="minorEastAsia"/>
          <w:color w:val="000000" w:themeColor="text1"/>
          <w:sz w:val="22"/>
          <w:szCs w:val="22"/>
          <w:lang w:eastAsia="ko-KR"/>
        </w:rPr>
        <w:t xml:space="preserve"> accuracy for peak-share prediction, and up to 0.</w:t>
      </w:r>
      <w:r w:rsidRPr="00A3614E">
        <w:rPr>
          <w:rFonts w:eastAsiaTheme="minorEastAsia"/>
          <w:color w:val="000000" w:themeColor="text1"/>
          <w:sz w:val="22"/>
          <w:szCs w:val="22"/>
          <w:lang w:eastAsia="zh-CN"/>
        </w:rPr>
        <w:t>70</w:t>
      </w:r>
      <w:r w:rsidRPr="00A3614E">
        <w:rPr>
          <w:rFonts w:eastAsiaTheme="minorEastAsia"/>
          <w:color w:val="000000" w:themeColor="text1"/>
          <w:sz w:val="22"/>
          <w:szCs w:val="22"/>
          <w:lang w:eastAsia="ko-KR"/>
        </w:rPr>
        <w:t xml:space="preserve"> accuracy</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74CD0131"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77B399A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Conclusion:</w:t>
      </w:r>
      <w:r w:rsidRPr="00A3614E">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55D5800F"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631B8BA"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66AD4ED"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45398465" w14:textId="77777777" w:rsidR="00E6133D" w:rsidRPr="000761EF" w:rsidRDefault="00E6133D" w:rsidP="00E6133D">
      <w:pPr>
        <w:keepNext/>
        <w:pBdr>
          <w:top w:val="nil"/>
          <w:left w:val="nil"/>
          <w:bottom w:val="nil"/>
          <w:right w:val="nil"/>
          <w:between w:val="nil"/>
        </w:pBdr>
        <w:spacing w:before="240" w:after="60"/>
        <w:rPr>
          <w:rFonts w:ascii="Times New Roman" w:hAnsi="Times New Roman" w:cs="Times New Roman"/>
          <w:b/>
          <w:color w:val="000000"/>
        </w:rPr>
      </w:pPr>
      <w:r w:rsidRPr="000761EF">
        <w:rPr>
          <w:rFonts w:ascii="Times New Roman" w:hAnsi="Times New Roman" w:cs="Times New Roman"/>
          <w:b/>
          <w:color w:val="000000"/>
        </w:rPr>
        <w:t>Significance Statement</w:t>
      </w:r>
    </w:p>
    <w:p w14:paraId="539782E3"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rPr>
        <w:t>Identifying emerging SARS-CoV-2 variants capable of driving new surges is critical for global preparedness but remains challenging due to sparse early data. We present a machine learning framework that forecasts variant dominance using only the first 2–4 weeks of genomic growth. Analyzing nine million sequences across 15 countries, we reveal two distinct epidemiological signatures: high peak prevalence is driven by explosive, coherent early expansion, while long-term persistence is predicted by sustained, moderate fluctuations rather than initial speed. By establishing minimum surveillance thresholds, this work delivers a scalable, data-efficient early-warning tool that links early genomic signatures of viral fitness to downstream population-level dominance, achieving high predictive accuracy with a minimal number of sequences.</w:t>
      </w:r>
    </w:p>
    <w:p w14:paraId="78329DDA"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7961F3E"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D64DB3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49F1DC2"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AF63331"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269837A"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94A614E" w14:textId="77777777" w:rsidR="00820A97" w:rsidRPr="00A3614E" w:rsidRDefault="00820A97"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AEAA2A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39BEE39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4C7B778"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DAE9B8C"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90C7A85"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5414ABF"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zh-CN"/>
        </w:rPr>
      </w:pPr>
      <w:r w:rsidRPr="00A3614E">
        <w:rPr>
          <w:rFonts w:eastAsiaTheme="minorEastAsia"/>
          <w:b/>
          <w:bCs/>
          <w:color w:val="000000" w:themeColor="text1"/>
          <w:sz w:val="22"/>
          <w:szCs w:val="22"/>
          <w:lang w:eastAsia="zh-CN"/>
        </w:rPr>
        <w:lastRenderedPageBreak/>
        <w:t>Introduction</w:t>
      </w:r>
    </w:p>
    <w:p w14:paraId="14DD6365"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C3AE3A6" w14:textId="05814124"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{"citationID":"4X4IJeNC","properties":{"formattedCitation":"(1)","plainCitation":"(1)","noteIndex":0},"citationItems":[{"id":744,"uris":["http://zotero.org/users/14790911/items/TJH7THF4"],"itemData":{"id":744,"type":"article-journal","abstract":"Although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Microbiol","language":"eng","page":"409-424","PMID":"34075212","PMCID":"PMC8167834","source":"PubMed","title":"SARS-CoV-2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M."},{"family":"Ludden","given":"Catherine"},{"family":"Reeve","given":"Richard"},{"family":"Rambaut","given":"Andrew"},{"literal":"COVID-19 Genomics UK (COG-UK) Consortium"},{"family":"Peacock","given":"Sharon J."},{"family":"Robertson","given":"David L."}],"issued":{"date-parts":[["2021",7]]}}}],"schema":"https://github.com/citation-style-language/schema/raw/master/csl-citation.json"}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(1)</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 xml:space="preserve">.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emphasized that SARS-CoV-2 variant surveillance remains critical for pandemic preparedness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{"citationID":"yIT1buxO","properties":{"formattedCitation":"(2,3)","plainCitation":"(2,3)","noteIndex":0},"citationItems":[{"id":643,"uris":["http://zotero.org/users/14790911/items/HEEIKFVC"],"itemData":{"id":643,"type":"webpage","abstract":"It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color w:val="000000"/>
          <w:sz w:val="22"/>
        </w:rPr>
        <w:t>(2,3)</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w:t>
      </w:r>
    </w:p>
    <w:p w14:paraId="4A3C157F"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7E1179D5" w14:textId="32382102"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Despite the global experience of multiple SARS-CoV-2 infection waves, </w:t>
      </w:r>
      <w:r w:rsidRPr="00A3614E">
        <w:rPr>
          <w:rStyle w:val="Strong"/>
          <w:rFonts w:eastAsiaTheme="majorEastAsia"/>
          <w:b w:val="0"/>
          <w:bCs w:val="0"/>
          <w:color w:val="000000" w:themeColor="text1"/>
          <w:sz w:val="22"/>
          <w:szCs w:val="22"/>
        </w:rPr>
        <w:t>timely identification of variants capable of driving new surges remains difficult</w:t>
      </w:r>
      <w:r w:rsidRPr="00A3614E">
        <w:rPr>
          <w:color w:val="000000" w:themeColor="text1"/>
          <w:sz w:val="22"/>
          <w:szCs w:val="22"/>
        </w:rPr>
        <w:t xml:space="preserve"> due to several intertwined factors. Capturing early signals of variant dominance is particularly challenging because early trajectories are </w:t>
      </w:r>
      <w:r w:rsidRPr="00A3614E">
        <w:rPr>
          <w:rStyle w:val="Strong"/>
          <w:rFonts w:eastAsiaTheme="majorEastAsia"/>
          <w:b w:val="0"/>
          <w:bCs w:val="0"/>
          <w:color w:val="000000" w:themeColor="text1"/>
          <w:sz w:val="22"/>
          <w:szCs w:val="22"/>
        </w:rPr>
        <w:t>short, sparse, and noisy</w:t>
      </w:r>
      <w:r w:rsidRPr="00A3614E">
        <w:rPr>
          <w:color w:val="000000" w:themeColor="text1"/>
          <w:sz w:val="22"/>
          <w:szCs w:val="22"/>
        </w:rPr>
        <w:t>, with strong daily fluctuations and large cross-country variation in sequencing practices. Defining the initial observation period is also delicate including</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t>too many early zeros or stochastic spikes can distort growth signals</w:t>
      </w:r>
      <w:r w:rsidRPr="00A3614E">
        <w:rPr>
          <w:b/>
          <w:bCs/>
          <w:color w:val="000000" w:themeColor="text1"/>
          <w:sz w:val="22"/>
          <w:szCs w:val="22"/>
        </w:rPr>
        <w:t xml:space="preserve"> </w:t>
      </w:r>
      <w:r w:rsidRPr="00A3614E">
        <w:rPr>
          <w:color w:val="000000" w:themeColor="text1"/>
          <w:sz w:val="22"/>
          <w:szCs w:val="22"/>
        </w:rPr>
        <w:t xml:space="preserve">and obscure true trends. Moreover, the virus’s </w:t>
      </w:r>
      <w:r w:rsidRPr="00A3614E">
        <w:rPr>
          <w:rStyle w:val="Strong"/>
          <w:rFonts w:eastAsiaTheme="majorEastAsia"/>
          <w:b w:val="0"/>
          <w:bCs w:val="0"/>
          <w:color w:val="000000" w:themeColor="text1"/>
          <w:sz w:val="22"/>
          <w:szCs w:val="22"/>
        </w:rPr>
        <w:t>high mutation rate</w:t>
      </w:r>
      <w:r w:rsidRPr="00A3614E">
        <w:rPr>
          <w:b/>
          <w:bCs/>
          <w:color w:val="000000" w:themeColor="text1"/>
          <w:sz w:val="22"/>
          <w:szCs w:val="22"/>
        </w:rPr>
        <w:t xml:space="preserve"> </w:t>
      </w:r>
      <w:r w:rsidRPr="00A3614E">
        <w:rPr>
          <w:color w:val="000000" w:themeColor="text1"/>
          <w:sz w:val="22"/>
          <w:szCs w:val="22"/>
        </w:rPr>
        <w:t xml:space="preserve">continually generates a diverse pool of variants with distinct genetic profiles that affect transmissibility, immune escape, and pathogenicity, complicating efforts to identify which low-prevalence lineages (e.g., 0.01–3%) are likely to dominate. </w:t>
      </w:r>
      <w:r w:rsidRPr="00A3614E">
        <w:rPr>
          <w:rFonts w:eastAsiaTheme="minorEastAsia"/>
          <w:color w:val="000000" w:themeColor="text1"/>
          <w:sz w:val="22"/>
          <w:szCs w:val="22"/>
          <w:lang w:eastAsia="ko-KR"/>
        </w:rPr>
        <w:t>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Pr="00A3614E">
        <w:rPr>
          <w:rFonts w:eastAsiaTheme="minorEastAsia"/>
          <w:color w:val="000000" w:themeColor="text1"/>
          <w:sz w:val="22"/>
          <w:szCs w:val="22"/>
        </w:rPr>
        <w:t xml:space="preserve"> </w:t>
      </w:r>
      <w:r w:rsidRPr="00A3614E">
        <w:rPr>
          <w:rFonts w:eastAsiaTheme="minorEastAsia"/>
          <w:color w:val="000000" w:themeColor="text1"/>
          <w:sz w:val="22"/>
          <w:szCs w:val="22"/>
        </w:rPr>
        <w:fldChar w:fldCharType="begin"/>
      </w:r>
      <w:r w:rsidR="002361C0">
        <w:rPr>
          <w:rFonts w:eastAsiaTheme="minorEastAsia"/>
          <w:color w:val="000000" w:themeColor="text1"/>
          <w:sz w:val="22"/>
          <w:szCs w:val="22"/>
        </w:rPr>
        <w:instrText xml:space="preserve"> ADDIN ZOTERO_ITEM CSL_CITATION {"citationID":"gIZGMpA9","properties":{"formattedCitation":"(4)","plainCitation":"(4)","noteIndex":0},"citationItems":[{"id":645,"uris":["http://zotero.org/users/14790911/items/YYDRAWPJ"],"itemData":{"id":645,"type":"article-journal","abstract":"Genomic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Commun","language":"eng","page":"7003","PMID":"36385137","PMCID":"PMC9667854","source":"PubMed","title":"Global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Pr="00A3614E">
        <w:rPr>
          <w:rFonts w:eastAsiaTheme="min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(4)</w:t>
      </w:r>
      <w:r w:rsidRPr="00A3614E">
        <w:rPr>
          <w:rFonts w:eastAsiaTheme="minorEastAsia"/>
          <w:color w:val="000000" w:themeColor="text1"/>
          <w:sz w:val="22"/>
          <w:szCs w:val="22"/>
        </w:rPr>
        <w:fldChar w:fldCharType="end"/>
      </w:r>
      <w:r w:rsidRPr="00A3614E">
        <w:rPr>
          <w:rFonts w:eastAsiaTheme="minorEastAsia"/>
          <w:color w:val="000000" w:themeColor="text1"/>
          <w:sz w:val="22"/>
          <w:szCs w:val="22"/>
          <w:lang w:eastAsia="ko-KR"/>
        </w:rPr>
        <w:t xml:space="preserve">. </w:t>
      </w:r>
    </w:p>
    <w:p w14:paraId="7F7BD2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4C3E7E80" w14:textId="60A7440A" w:rsidR="00010D51" w:rsidRPr="00A3614E" w:rsidRDefault="00010D51" w:rsidP="00010D51">
      <w:pPr>
        <w:pStyle w:val="NormalWeb"/>
        <w:spacing w:line="276" w:lineRule="auto"/>
        <w:contextualSpacing/>
        <w:jc w:val="both"/>
        <w:rPr>
          <w:rStyle w:val="Strong"/>
          <w:rFonts w:eastAsiaTheme="majorEastAsia"/>
          <w:b w:val="0"/>
          <w:bCs w:val="0"/>
          <w:color w:val="000000" w:themeColor="text1"/>
          <w:sz w:val="22"/>
          <w:szCs w:val="22"/>
        </w:rPr>
      </w:pPr>
      <w:r w:rsidRPr="00A3614E">
        <w:rPr>
          <w:color w:val="000000" w:themeColor="text1"/>
          <w:sz w:val="22"/>
          <w:szCs w:val="22"/>
        </w:rPr>
        <w:t xml:space="preserve">Recent </w:t>
      </w:r>
      <w:r w:rsidRPr="00A3614E">
        <w:rPr>
          <w:rFonts w:eastAsiaTheme="minorEastAsia"/>
          <w:color w:val="000000" w:themeColor="text1"/>
          <w:sz w:val="22"/>
          <w:szCs w:val="22"/>
          <w:lang w:eastAsia="ko-KR"/>
        </w:rPr>
        <w:t xml:space="preserve">modeling studies </w:t>
      </w:r>
      <w:r w:rsidRPr="00A3614E">
        <w:rPr>
          <w:color w:val="000000" w:themeColor="text1"/>
          <w:sz w:val="22"/>
          <w:szCs w:val="22"/>
        </w:rPr>
        <w:t>have made important progress in forecasting SARS-CoV-2 variant dynamics, yet most require data volumes or structures that limit early, global applicability.</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{"citationID":"W47yL4vN","properties":{"formattedCitation":"(5,6)","plainCitation":"(5,6)","noteIndex":0},"citationItems":[{"id":651,"uris":["http://zotero.org/users/14790911/items/GMTTX4TA"],"itemData":{"id":651,"type":"article-journal","abstract":"The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(5,6)</w:t>
      </w:r>
      <w:r w:rsidRPr="00A3614E">
        <w:rPr>
          <w:color w:val="000000" w:themeColor="text1"/>
          <w:sz w:val="22"/>
          <w:szCs w:val="22"/>
        </w:rPr>
        <w:fldChar w:fldCharType="end"/>
      </w:r>
      <w:r w:rsidRPr="00A3614E">
        <w:rPr>
          <w:color w:val="000000" w:themeColor="text1"/>
          <w:sz w:val="22"/>
          <w:szCs w:val="22"/>
        </w:rPr>
        <w:t xml:space="preserve"> Obermeyer et al. (2022) developed PyR₀, a hierarchical Bayesian model that infers lineage fitness</w:t>
      </w:r>
      <w:r w:rsidRPr="00A3614E">
        <w:rPr>
          <w:rFonts w:eastAsiaTheme="minorEastAsia"/>
          <w:color w:val="000000" w:themeColor="text1"/>
          <w:sz w:val="22"/>
          <w:szCs w:val="22"/>
          <w:lang w:eastAsia="ko-KR"/>
        </w:rPr>
        <w:t xml:space="preserve"> </w:t>
      </w:r>
      <w:r w:rsidRPr="00A3614E">
        <w:rPr>
          <w:color w:val="000000" w:themeColor="text1"/>
          <w:sz w:val="22"/>
          <w:szCs w:val="22"/>
        </w:rPr>
        <w:t>by decomposing growth rates into mutation-level effects, enabling identification of amino acid changes associated with increased transmissibility independent of geography or time</w:t>
      </w:r>
      <w:r w:rsidRPr="00A3614E">
        <w:rPr>
          <w:rFonts w:eastAsiaTheme="minorEastAsia"/>
          <w:color w:val="000000" w:themeColor="text1"/>
          <w:sz w:val="22"/>
          <w:szCs w:val="22"/>
          <w:lang w:eastAsia="ko-KR"/>
        </w:rPr>
        <w:t xml:space="preserve"> </w:t>
      </w:r>
      <w:r w:rsidRPr="00A3614E">
        <w:rPr>
          <w:rStyle w:val="Strong"/>
          <w:rFonts w:eastAsiaTheme="majorEastAsia"/>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{"citationID":"VRaYPnOR","properties":{"formattedCitation":"(7)","plainCitation":"(7)","noteIndex":0},"citationItems":[{"id":715,"uris":["http://zotero.org/users/14790911/items/UUNK7U6Y"],"itemData":{"id":715,"type":"article-journal","abstract":"Repeated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N.Y.)","DOI":"10.1126/science.abm1208","ISSN":"1095-9203","issue":"6599","journalAbbreviation":"Science","language":"eng","page":"1327-1332","PMID":"35608456","PMCID":"PMC9161372","source":"PubMed","title":"Analysis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Pr="00A3614E">
        <w:rPr>
          <w:rStyle w:val="Strong"/>
          <w:rFonts w:eastAsiaTheme="maj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(7)</w:t>
      </w:r>
      <w:r w:rsidRPr="00A3614E">
        <w:rPr>
          <w:rStyle w:val="Strong"/>
          <w:rFonts w:eastAsiaTheme="majorEastAsia"/>
          <w:color w:val="000000" w:themeColor="text1"/>
          <w:sz w:val="22"/>
          <w:szCs w:val="22"/>
        </w:rPr>
        <w:fldChar w:fldCharType="end"/>
      </w:r>
      <w:r w:rsidRPr="00A3614E">
        <w:rPr>
          <w:rStyle w:val="Strong"/>
          <w:rFonts w:eastAsiaTheme="majorEastAsia"/>
          <w:color w:val="000000" w:themeColor="text1"/>
          <w:sz w:val="22"/>
          <w:szCs w:val="22"/>
          <w:lang w:eastAsia="ko-KR"/>
        </w:rPr>
        <w:t>.</w:t>
      </w:r>
      <w:r w:rsidRPr="00A3614E">
        <w:rPr>
          <w:color w:val="000000" w:themeColor="text1"/>
          <w:sz w:val="22"/>
          <w:szCs w:val="22"/>
        </w:rPr>
        <w:t xml:space="preserve"> While powerful for elucidating molecular drivers of fitness across millions of sequences, PyR₀ is computationally intensive and depends on dense, globally distributed data to reliably disentangle mutation effects. In practice, it performs best only after variants reach ≥1% global frequency</w:t>
      </w:r>
      <w:r w:rsidRPr="00A3614E">
        <w:rPr>
          <w:rFonts w:eastAsiaTheme="minorEastAsia"/>
          <w:color w:val="000000" w:themeColor="text1"/>
          <w:sz w:val="22"/>
          <w:szCs w:val="22"/>
          <w:lang w:eastAsia="ko-KR"/>
        </w:rPr>
        <w:t xml:space="preserve"> </w:t>
      </w:r>
      <w:r w:rsidRPr="00A3614E">
        <w:rPr>
          <w:color w:val="000000" w:themeColor="text1"/>
          <w:sz w:val="22"/>
          <w:szCs w:val="22"/>
        </w:rPr>
        <w:t>(roughly corresponding to 100–500 sequences in multiple countries</w:t>
      </w:r>
      <w:r w:rsidRPr="00A3614E">
        <w:rPr>
          <w:rFonts w:eastAsiaTheme="minorEastAsia"/>
          <w:color w:val="000000" w:themeColor="text1"/>
          <w:sz w:val="22"/>
          <w:szCs w:val="22"/>
          <w:lang w:eastAsia="ko-KR"/>
        </w:rPr>
        <w:t xml:space="preserve"> </w:t>
      </w:r>
      <w:r w:rsidRPr="00A3614E">
        <w:rPr>
          <w:color w:val="000000" w:themeColor="text1"/>
          <w:sz w:val="22"/>
          <w:szCs w:val="22"/>
        </w:rPr>
        <w:t>≥3 consecutive weeks)</w:t>
      </w:r>
      <w:r w:rsidRPr="00A3614E">
        <w:rPr>
          <w:rFonts w:eastAsiaTheme="minorEastAsia"/>
          <w:color w:val="000000" w:themeColor="text1"/>
          <w:sz w:val="22"/>
          <w:szCs w:val="22"/>
          <w:lang w:eastAsia="ko-KR"/>
        </w:rPr>
        <w:t xml:space="preserve">. </w:t>
      </w:r>
      <w:r w:rsidRPr="00A3614E">
        <w:rPr>
          <w:color w:val="000000" w:themeColor="text1"/>
          <w:sz w:val="22"/>
          <w:szCs w:val="22"/>
        </w:rPr>
        <w:t>—and assumes mutation effects are static across space and time, an assumption that may not hold under evolving immunity landscapes and intervention regimes.</w:t>
      </w:r>
      <w:r w:rsidRPr="00A3614E">
        <w:rPr>
          <w:rFonts w:eastAsiaTheme="minorEastAsia"/>
          <w:color w:val="000000" w:themeColor="text1"/>
          <w:sz w:val="22"/>
          <w:szCs w:val="22"/>
          <w:lang w:eastAsia="ko-KR"/>
        </w:rPr>
        <w:t xml:space="preserve"> </w:t>
      </w:r>
      <w:r w:rsidRPr="00A3614E">
        <w:rPr>
          <w:color w:val="000000" w:themeColor="text1"/>
          <w:sz w:val="22"/>
          <w:szCs w:val="22"/>
        </w:rPr>
        <w:t>On the other hand, frequency-based statistical models—such as the multinomial logistic regression frameworks evaluated by Abousamra et al.</w:t>
      </w:r>
      <w:r w:rsidRPr="00A3614E">
        <w:rPr>
          <w:color w:val="000000" w:themeColor="text1"/>
          <w:sz w:val="22"/>
          <w:szCs w:val="22"/>
          <w:lang w:eastAsia="ko-KR"/>
        </w:rPr>
        <w:t xml:space="preserve"> </w:t>
      </w:r>
      <w:r w:rsidRPr="00A3614E">
        <w:rPr>
          <w:color w:val="000000" w:themeColor="text1"/>
          <w:sz w:val="22"/>
          <w:szCs w:val="22"/>
          <w:lang w:eastAsia="ko-KR"/>
        </w:rPr>
        <w:fldChar w:fldCharType="begin"/>
      </w:r>
      <w:r w:rsidR="002361C0">
        <w:rPr>
          <w:color w:val="000000" w:themeColor="text1"/>
          <w:sz w:val="22"/>
          <w:szCs w:val="22"/>
          <w:lang w:eastAsia="ko-KR"/>
        </w:rPr>
        <w:instrText xml:space="preserve"> ADDIN ZOTERO_ITEM CSL_CITATION {"citationID":"AyWsSvJd","properties":{"formattedCitation":"(8)","plainCitation":"(8)","noteIndex":0},"citationItems":[{"id":713,"uris":["http://zotero.org/users/14790911/items/K2D2DMUG"],"itemData":{"id":713,"type":"article-journal","abstract":"Genomic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0.6% median absolute error and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Biology","language":"en","page":"e1012443","publisher":"Public Library of Science","source":"PLoS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Pr="00A3614E">
        <w:rPr>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(8)</w:t>
      </w:r>
      <w:r w:rsidRPr="00A3614E">
        <w:rPr>
          <w:color w:val="000000" w:themeColor="text1"/>
          <w:sz w:val="22"/>
          <w:szCs w:val="22"/>
          <w:lang w:eastAsia="ko-KR"/>
        </w:rPr>
        <w:fldChar w:fldCharType="end"/>
      </w:r>
      <w:r w:rsidRPr="00A3614E">
        <w:rPr>
          <w:color w:val="000000" w:themeColor="text1"/>
          <w:sz w:val="22"/>
          <w:szCs w:val="22"/>
          <w:lang w:eastAsia="ko-KR"/>
        </w:rPr>
        <w:t xml:space="preserve"> </w:t>
      </w:r>
      <w:r w:rsidRPr="00A3614E">
        <w:rPr>
          <w:color w:val="000000" w:themeColor="text1"/>
          <w:sz w:val="22"/>
          <w:szCs w:val="22"/>
        </w:rPr>
        <w:t>—can produce accurate short-term forecasts using count data alone</w:t>
      </w:r>
      <w:r w:rsidRPr="00A3614E">
        <w:rPr>
          <w:rFonts w:eastAsiaTheme="minorEastAsia"/>
          <w:color w:val="000000" w:themeColor="text1"/>
          <w:sz w:val="22"/>
          <w:szCs w:val="22"/>
          <w:lang w:eastAsia="ko-KR"/>
        </w:rPr>
        <w:t xml:space="preserve">. </w:t>
      </w:r>
      <w:r w:rsidRPr="00A3614E">
        <w:rPr>
          <w:color w:val="000000" w:themeColor="text1"/>
          <w:sz w:val="22"/>
          <w:szCs w:val="22"/>
        </w:rPr>
        <w:t>Yet, their reliability deteriorates sharply in settings with sparse or delayed reporting, with analyses suggesting that approximately 1,000 sequences per week are necessary to maintain robust forecast accuracy—a threshold many regions fail to meet.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Together, these studies indicate that early variant-frequency trajectories do encode predictive signal, but that forecast reliability is constrained less by algorithmic sophistication than by data availability, timeliness, and calibration. </w:t>
      </w:r>
      <w:r w:rsidRPr="00A3614E">
        <w:rPr>
          <w:rStyle w:val="Strong"/>
          <w:rFonts w:eastAsiaTheme="majorEastAsia"/>
          <w:b w:val="0"/>
          <w:bCs w:val="0"/>
          <w:color w:val="000000" w:themeColor="text1"/>
          <w:sz w:val="22"/>
          <w:szCs w:val="22"/>
        </w:rPr>
        <w:t>This gap motivates our data-efficient, early-growth–based framework</w:t>
      </w:r>
      <w:r w:rsidRPr="00A3614E">
        <w:rPr>
          <w:rStyle w:val="Strong"/>
          <w:rFonts w:eastAsiaTheme="majorEastAsia"/>
          <w:b w:val="0"/>
          <w:bCs w:val="0"/>
          <w:color w:val="000000" w:themeColor="text1"/>
          <w:sz w:val="22"/>
          <w:szCs w:val="22"/>
          <w:lang w:eastAsia="ko-KR"/>
        </w:rPr>
        <w:t xml:space="preserve">, </w:t>
      </w:r>
      <w:r w:rsidRPr="00A3614E">
        <w:rPr>
          <w:color w:val="000000" w:themeColor="text1"/>
          <w:sz w:val="22"/>
          <w:szCs w:val="22"/>
        </w:rPr>
        <w:t>which links early genomic signatures of viral fitness to downstream population-level dominance, achieving</w:t>
      </w:r>
      <w:r w:rsidRPr="00A3614E">
        <w:rPr>
          <w:rStyle w:val="Strong"/>
          <w:rFonts w:eastAsiaTheme="majorEastAsia"/>
          <w:b w:val="0"/>
          <w:bCs w:val="0"/>
          <w:color w:val="000000" w:themeColor="text1"/>
          <w:sz w:val="22"/>
          <w:szCs w:val="22"/>
        </w:rPr>
        <w:t xml:space="preserve"> high predictive accuracy with a minimal number of sequences.</w:t>
      </w:r>
    </w:p>
    <w:p w14:paraId="0C327683" w14:textId="77777777" w:rsidR="00297272" w:rsidRPr="00A3614E" w:rsidRDefault="00297272" w:rsidP="00010D51">
      <w:pPr>
        <w:pStyle w:val="NormalWeb"/>
        <w:spacing w:line="276" w:lineRule="auto"/>
        <w:contextualSpacing/>
        <w:jc w:val="both"/>
        <w:rPr>
          <w:rFonts w:eastAsiaTheme="minorEastAsia"/>
          <w:color w:val="000000" w:themeColor="text1"/>
          <w:sz w:val="22"/>
          <w:szCs w:val="22"/>
        </w:rPr>
      </w:pPr>
    </w:p>
    <w:p w14:paraId="3BEF0FA7" w14:textId="3E924373" w:rsidR="00010D51" w:rsidRPr="00A3614E" w:rsidRDefault="00010D51" w:rsidP="00010D51">
      <w:pPr>
        <w:pStyle w:val="NormalWeb"/>
        <w:spacing w:line="276" w:lineRule="auto"/>
        <w:contextualSpacing/>
        <w:jc w:val="both"/>
        <w:rPr>
          <w:rFonts w:eastAsiaTheme="minorEastAsia"/>
          <w:color w:val="000000" w:themeColor="text1"/>
          <w:sz w:val="22"/>
          <w:szCs w:val="22"/>
        </w:rPr>
      </w:pPr>
      <w:r w:rsidRPr="00A3614E">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t>
      </w:r>
      <w:r w:rsidRPr="00A3614E">
        <w:rPr>
          <w:rFonts w:eastAsiaTheme="minorEastAsia"/>
          <w:color w:val="000000" w:themeColor="text1"/>
          <w:sz w:val="22"/>
          <w:szCs w:val="22"/>
          <w:lang w:eastAsia="ko-KR"/>
        </w:rPr>
        <w:t xml:space="preserve">we established minimum </w:t>
      </w:r>
      <w:r w:rsidRPr="00A3614E">
        <w:rPr>
          <w:rStyle w:val="Strong"/>
          <w:rFonts w:eastAsiaTheme="majorEastAsia"/>
          <w:b w:val="0"/>
          <w:bCs w:val="0"/>
          <w:color w:val="000000" w:themeColor="text1"/>
          <w:sz w:val="22"/>
          <w:szCs w:val="22"/>
        </w:rPr>
        <w:t xml:space="preserve">surveillance thresholds, </w:t>
      </w:r>
      <w:r w:rsidRPr="00A3614E">
        <w:rPr>
          <w:rStyle w:val="Strong"/>
          <w:rFonts w:eastAsiaTheme="majorEastAsia"/>
          <w:b w:val="0"/>
          <w:bCs w:val="0"/>
          <w:color w:val="000000" w:themeColor="text1"/>
          <w:sz w:val="22"/>
          <w:szCs w:val="22"/>
          <w:lang w:eastAsia="ko-KR"/>
        </w:rPr>
        <w:t xml:space="preserve">variant grouping criteria, </w:t>
      </w:r>
      <w:r w:rsidRPr="00A3614E">
        <w:rPr>
          <w:rStyle w:val="Strong"/>
          <w:rFonts w:eastAsiaTheme="majorEastAsia"/>
          <w:b w:val="0"/>
          <w:bCs w:val="0"/>
          <w:color w:val="000000" w:themeColor="text1"/>
          <w:sz w:val="22"/>
          <w:szCs w:val="22"/>
        </w:rPr>
        <w:t>noise-filtering protocols, and cross-country comparability</w:t>
      </w:r>
      <w:r w:rsidRPr="00A3614E">
        <w:rPr>
          <w:color w:val="000000" w:themeColor="text1"/>
          <w:sz w:val="22"/>
          <w:szCs w:val="22"/>
        </w:rPr>
        <w:t>, delivering a lightweight and scalable early-warning tool for variant dominance prediction</w:t>
      </w:r>
      <w:r w:rsidRPr="00A3614E">
        <w:rPr>
          <w:rFonts w:eastAsiaTheme="minorEastAsia"/>
          <w:color w:val="000000" w:themeColor="text1"/>
          <w:sz w:val="22"/>
          <w:szCs w:val="22"/>
          <w:lang w:eastAsia="ko-KR"/>
        </w:rPr>
        <w:t>, defined as</w:t>
      </w:r>
      <w:r w:rsidRPr="00A3614E">
        <w:rPr>
          <w:rFonts w:eastAsiaTheme="minorEastAsia"/>
          <w:color w:val="000000" w:themeColor="text1"/>
          <w:sz w:val="22"/>
          <w:szCs w:val="22"/>
        </w:rPr>
        <w:t>: weekly peak share and duration of circulation above 10% share. These findings not only advance methodological approaches for genomic surveillance but also provide a reference framework for anticipating the emergence and persistence of future SARS-CoV-2 variants.</w:t>
      </w:r>
    </w:p>
    <w:p w14:paraId="52A1A93B" w14:textId="621C902F" w:rsidR="00456A72" w:rsidRPr="00A3614E" w:rsidRDefault="00456A72" w:rsidP="00010D51">
      <w:pPr>
        <w:pStyle w:val="NormalWeb"/>
        <w:spacing w:line="276" w:lineRule="auto"/>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lastRenderedPageBreak/>
        <w:t>Results</w:t>
      </w:r>
    </w:p>
    <w:p w14:paraId="5D3855C1" w14:textId="77777777" w:rsidR="00010D51" w:rsidRPr="00A3614E" w:rsidRDefault="00010D51" w:rsidP="00010D51">
      <w:pPr>
        <w:pStyle w:val="BodyText"/>
        <w:kinsoku w:val="0"/>
        <w:overflowPunct w:val="0"/>
        <w:spacing w:line="276" w:lineRule="auto"/>
        <w:contextualSpacing/>
        <w:jc w:val="both"/>
        <w:rPr>
          <w:rFonts w:eastAsiaTheme="minorEastAsia"/>
          <w:color w:val="000000" w:themeColor="text1"/>
          <w:sz w:val="22"/>
          <w:szCs w:val="22"/>
          <w:lang w:eastAsia="zh-CN"/>
        </w:rPr>
      </w:pPr>
    </w:p>
    <w:p w14:paraId="32939A0A" w14:textId="096E3D16"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Comparison of model prediction and observed dominant variants. </w:t>
      </w:r>
      <w:r w:rsidRPr="00A3614E">
        <w:rPr>
          <w:rFonts w:eastAsiaTheme="minorEastAsia"/>
          <w:color w:val="000000" w:themeColor="text1"/>
          <w:sz w:val="22"/>
          <w:szCs w:val="22"/>
          <w:lang w:eastAsia="zh-CN"/>
        </w:rPr>
        <w:t xml:space="preserve">Table </w:t>
      </w:r>
      <w:r w:rsidR="00456A72" w:rsidRPr="00A3614E">
        <w:rPr>
          <w:rFonts w:eastAsiaTheme="minorEastAsia"/>
          <w:color w:val="000000" w:themeColor="text1"/>
          <w:sz w:val="22"/>
          <w:szCs w:val="22"/>
          <w:lang w:eastAsia="ko-KR"/>
        </w:rPr>
        <w:t>1</w:t>
      </w:r>
      <w:r w:rsidRPr="00A3614E">
        <w:rPr>
          <w:rFonts w:eastAsiaTheme="minorEastAsia"/>
          <w:color w:val="000000" w:themeColor="text1"/>
          <w:sz w:val="22"/>
          <w:szCs w:val="22"/>
          <w:lang w:eastAsia="zh-CN"/>
        </w:rPr>
        <w:t xml:space="preserve"> summarizes model performance for the three most well-sampled countries under the operational definition of dominance (peak &gt;20% and duration ≥100 days). In both the United States and the United Kingdom, the model showed strong consistency: nearly all major lineages—including BA.2, BA.5 sublineages,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sublineages such as JN.1. Despite this, duration classification remained highly accurate across all three countries. Overall, the model achieves high agreement in the U.S. and U.K., with reduced peak-prediction stability in South Korea due to more variable early growth dynamics.</w:t>
      </w:r>
      <w:r w:rsidR="001B7158">
        <w:rPr>
          <w:rFonts w:eastAsiaTheme="minorEastAsia"/>
          <w:color w:val="000000" w:themeColor="text1"/>
          <w:sz w:val="22"/>
          <w:szCs w:val="22"/>
          <w:lang w:eastAsia="zh-CN"/>
        </w:rPr>
        <w:t xml:space="preserve"> </w:t>
      </w:r>
      <w:r w:rsidR="001B7158" w:rsidRPr="001B7158">
        <w:rPr>
          <w:rFonts w:eastAsiaTheme="minorEastAsia"/>
          <w:color w:val="000000" w:themeColor="text1"/>
          <w:sz w:val="22"/>
          <w:szCs w:val="22"/>
          <w:lang w:eastAsia="zh-CN"/>
        </w:rPr>
        <w:t>Detailed country-level results for all 15 study countries are provided in Table S</w:t>
      </w:r>
      <w:r w:rsidR="0006356B">
        <w:rPr>
          <w:rFonts w:eastAsiaTheme="minorEastAsia"/>
          <w:color w:val="000000" w:themeColor="text1"/>
          <w:sz w:val="22"/>
          <w:szCs w:val="22"/>
          <w:lang w:eastAsia="zh-CN"/>
        </w:rPr>
        <w:t>1</w:t>
      </w:r>
      <w:r w:rsidR="001B7158" w:rsidRPr="001B7158">
        <w:rPr>
          <w:rFonts w:eastAsiaTheme="minorEastAsia" w:hint="eastAsia"/>
          <w:color w:val="000000" w:themeColor="text1"/>
          <w:sz w:val="22"/>
          <w:szCs w:val="22"/>
          <w:lang w:eastAsia="zh-CN"/>
        </w:rPr>
        <w:t>.</w:t>
      </w:r>
    </w:p>
    <w:p w14:paraId="7167BDD5" w14:textId="77777777" w:rsidR="00A04C44" w:rsidRPr="00A3614E" w:rsidRDefault="00A04C44" w:rsidP="00010D51">
      <w:pPr>
        <w:pStyle w:val="BodyText"/>
        <w:spacing w:line="276" w:lineRule="auto"/>
        <w:ind w:left="0"/>
        <w:contextualSpacing/>
        <w:rPr>
          <w:rFonts w:eastAsiaTheme="minorEastAsia"/>
          <w:color w:val="000000" w:themeColor="text1"/>
          <w:sz w:val="22"/>
          <w:szCs w:val="22"/>
          <w:lang w:eastAsia="zh-CN"/>
        </w:rPr>
      </w:pPr>
    </w:p>
    <w:p w14:paraId="2574AB92" w14:textId="7A7FD3D9"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Country-specific model performance. </w:t>
      </w:r>
      <w:r w:rsidR="00E90D97" w:rsidRPr="00E90D97">
        <w:rPr>
          <w:rFonts w:eastAsiaTheme="minorEastAsia"/>
          <w:color w:val="000000" w:themeColor="text1"/>
          <w:sz w:val="22"/>
          <w:szCs w:val="22"/>
          <w:lang w:eastAsia="zh-CN"/>
        </w:rPr>
        <w:t>Figures 1(a) and 1(b) compare classification accuracy across 15 countries using 21-day early input windows for predicting peak prevalence and duration categories, respectively. Across both tasks, the SuperLearner ensemble shows consistently strong performance across countries, with particularly high accuracy in Denmark, the United Kingdom, Spain, and the United States, a pattern that aligns with the aggregated results in Table S</w:t>
      </w:r>
      <w:r w:rsidR="00AE11BB">
        <w:rPr>
          <w:rFonts w:eastAsiaTheme="minorEastAsia"/>
          <w:color w:val="000000" w:themeColor="text1"/>
          <w:sz w:val="22"/>
          <w:szCs w:val="22"/>
          <w:lang w:eastAsia="zh-CN"/>
        </w:rPr>
        <w:t>2</w:t>
      </w:r>
      <w:r w:rsidR="00E90D97" w:rsidRPr="00E90D97">
        <w:rPr>
          <w:rFonts w:eastAsiaTheme="minorEastAsia"/>
          <w:color w:val="000000" w:themeColor="text1"/>
          <w:sz w:val="22"/>
          <w:szCs w:val="22"/>
          <w:lang w:eastAsia="zh-CN"/>
        </w:rPr>
        <w:t>. At the global level, SuperLearner achieves the highest overall accuracy and macro-F1 across input windows, reaching 0.76 accuracy and 0.70 macro-F1 for peak prediction and 0.70 accuracy and 0.72 macro-F1 for duration prediction with 21-day inputs. For peak prediction, CART attains accuracy comparable to SuperLearner in several countries and under longer input windows, but its performance varies more substantially across countries and degrades with shorter observation periods. For duration prediction, SVM performs competitively in selected settings, consistent with its strong results at longer input windows, yet similarly exhibits greater cross-country variability. In contrast, SuperLearner maintains more stable accuracy across heterogeneous national contexts and outcome definitions, indicating that ensemble learning provides a robust and reliable framework for early forecasting of variant dominance across diverse surveillance environments.</w:t>
      </w:r>
    </w:p>
    <w:p w14:paraId="5E9235BE" w14:textId="77777777" w:rsidR="00BC62D3" w:rsidRPr="00A3614E" w:rsidRDefault="00BC62D3" w:rsidP="00010D51">
      <w:pPr>
        <w:pStyle w:val="BodyText"/>
        <w:spacing w:line="276" w:lineRule="auto"/>
        <w:ind w:left="0"/>
        <w:contextualSpacing/>
        <w:jc w:val="both"/>
        <w:rPr>
          <w:rFonts w:eastAsiaTheme="minorEastAsia"/>
          <w:b/>
          <w:bCs/>
          <w:color w:val="000000" w:themeColor="text1"/>
          <w:sz w:val="22"/>
          <w:szCs w:val="22"/>
          <w:lang w:eastAsia="ko-KR"/>
        </w:rPr>
      </w:pPr>
      <w:bookmarkStart w:id="2" w:name="OLE_LINK3"/>
    </w:p>
    <w:p w14:paraId="6A6FE0D4" w14:textId="09CED370"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SHAP analysis. </w:t>
      </w:r>
      <w:bookmarkEnd w:id="2"/>
      <w:r w:rsidRPr="00A3614E">
        <w:rPr>
          <w:rFonts w:eastAsiaTheme="minorEastAsia"/>
          <w:color w:val="000000" w:themeColor="text1"/>
          <w:sz w:val="22"/>
          <w:szCs w:val="22"/>
          <w:lang w:eastAsia="zh-CN"/>
        </w:rPr>
        <w:t xml:space="preserve">The SHAP analysis for the peak-share outcome (&gt;20 percent) shows that both the magnitude and structural coherence of early growth are key determinants of whether a lineage reaches a high weekly peak (Figure </w:t>
      </w:r>
      <w:r w:rsidR="00064757"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a). The early maximum value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exerts the strongest positive influence, indicating that lineages with substantial early expansion are most likely to achieve high peak prevalence. Later positive deviations (</w:t>
      </w:r>
      <w:r w:rsidRPr="00A3614E">
        <w:rPr>
          <w:rFonts w:eastAsiaTheme="minorEastAsia"/>
          <w:i/>
          <w:iCs/>
          <w:color w:val="000000" w:themeColor="text1"/>
          <w:sz w:val="22"/>
          <w:szCs w:val="22"/>
          <w:lang w:eastAsia="zh-CN"/>
        </w:rPr>
        <w:t>outlier_timing_pos</w:t>
      </w:r>
      <w:r w:rsidRPr="00A3614E">
        <w:rPr>
          <w:rFonts w:eastAsiaTheme="minorEastAsia"/>
          <w:color w:val="000000" w:themeColor="text1"/>
          <w:sz w:val="22"/>
          <w:szCs w:val="22"/>
          <w:lang w:eastAsia="zh-CN"/>
        </w:rPr>
        <w:t>) further reinforce this signal, while early isolated spikes tend to reduce predicted peaks, reflecting their interpretation as noise rather than evidence of sustained transmission. Structural characteristics of the trajectory refine these effects: higher entropy_pairs consistently lowers predictions, indicating that irregular symbolic patterns are not conducive to strong expansion, whereas longer autocorrelation timescales (</w:t>
      </w:r>
      <w:r w:rsidRPr="00A3614E">
        <w:rPr>
          <w:rFonts w:eastAsiaTheme="minorEastAsia"/>
          <w:i/>
          <w:iCs/>
          <w:color w:val="000000" w:themeColor="text1"/>
          <w:sz w:val="22"/>
          <w:szCs w:val="22"/>
          <w:lang w:eastAsia="zh-CN"/>
        </w:rPr>
        <w:t>acf_timescale</w:t>
      </w:r>
      <w:r w:rsidRPr="00A3614E">
        <w:rPr>
          <w:rFonts w:eastAsiaTheme="minorEastAsia"/>
          <w:color w:val="000000" w:themeColor="text1"/>
          <w:sz w:val="22"/>
          <w:szCs w:val="22"/>
          <w:lang w:eastAsia="zh-CN"/>
        </w:rPr>
        <w:t>) and moderate short-term fluctuation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reflect more persistent and coherent growth. Measures of geometric and nonlinear structure, including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w:t>
      </w:r>
      <w:r w:rsidRPr="00A3614E">
        <w:rPr>
          <w:rFonts w:eastAsiaTheme="minorEastAsia"/>
          <w:i/>
          <w:iCs/>
          <w:color w:val="000000" w:themeColor="text1"/>
          <w:sz w:val="22"/>
          <w:szCs w:val="22"/>
          <w:lang w:eastAsia="zh-CN"/>
        </w:rPr>
        <w:t>ami2</w:t>
      </w:r>
      <w:r w:rsidRPr="00A3614E">
        <w:rPr>
          <w:rFonts w:eastAsiaTheme="minorEastAsia"/>
          <w:color w:val="000000" w:themeColor="text1"/>
          <w:sz w:val="22"/>
          <w:szCs w:val="22"/>
          <w:lang w:eastAsia="zh-CN"/>
        </w:rPr>
        <w:t>, similarly distinguish lineages whose early trajectories are organized and dynamically consistent. Overall, variants that combine strong early amplification with stable and structurally coherent growth are more likely to achieve high peak share.</w:t>
      </w:r>
    </w:p>
    <w:p w14:paraId="61110B37"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p>
    <w:p w14:paraId="65E833E4" w14:textId="6FECE9C4"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The SHAP analysis for dominance duration (&gt;100 days) reveals a distinct pattern from the peak-share outcome (Figure </w:t>
      </w:r>
      <w:r w:rsidR="00064757"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 xml:space="preserve">b). Early sharp peaks, reflected in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xml:space="preserve"> reduce predicted duration, indicating that rapid initial surges are characteristic of short-lived waves rather than sustained circulation. In contrast, greater short-horizon forecast variability (</w:t>
      </w:r>
      <w:r w:rsidRPr="00A3614E">
        <w:rPr>
          <w:rFonts w:eastAsiaTheme="minorEastAsia"/>
          <w:i/>
          <w:iCs/>
          <w:color w:val="000000" w:themeColor="text1"/>
          <w:sz w:val="22"/>
          <w:szCs w:val="22"/>
          <w:lang w:eastAsia="zh-CN"/>
        </w:rPr>
        <w:t>forecast_error</w:t>
      </w:r>
      <w:r w:rsidRPr="00A3614E">
        <w:rPr>
          <w:rFonts w:eastAsiaTheme="minorEastAsia"/>
          <w:color w:val="000000" w:themeColor="text1"/>
          <w:sz w:val="22"/>
          <w:szCs w:val="22"/>
          <w:lang w:eastAsia="zh-CN"/>
        </w:rPr>
        <w:t>) and stronger incremental day-to-day fluctuations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contribute positively, suggesting that lineages exhibiting recurrent, moderate short-term variation—rather than a single early spike—are more likely to persist. Higher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elevated </w:t>
      </w:r>
      <w:r w:rsidRPr="00A3614E">
        <w:rPr>
          <w:rFonts w:eastAsiaTheme="minorEastAsia"/>
          <w:i/>
          <w:iCs/>
          <w:color w:val="000000" w:themeColor="text1"/>
          <w:sz w:val="22"/>
          <w:szCs w:val="22"/>
          <w:lang w:eastAsia="zh-CN"/>
        </w:rPr>
        <w:t>transition_variance</w:t>
      </w:r>
      <w:r w:rsidRPr="00A3614E">
        <w:rPr>
          <w:rFonts w:eastAsiaTheme="minorEastAsia"/>
          <w:color w:val="000000" w:themeColor="text1"/>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1A0697C6" w14:textId="0DEA74A5"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r w:rsidRPr="00A3614E">
        <w:rPr>
          <w:b/>
          <w:bCs/>
          <w:color w:val="000000" w:themeColor="text1"/>
          <w:sz w:val="22"/>
          <w:szCs w:val="22"/>
        </w:rPr>
        <w:lastRenderedPageBreak/>
        <w:t>Discussion</w:t>
      </w:r>
    </w:p>
    <w:p w14:paraId="09F94F2A"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p>
    <w:p w14:paraId="3C5EB5A1"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r w:rsidRPr="00A3614E">
        <w:rPr>
          <w:rStyle w:val="citation-69"/>
          <w:rFonts w:eastAsiaTheme="majorEastAsia"/>
          <w:sz w:val="22"/>
          <w:szCs w:val="22"/>
        </w:rPr>
        <w:t>In this study, we demonstrate that the earliest genomic growth trajectories</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captured within just two to four weeks of a variant’s emergence</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encode robust and interpretable signals capable of forecasting its eventual epidemiological dominance</w:t>
      </w:r>
      <w:r w:rsidRPr="00A3614E">
        <w:rPr>
          <w:sz w:val="22"/>
          <w:szCs w:val="22"/>
        </w:rPr>
        <w:t xml:space="preserve">. </w:t>
      </w:r>
      <w:r w:rsidRPr="00A3614E">
        <w:rPr>
          <w:rStyle w:val="citation-68"/>
          <w:rFonts w:eastAsiaTheme="majorEastAsia"/>
          <w:sz w:val="22"/>
          <w:szCs w:val="22"/>
        </w:rPr>
        <w:t>By integrating domain-specific growth indicators with standardized time-series descriptors, our SuperLearner ensemble framework achieved high predictive accuracy for both peak prevalence and duration across diverse national contexts, consistently outperforming individual algorithms</w:t>
      </w:r>
      <w:r w:rsidRPr="00A3614E">
        <w:rPr>
          <w:sz w:val="22"/>
          <w:szCs w:val="22"/>
        </w:rPr>
        <w:t xml:space="preserve">. </w:t>
      </w:r>
      <w:r w:rsidRPr="00A3614E">
        <w:rPr>
          <w:rStyle w:val="citation-67"/>
          <w:rFonts w:eastAsiaTheme="majorEastAsia"/>
          <w:sz w:val="22"/>
          <w:szCs w:val="22"/>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rsidRPr="00A3614E">
        <w:rPr>
          <w:sz w:val="22"/>
          <w:szCs w:val="22"/>
        </w:rPr>
        <w:t xml:space="preserve">. </w:t>
      </w:r>
      <w:r w:rsidRPr="00A3614E">
        <w:rPr>
          <w:rStyle w:val="citation-66"/>
          <w:rFonts w:eastAsiaTheme="majorEastAsia"/>
          <w:sz w:val="22"/>
          <w:szCs w:val="22"/>
        </w:rPr>
        <w:t>These findings validate a scalable, sequence-only approach to real-time surveillance, providing public health systems with a lightweight early-warning tool that operates well before variants approach their national peaks</w:t>
      </w:r>
      <w:r w:rsidRPr="00A3614E">
        <w:rPr>
          <w:sz w:val="22"/>
          <w:szCs w:val="22"/>
        </w:rPr>
        <w:t>.</w:t>
      </w:r>
    </w:p>
    <w:p w14:paraId="186AC43F"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p>
    <w:p w14:paraId="52F767CC" w14:textId="553A067D"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rPr>
        <w:t>In our framework, predictive uncertainty primarily stems from two intertwined sources: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early growth and detection delay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{"citationID":"WYomYOB9","properties":{"formattedCitation":"(9)","plainCitation":"(9)","noteIndex":0},"citationItems":[{"id":706,"uris":["http://zotero.org/users/14790911/items/XZD92YFJ"],"itemData":{"id":706,"type":"article-journal","abstract":"Epidemiological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Biology","language":"en","page":"e1012520","publisher":"Public Library of Science","source":"PLoS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(9)</w:t>
      </w:r>
      <w:r w:rsidRPr="00A3614E">
        <w:rPr>
          <w:color w:val="000000" w:themeColor="text1"/>
          <w:sz w:val="22"/>
          <w:szCs w:val="22"/>
        </w:rPr>
        <w:fldChar w:fldCharType="end"/>
      </w:r>
      <w:r w:rsidRPr="00A3614E">
        <w:rPr>
          <w:color w:val="000000" w:themeColor="text1"/>
          <w:sz w:val="22"/>
          <w:szCs w:val="22"/>
        </w:rPr>
        <w:t xml:space="preserve">—which together shape the heterogeneity observed across countries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{"citationID":"l5xHQ9WE","properties":{"formattedCitation":"(10)","plainCitation":"(10)","noteIndex":0},"citationItems":[{"id":708,"uris":["http://zotero.org/users/14790911/items/JNTYHW4U"],"itemData":{"id":708,"type":"article-journal","abstract":"While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Simul","language":"eng","page":"105372","PMID":"32834701","PMCID":"PMC7263229","source":"PubMed","title":"On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(10)</w:t>
      </w:r>
      <w:r w:rsidRPr="00A3614E">
        <w:rPr>
          <w:color w:val="000000" w:themeColor="text1"/>
          <w:sz w:val="22"/>
          <w:szCs w:val="22"/>
        </w:rPr>
        <w:fldChar w:fldCharType="end"/>
      </w:r>
      <w:r w:rsidRPr="00A3614E">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Pr="00A3614E">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A3614E">
        <w:rPr>
          <w:rFonts w:eastAsiaTheme="minorEastAsia"/>
          <w:color w:val="000000" w:themeColor="text1"/>
          <w:sz w:val="22"/>
          <w:szCs w:val="22"/>
          <w:lang w:eastAsia="ko-KR"/>
        </w:rPr>
        <w:t xml:space="preserve">  </w:t>
      </w:r>
    </w:p>
    <w:p w14:paraId="7855DED0"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1151CC60" w14:textId="2A05A6A3"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sz w:val="22"/>
          <w:szCs w:val="22"/>
        </w:rPr>
        <w:t>The country-specific results highlight a fundamental shift in the mechanisms governing variant dominance and forecasting uncertainty over the course of the pandemic. In the early phase, when population immunity was low, variant success was largely driven by intrinsic transmissibility, producing rapid, high-signal selective sweeps that yielded relatively consistent early growth patterns and uniform model performance across countries. As global immunity accumulated—through vaccination and prior infection—variant success increasingly depended on immune escape within heterogeneous national immune landscapes, weakening the direct relationship between early growth rate and eventual peak prevalence and amplifying cross-country heterogeneity. Consistent with this transition, Figgins and Bedford (2025)</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{"citationID":"OiCizb9e","properties":{"formattedCitation":"(11)","plainCitation":"(11)","noteIndex":0},"citationItems":[{"id":711,"uris":["http://zotero.org/users/14790911/items/35ADAKVE"],"itemData":{"id":711,"type":"article","abstract":"During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Pr="00A3614E">
        <w:rPr>
          <w:color w:val="000000" w:themeColor="text1"/>
          <w:sz w:val="22"/>
          <w:szCs w:val="22"/>
        </w:rPr>
        <w:fldChar w:fldCharType="separate"/>
      </w:r>
      <w:r w:rsidR="002361C0">
        <w:rPr>
          <w:noProof/>
          <w:color w:val="000000" w:themeColor="text1"/>
          <w:sz w:val="22"/>
          <w:szCs w:val="22"/>
        </w:rPr>
        <w:t>(11)</w:t>
      </w:r>
      <w:r w:rsidRPr="00A3614E">
        <w:rPr>
          <w:color w:val="000000" w:themeColor="text1"/>
          <w:sz w:val="22"/>
          <w:szCs w:val="22"/>
        </w:rPr>
        <w:fldChar w:fldCharType="end"/>
      </w:r>
      <w:r w:rsidRPr="00A3614E">
        <w:rPr>
          <w:sz w:val="22"/>
          <w:szCs w:val="22"/>
        </w:rPr>
        <w:t xml:space="preserve"> demonstrated that SARS-CoV-2 fitness evolved from transmissibility-driven to immune-escape–driven dynamics, with time-varying selective pressures shaped by population immunity rather than fixed viral traits. Under these conditions, long-term dominance reflects sustained competitiveness under immune pressure rather than explosive early expansion, explaining why duration is more robustly predicted than peak magnitude in later phases. Importantly, the observed heterogeneity across countries reflects this deeper epidemiological shift toward immune-structured, context-dependent persistence, rather than model failure, underscoring the value of early identification of persistent variants over precise peak prediction in the post-Omicron era.</w:t>
      </w:r>
    </w:p>
    <w:p w14:paraId="0A1A27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8610B82" w14:textId="4F6F133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sz w:val="22"/>
          <w:szCs w:val="22"/>
        </w:rPr>
        <w:t xml:space="preserve">Our findings complement and extend recent molecular-level approaches to forecasting viral evolution, including </w:t>
      </w:r>
      <w:r w:rsidRPr="00A3614E">
        <w:rPr>
          <w:rStyle w:val="Strong"/>
          <w:rFonts w:eastAsiaTheme="majorEastAsia"/>
          <w:b w:val="0"/>
          <w:bCs w:val="0"/>
          <w:sz w:val="22"/>
          <w:szCs w:val="22"/>
        </w:rPr>
        <w:t xml:space="preserve">EVEscape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{"citationID":"u7owqjJ3","properties":{"formattedCitation":"(12)","plainCitation":"(12)","noteIndex":0},"citationItems":[{"id":748,"uris":["http://zotero.org/users/14790911/items/TN6VLMWT"],"itemData":{"id":748,"type":"article-journal","abstract":"The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rStyle w:val="Strong"/>
          <w:rFonts w:eastAsiaTheme="majorEastAsia"/>
          <w:b w:val="0"/>
          <w:bCs w:val="0"/>
          <w:sz w:val="22"/>
          <w:szCs w:val="22"/>
          <w:lang w:eastAsia="ko-KR"/>
        </w:rPr>
        <w:t>a</w:t>
      </w:r>
      <w:r w:rsidRPr="00A3614E">
        <w:rPr>
          <w:sz w:val="22"/>
          <w:szCs w:val="22"/>
        </w:rPr>
        <w:t xml:space="preserve">nd viral language models. </w:t>
      </w:r>
      <w:r w:rsidRPr="00A3614E">
        <w:rPr>
          <w:rStyle w:val="Strong"/>
          <w:rFonts w:eastAsiaTheme="majorEastAsia"/>
          <w:b w:val="0"/>
          <w:bCs w:val="0"/>
          <w:sz w:val="22"/>
          <w:szCs w:val="22"/>
        </w:rPr>
        <w:t>Thadani et al. (2023)</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{"citationID":"5cbf4udY","properties":{"formattedCitation":"(12)","plainCitation":"(12)","noteIndex":0},"citationItems":[{"id":748,"uris":["http://zotero.org/users/14790911/items/TN6VLMWT"],"itemData":{"id":748,"type":"article-journal","abstract":"The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sz w:val="22"/>
          <w:szCs w:val="22"/>
        </w:rPr>
        <w:t xml:space="preserve">demonstrated that pre-pandemic mutational landscapes can anticipate immune escape potential by learning antigenic constraints from deep mutational scanning and structural data, while </w:t>
      </w:r>
      <w:r w:rsidRPr="00A3614E">
        <w:rPr>
          <w:rStyle w:val="Strong"/>
          <w:rFonts w:eastAsiaTheme="majorEastAsia"/>
          <w:b w:val="0"/>
          <w:bCs w:val="0"/>
          <w:sz w:val="22"/>
          <w:szCs w:val="22"/>
        </w:rPr>
        <w:t xml:space="preserve">Hie et al. (2021)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{"citationID":"MURVZFAD","properties":{"formattedCitation":"(12)","plainCitation":"(12)","noteIndex":0},"citationItems":[{"id":748,"uris":["http://zotero.org/users/14790911/items/TN6VLMWT"],"itemData":{"id":748,"type":"article-journal","abstract":"The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Fonts w:eastAsiaTheme="minorEastAsia"/>
          <w:sz w:val="22"/>
          <w:szCs w:val="22"/>
        </w:rPr>
        <w:t xml:space="preserve"> </w:t>
      </w:r>
      <w:r w:rsidRPr="00A3614E">
        <w:rPr>
          <w:sz w:val="22"/>
          <w:szCs w:val="22"/>
        </w:rPr>
        <w:t xml:space="preserve">showed that protein language models encode evolutionary and functional constraints that predict escape at the mutation level. These frameworks effectively identify the intrinsic potential for immune escape by learning </w:t>
      </w:r>
      <w:r w:rsidRPr="00A3614E">
        <w:rPr>
          <w:sz w:val="22"/>
          <w:szCs w:val="22"/>
        </w:rPr>
        <w:lastRenderedPageBreak/>
        <w:t>antigenic and evolutionary constraints from pre-pandemic data, they do not directly resolve how those molecular advantages translate into population-level dominance in a crowded fitness landscape.</w:t>
      </w:r>
      <w:r w:rsidRPr="00A3614E">
        <w:rPr>
          <w:rFonts w:eastAsiaTheme="minorEastAsia"/>
          <w:sz w:val="22"/>
          <w:szCs w:val="22"/>
          <w:lang w:eastAsia="ko-KR"/>
        </w:rPr>
        <w:t xml:space="preserve"> </w:t>
      </w:r>
      <w:r w:rsidRPr="00A3614E">
        <w:rPr>
          <w:sz w:val="22"/>
          <w:szCs w:val="22"/>
        </w:rPr>
        <w:t xml:space="preserve">Our results address this gap by showing that early genomic growth trajectories encode two distinct epidemiological dimensions of fitness: </w:t>
      </w:r>
      <w:r w:rsidRPr="00A3614E">
        <w:rPr>
          <w:rStyle w:val="Strong"/>
          <w:rFonts w:eastAsiaTheme="majorEastAsia"/>
          <w:b w:val="0"/>
          <w:bCs w:val="0"/>
          <w:sz w:val="22"/>
          <w:szCs w:val="22"/>
        </w:rPr>
        <w:t>peak prevalence</w:t>
      </w:r>
      <w:r w:rsidRPr="00A3614E">
        <w:rPr>
          <w:sz w:val="22"/>
          <w:szCs w:val="22"/>
        </w:rPr>
        <w:t xml:space="preserve">, reflecting the strength and coherence of early expansion, and </w:t>
      </w:r>
      <w:r w:rsidRPr="00A3614E">
        <w:rPr>
          <w:rStyle w:val="Strong"/>
          <w:rFonts w:eastAsiaTheme="majorEastAsia"/>
          <w:b w:val="0"/>
          <w:bCs w:val="0"/>
          <w:sz w:val="22"/>
          <w:szCs w:val="22"/>
        </w:rPr>
        <w:t>dominance duration</w:t>
      </w:r>
      <w:r w:rsidRPr="00A3614E">
        <w:rPr>
          <w:sz w:val="22"/>
          <w:szCs w:val="22"/>
        </w:rPr>
        <w:t xml:space="preserve">, reflecting sustained competitiveness within an immune-structured, multi-lineage environment. Importantly, we find that </w:t>
      </w:r>
      <w:r w:rsidRPr="00A3614E">
        <w:rPr>
          <w:rStyle w:val="cf01"/>
          <w:rFonts w:ascii="Times New Roman" w:eastAsiaTheme="majorEastAsia" w:hAnsi="Times New Roman" w:cs="Times New Roman"/>
          <w:sz w:val="22"/>
          <w:szCs w:val="22"/>
        </w:rPr>
        <w:t xml:space="preserve">'molecularly fit' variants do not necessarily achieve prolonged dominance unless their early growth exhibits structural coherence (e.g., moderate sustained fluctuations) rather than just explosive early surges. This distinction is crucial: while molecular models predict the </w:t>
      </w:r>
      <w:r w:rsidRPr="00A3614E">
        <w:rPr>
          <w:rStyle w:val="cf11"/>
          <w:rFonts w:ascii="Times New Roman" w:eastAsiaTheme="majorEastAsia" w:hAnsi="Times New Roman" w:cs="Times New Roman"/>
          <w:sz w:val="22"/>
          <w:szCs w:val="22"/>
        </w:rPr>
        <w:t>capacity</w:t>
      </w:r>
      <w:r w:rsidRPr="00A3614E">
        <w:rPr>
          <w:rStyle w:val="cf01"/>
          <w:rFonts w:ascii="Times New Roman" w:eastAsiaTheme="majorEastAsia" w:hAnsi="Times New Roman" w:cs="Times New Roman"/>
          <w:sz w:val="22"/>
          <w:szCs w:val="22"/>
        </w:rPr>
        <w:t xml:space="preserve"> for escape, our trajectory-based framework captures the </w:t>
      </w:r>
      <w:r w:rsidRPr="00A3614E">
        <w:rPr>
          <w:rStyle w:val="cf11"/>
          <w:rFonts w:ascii="Times New Roman" w:eastAsiaTheme="majorEastAsia" w:hAnsi="Times New Roman" w:cs="Times New Roman"/>
          <w:sz w:val="22"/>
          <w:szCs w:val="22"/>
        </w:rPr>
        <w:t>realization</w:t>
      </w:r>
      <w:r w:rsidRPr="00A3614E">
        <w:rPr>
          <w:rStyle w:val="cf01"/>
          <w:rFonts w:ascii="Times New Roman" w:eastAsiaTheme="majorEastAsia" w:hAnsi="Times New Roman" w:cs="Times New Roman"/>
          <w:sz w:val="22"/>
          <w:szCs w:val="22"/>
        </w:rPr>
        <w:t xml:space="preserve"> of that capacity, revealing that long-term persistence in complex immune landscapes depends on stable, structurally organized growth rather than the sheer magnitude of initial expansion. </w:t>
      </w:r>
      <w:r w:rsidRPr="00A3614E">
        <w:rPr>
          <w:sz w:val="22"/>
          <w:szCs w:val="22"/>
        </w:rPr>
        <w:t>By mapping early sequence-derived growth outcomes—where molecular, immunological, and ecological pressures are already aggregated—to downstream peak and persistence, our framework provides a complementary population-level lens that connects molecular fitness signals to real-time epidemic impact.</w:t>
      </w:r>
    </w:p>
    <w:p w14:paraId="2E034FB9" w14:textId="77777777" w:rsidR="00010D51" w:rsidRPr="00A3614E" w:rsidRDefault="00010D51" w:rsidP="00010D51">
      <w:pPr>
        <w:pStyle w:val="NormalWeb"/>
        <w:spacing w:line="276" w:lineRule="auto"/>
        <w:contextualSpacing/>
        <w:jc w:val="both"/>
        <w:rPr>
          <w:rFonts w:eastAsiaTheme="minorEastAsia"/>
          <w:sz w:val="22"/>
          <w:szCs w:val="22"/>
          <w:lang w:eastAsia="ko-KR"/>
        </w:rPr>
      </w:pPr>
    </w:p>
    <w:p w14:paraId="50162959" w14:textId="7777777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rFonts w:eastAsiaTheme="minorEastAsia"/>
          <w:sz w:val="22"/>
          <w:szCs w:val="22"/>
          <w:lang w:eastAsia="ko-KR"/>
        </w:rPr>
        <w:t xml:space="preserve">A major contribution of this study is its systematic cross-country comparison of variant dynamics across distinct pandemic phases, revealing how the drivers of dominance and uncertainty shifted over time. In the early pandemic, low background immunity produced high signal-to-noise, transmissibility-driven selective sweeps, making early slopes and magnitude-based features highly predictive of both peak and duration. In contrast, the Omicron era reflects a crowded fitness landscape shaped by heterogeneous immunity and intense multi-lineage competition, where early growth signals are weaker, noisier, and structurally more complex. Under these conditions, structural descriptors—such as entropy, autocorrelation, and fluctuation dynamics—become critical, and dominance duration is more reliably predicted than peak magnitude. Consistent with this shift, our analyses show that early growth signatures observed within just 2–4 weeks remain highly informative for forecasting both </w:t>
      </w:r>
      <w:r w:rsidRPr="00A3614E">
        <w:rPr>
          <w:rStyle w:val="cf01"/>
          <w:rFonts w:ascii="Times New Roman" w:eastAsiaTheme="majorEastAsia" w:hAnsi="Times New Roman" w:cs="Times New Roman"/>
          <w:sz w:val="22"/>
          <w:szCs w:val="22"/>
          <w:lang w:val="en"/>
        </w:rPr>
        <w:t>peak intensity and persistence, even as the biological drivers of success evolve</w:t>
      </w:r>
      <w:r w:rsidRPr="00A3614E">
        <w:rPr>
          <w:rFonts w:eastAsiaTheme="minorEastAsia"/>
          <w:sz w:val="22"/>
          <w:szCs w:val="22"/>
          <w:lang w:eastAsia="ko-KR"/>
        </w:rPr>
        <w:t xml:space="preserve">, if surveillance thresholds and observation windows are carefully defined. By establishing practical minimum requirements (e.g., ≥100 sequences in the previous 30 days and a 1% detection threshold) and a standardized early-observation framework, we demonstrate that sequence-only time-series features can support accurate, comparable, and scalable forecasting across diverse epidemiological and surveillance settings. </w:t>
      </w:r>
    </w:p>
    <w:p w14:paraId="7D3D1D8F"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CA3FC2C" w14:textId="28C06958"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Pr="00A3614E">
        <w:rPr>
          <w:rFonts w:eastAsiaTheme="minorEastAsia"/>
          <w:color w:val="000000" w:themeColor="text1"/>
          <w:sz w:val="22"/>
          <w:szCs w:val="22"/>
          <w:lang w:eastAsia="ko-KR"/>
        </w:rPr>
        <w:t xml:space="preserve">Third, </w:t>
      </w:r>
      <w:r w:rsidRPr="00A3614E">
        <w:rPr>
          <w:color w:val="000000" w:themeColor="text1"/>
          <w:sz w:val="22"/>
          <w:szCs w:val="22"/>
        </w:rPr>
        <w:t xml:space="preserve">cross-country heterogeneity in model performance likely reflects structural differences in </w:t>
      </w:r>
      <w:r w:rsidRPr="00A3614E">
        <w:rPr>
          <w:rFonts w:eastAsiaTheme="minorEastAsia"/>
          <w:color w:val="000000" w:themeColor="text1"/>
          <w:sz w:val="22"/>
          <w:szCs w:val="22"/>
          <w:lang w:eastAsia="ko-KR"/>
        </w:rPr>
        <w:t>sequencing intensity, coverage, data continuity, reporting lags</w:t>
      </w:r>
      <w:r w:rsidRPr="00A3614E">
        <w:rPr>
          <w:color w:val="000000" w:themeColor="text1"/>
          <w:sz w:val="22"/>
          <w:szCs w:val="22"/>
        </w:rPr>
        <w:t>, as well as variation in public health interventions and epidemic baselines</w:t>
      </w:r>
      <w:r w:rsidRPr="00A3614E">
        <w:rPr>
          <w:rFonts w:eastAsiaTheme="minorEastAsia"/>
          <w:color w:val="000000" w:themeColor="text1"/>
          <w:sz w:val="22"/>
          <w:szCs w:val="22"/>
          <w:lang w:eastAsia="ko-KR"/>
        </w:rPr>
        <w:t xml:space="preserve">, which </w:t>
      </w:r>
      <w:r w:rsidRPr="00A3614E">
        <w:rPr>
          <w:color w:val="000000" w:themeColor="text1"/>
          <w:sz w:val="22"/>
          <w:szCs w:val="22"/>
        </w:rPr>
        <w:t>mediate how early growth signals translate into eventual dominance.</w:t>
      </w:r>
      <w:r w:rsidRPr="00A3614E">
        <w:rPr>
          <w:rFonts w:eastAsiaTheme="minorEastAsia"/>
          <w:color w:val="000000" w:themeColor="text1"/>
          <w:sz w:val="22"/>
          <w:szCs w:val="22"/>
          <w:lang w:eastAsia="ko-KR"/>
        </w:rPr>
        <w:t xml:space="preserve"> 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Pr="00A3614E">
        <w:rPr>
          <w:rFonts w:eastAsiaTheme="minorEastAsia"/>
          <w:color w:val="000000" w:themeColor="text1"/>
          <w:sz w:val="22"/>
          <w:szCs w:val="22"/>
        </w:rPr>
        <w:t xml:space="preserve"> </w:t>
      </w:r>
      <w:r w:rsidRPr="00A3614E">
        <w:rPr>
          <w:color w:val="000000" w:themeColor="text1"/>
          <w:sz w:val="22"/>
          <w:szCs w:val="22"/>
        </w:rPr>
        <w:t xml:space="preserve">Future studies could incorporate </w:t>
      </w:r>
      <w:r w:rsidRPr="00A3614E">
        <w:rPr>
          <w:rStyle w:val="Strong"/>
          <w:rFonts w:eastAsiaTheme="majorEastAsia"/>
          <w:b w:val="0"/>
          <w:bCs w:val="0"/>
          <w:color w:val="000000" w:themeColor="text1"/>
          <w:sz w:val="22"/>
          <w:szCs w:val="22"/>
        </w:rPr>
        <w:t>hierarchical or region-weighted model extensions</w:t>
      </w:r>
      <w:r w:rsidRPr="00A3614E">
        <w:rPr>
          <w:b/>
          <w:bCs/>
          <w:color w:val="000000" w:themeColor="text1"/>
          <w:sz w:val="22"/>
          <w:szCs w:val="22"/>
        </w:rPr>
        <w:t xml:space="preserve"> </w:t>
      </w:r>
      <w:r w:rsidRPr="00A3614E">
        <w:rPr>
          <w:color w:val="000000" w:themeColor="text1"/>
          <w:sz w:val="22"/>
          <w:szCs w:val="22"/>
        </w:rPr>
        <w:t xml:space="preserve">that account for </w:t>
      </w:r>
      <w:r w:rsidRPr="00A3614E">
        <w:rPr>
          <w:rFonts w:eastAsiaTheme="minorEastAsia"/>
          <w:color w:val="000000" w:themeColor="text1"/>
          <w:sz w:val="22"/>
          <w:szCs w:val="22"/>
          <w:lang w:eastAsia="ko-KR"/>
        </w:rPr>
        <w:t>sampling bias (</w:t>
      </w:r>
      <w:r w:rsidRPr="00A3614E">
        <w:rPr>
          <w:rStyle w:val="Strong"/>
          <w:rFonts w:eastAsiaTheme="majorEastAsia"/>
          <w:b w:val="0"/>
          <w:bCs w:val="0"/>
          <w:color w:val="000000" w:themeColor="text1"/>
          <w:sz w:val="22"/>
          <w:szCs w:val="22"/>
        </w:rPr>
        <w:t>country-specific detection delays</w:t>
      </w:r>
      <w:r w:rsidRPr="00A3614E">
        <w:rPr>
          <w:rStyle w:val="Strong"/>
          <w:rFonts w:eastAsiaTheme="majorEastAsia"/>
          <w:b w:val="0"/>
          <w:bCs w:val="0"/>
          <w:color w:val="000000" w:themeColor="text1"/>
          <w:sz w:val="22"/>
          <w:szCs w:val="22"/>
          <w:lang w:eastAsia="ko-KR"/>
        </w:rPr>
        <w:t xml:space="preserve">, </w:t>
      </w:r>
      <w:r w:rsidRPr="00A3614E">
        <w:rPr>
          <w:rStyle w:val="Strong"/>
          <w:rFonts w:eastAsiaTheme="majorEastAsia"/>
          <w:b w:val="0"/>
          <w:bCs w:val="0"/>
          <w:color w:val="000000" w:themeColor="text1"/>
          <w:sz w:val="22"/>
          <w:szCs w:val="22"/>
        </w:rPr>
        <w:t>surveillance cadence</w:t>
      </w:r>
      <w:r w:rsidRPr="00A3614E">
        <w:rPr>
          <w:rStyle w:val="Strong"/>
          <w:rFonts w:eastAsiaTheme="majorEastAsia"/>
          <w:b w:val="0"/>
          <w:bCs w:val="0"/>
          <w:color w:val="000000" w:themeColor="text1"/>
          <w:sz w:val="22"/>
          <w:szCs w:val="22"/>
          <w:lang w:eastAsia="ko-KR"/>
        </w:rPr>
        <w:t>)</w:t>
      </w:r>
      <w:r w:rsidRPr="00A3614E">
        <w:rPr>
          <w:b/>
          <w:bCs/>
          <w:color w:val="000000" w:themeColor="text1"/>
          <w:sz w:val="22"/>
          <w:szCs w:val="22"/>
        </w:rPr>
        <w:t xml:space="preserve"> </w:t>
      </w:r>
      <w:r w:rsidRPr="00A3614E">
        <w:rPr>
          <w:rFonts w:eastAsiaTheme="minorEastAsia"/>
          <w:color w:val="000000" w:themeColor="text1"/>
          <w:sz w:val="22"/>
          <w:szCs w:val="22"/>
          <w:lang w:eastAsia="ko-KR"/>
        </w:rPr>
        <w:t>and</w:t>
      </w:r>
      <w:r w:rsidRPr="00A3614E">
        <w:rPr>
          <w:rFonts w:eastAsiaTheme="minorEastAsia"/>
          <w:b/>
          <w:bCs/>
          <w:color w:val="000000" w:themeColor="text1"/>
          <w:sz w:val="22"/>
          <w:szCs w:val="22"/>
          <w:lang w:eastAsia="ko-KR"/>
        </w:rPr>
        <w:t xml:space="preserve"> </w:t>
      </w:r>
      <w:r w:rsidRPr="00A3614E">
        <w:rPr>
          <w:rStyle w:val="Strong"/>
          <w:rFonts w:eastAsiaTheme="majorEastAsia"/>
          <w:b w:val="0"/>
          <w:bCs w:val="0"/>
          <w:color w:val="000000" w:themeColor="text1"/>
          <w:sz w:val="22"/>
          <w:szCs w:val="22"/>
        </w:rPr>
        <w:t>evolving immunity landscapes</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{"citationID":"4zLRv2f4","properties":{"formattedCitation":"(13)","plainCitation":"(13)","noteIndex":0},"citationItems":[{"id":717,"uris":["http://zotero.org/users/14790911/items/ZZAARTDF"],"itemData":{"id":717,"type":"article","abstract":"Accurate,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Pr="00A3614E">
        <w:rPr>
          <w:rStyle w:val="Strong"/>
          <w:rFonts w:eastAsiaTheme="majorEastAsia"/>
          <w:b w:val="0"/>
          <w:bCs w:val="0"/>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(13)</w:t>
      </w:r>
      <w:r w:rsidRPr="00A3614E">
        <w:rPr>
          <w:rStyle w:val="Strong"/>
          <w:rFonts w:eastAsiaTheme="majorEastAsia"/>
          <w:b w:val="0"/>
          <w:bCs w:val="0"/>
          <w:color w:val="000000" w:themeColor="text1"/>
          <w:sz w:val="22"/>
          <w:szCs w:val="22"/>
        </w:rPr>
        <w:fldChar w:fldCharType="end"/>
      </w:r>
      <w:r w:rsidRPr="00A3614E">
        <w:rPr>
          <w:rFonts w:eastAsiaTheme="minorEastAsia"/>
          <w:b/>
          <w:bCs/>
          <w:color w:val="000000" w:themeColor="text1"/>
          <w:sz w:val="22"/>
          <w:szCs w:val="22"/>
          <w:lang w:eastAsia="ko-KR"/>
        </w:rPr>
        <w: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which drive much of the cross-country heterogeneity in forecasting performance. Such enhancements would further improve </w:t>
      </w:r>
      <w:r w:rsidRPr="00A3614E">
        <w:rPr>
          <w:rStyle w:val="Strong"/>
          <w:rFonts w:eastAsiaTheme="majorEastAsia"/>
          <w:b w:val="0"/>
          <w:bCs w:val="0"/>
          <w:color w:val="000000" w:themeColor="text1"/>
          <w:sz w:val="22"/>
          <w:szCs w:val="22"/>
        </w:rPr>
        <w:t>model generalizability and robustness to uneven data quality</w:t>
      </w:r>
      <w:r w:rsidRPr="00A3614E">
        <w:rPr>
          <w:b/>
          <w:bCs/>
          <w:color w:val="000000" w:themeColor="text1"/>
          <w:sz w:val="22"/>
          <w:szCs w:val="22"/>
        </w:rPr>
        <w:t>,</w:t>
      </w:r>
      <w:r w:rsidRPr="00A3614E">
        <w:rPr>
          <w:color w:val="000000" w:themeColor="text1"/>
          <w:sz w:val="22"/>
          <w:szCs w:val="22"/>
        </w:rPr>
        <w:t xml:space="preserve"> supporting the development of </w:t>
      </w:r>
      <w:r w:rsidRPr="00A3614E">
        <w:rPr>
          <w:rStyle w:val="Strong"/>
          <w:rFonts w:eastAsiaTheme="majorEastAsia"/>
          <w:b w:val="0"/>
          <w:bCs w:val="0"/>
          <w:color w:val="000000" w:themeColor="text1"/>
          <w:sz w:val="22"/>
          <w:szCs w:val="22"/>
        </w:rPr>
        <w:t>lightweight, scalable early-warning systems</w:t>
      </w:r>
      <w:r w:rsidRPr="00A3614E">
        <w:rPr>
          <w:color w:val="000000" w:themeColor="text1"/>
          <w:sz w:val="22"/>
          <w:szCs w:val="22"/>
        </w:rPr>
        <w:t xml:space="preserve"> for global genomic surveillance.</w:t>
      </w:r>
      <w:r w:rsidRPr="00A3614E">
        <w:rPr>
          <w:rFonts w:eastAsiaTheme="minorEastAsia"/>
          <w:color w:val="000000" w:themeColor="text1"/>
          <w:sz w:val="22"/>
          <w:szCs w:val="22"/>
          <w:lang w:eastAsia="ko-KR"/>
        </w:rPr>
        <w:t xml:space="preserve"> P</w:t>
      </w:r>
      <w:r w:rsidRPr="00A3614E">
        <w:rPr>
          <w:color w:val="000000" w:themeColor="text1"/>
          <w:sz w:val="22"/>
          <w:szCs w:val="22"/>
        </w:rPr>
        <w:t xml:space="preserve">andemic preparedness will require </w:t>
      </w:r>
      <w:r w:rsidRPr="00A3614E">
        <w:rPr>
          <w:rStyle w:val="Strong"/>
          <w:rFonts w:eastAsiaTheme="majorEastAsia"/>
          <w:b w:val="0"/>
          <w:bCs w:val="0"/>
          <w:color w:val="000000" w:themeColor="text1"/>
          <w:sz w:val="22"/>
          <w:szCs w:val="22"/>
        </w:rPr>
        <w:t>multi-strategic AI frameworks</w:t>
      </w:r>
      <w:r w:rsidRPr="00A3614E">
        <w:rPr>
          <w:color w:val="000000" w:themeColor="text1"/>
          <w:sz w:val="22"/>
          <w:szCs w:val="22"/>
        </w:rPr>
        <w:t xml:space="preserve"> </w:t>
      </w:r>
      <w:r w:rsidRPr="00A3614E">
        <w:rPr>
          <w:color w:val="000000" w:themeColor="text1"/>
          <w:sz w:val="22"/>
          <w:szCs w:val="22"/>
        </w:rPr>
        <w:lastRenderedPageBreak/>
        <w:t>combining genomic, immunological, and host data to anticipate immune escape, guide vaccine updates, and strengthen early-warning systems—while ensuring ethical governance to mitigate dual-use biosecurity risks</w:t>
      </w:r>
      <w:r w:rsidR="003B76D3">
        <w:rPr>
          <w:color w:val="000000" w:themeColor="text1"/>
          <w:sz w:val="22"/>
          <w:szCs w:val="22"/>
        </w:rPr>
        <w:t xml:space="preserve"> </w:t>
      </w:r>
      <w:r w:rsidR="008E0142">
        <w:rPr>
          <w:color w:val="000000" w:themeColor="text1"/>
          <w:sz w:val="22"/>
          <w:szCs w:val="22"/>
        </w:rPr>
        <w:fldChar w:fldCharType="begin"/>
      </w:r>
      <w:r w:rsidR="008E0142">
        <w:rPr>
          <w:color w:val="000000" w:themeColor="text1"/>
          <w:sz w:val="22"/>
          <w:szCs w:val="22"/>
        </w:rPr>
        <w:instrText xml:space="preserve"> ADDIN ZOTERO_ITEM CSL_CITATION {"citationID":"54ma82oG","properties":{"unsorted":false,"formattedCitation":"(5)","plainCitation":"(5)","noteIndex":0},"citationItems":[{"id":651,"uris":["http://zotero.org/users/14790911/items/GMTTX4TA"],"itemData":{"id":651,"type":"article-journal","abstract":"The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8E0142">
        <w:rPr>
          <w:color w:val="000000" w:themeColor="text1"/>
          <w:sz w:val="22"/>
          <w:szCs w:val="22"/>
        </w:rPr>
        <w:fldChar w:fldCharType="separate"/>
      </w:r>
      <w:r w:rsidR="008E0142">
        <w:rPr>
          <w:noProof/>
          <w:color w:val="000000" w:themeColor="text1"/>
          <w:sz w:val="22"/>
          <w:szCs w:val="22"/>
        </w:rPr>
        <w:t>(5)</w:t>
      </w:r>
      <w:r w:rsidR="008E0142">
        <w:rPr>
          <w:color w:val="000000" w:themeColor="text1"/>
          <w:sz w:val="22"/>
          <w:szCs w:val="22"/>
        </w:rPr>
        <w:fldChar w:fldCharType="end"/>
      </w:r>
      <w:r w:rsidRPr="00A3614E">
        <w:rPr>
          <w:color w:val="000000" w:themeColor="text1"/>
          <w:sz w:val="22"/>
          <w:szCs w:val="22"/>
        </w:rPr>
        <w:t>.</w:t>
      </w:r>
    </w:p>
    <w:p w14:paraId="2A0DFC54"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zh-CN"/>
        </w:rPr>
      </w:pPr>
    </w:p>
    <w:p w14:paraId="7595DBE8"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 which combines GLM, Elastic Net, and CART, 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 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7550C69C"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6E04416" w14:textId="77777777" w:rsidR="00980C22" w:rsidRPr="00A3614E" w:rsidRDefault="00980C22"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7B52A5D" w14:textId="1C31BA26" w:rsidR="00E6133D" w:rsidRPr="00A3614E" w:rsidRDefault="00E6133D" w:rsidP="00010D51">
      <w:pPr>
        <w:pBdr>
          <w:top w:val="nil"/>
          <w:left w:val="nil"/>
          <w:bottom w:val="nil"/>
          <w:right w:val="nil"/>
          <w:between w:val="nil"/>
        </w:pBdr>
        <w:spacing w:after="0"/>
        <w:contextualSpacing/>
        <w:rPr>
          <w:rFonts w:ascii="Times New Roman" w:hAnsi="Times New Roman" w:cs="Times New Roman"/>
          <w:color w:val="000000"/>
        </w:rPr>
      </w:pPr>
      <w:r w:rsidRPr="00A3614E">
        <w:rPr>
          <w:rFonts w:ascii="Times New Roman" w:hAnsi="Times New Roman" w:cs="Times New Roman"/>
          <w:b/>
          <w:color w:val="000000"/>
        </w:rPr>
        <w:t>Materials and Methods</w:t>
      </w:r>
    </w:p>
    <w:p w14:paraId="3C2712AB"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rPr>
      </w:pPr>
    </w:p>
    <w:p w14:paraId="05BA843C" w14:textId="598A0087" w:rsidR="00141AC3" w:rsidRPr="003126AD" w:rsidRDefault="00010D51" w:rsidP="000761EF">
      <w:pPr>
        <w:spacing w:after="0" w:line="276" w:lineRule="auto"/>
        <w:jc w:val="both"/>
        <w:rPr>
          <w:rFonts w:ascii="Times New Roman" w:eastAsia="Times New Roman" w:hAnsi="Times New Roman" w:cs="Times New Roman"/>
          <w:color w:val="0E0E0E"/>
          <w:sz w:val="21"/>
          <w:szCs w:val="21"/>
          <w:lang w:eastAsia="zh-CN"/>
        </w:rPr>
      </w:pPr>
      <w:r w:rsidRPr="003126AD">
        <w:rPr>
          <w:rFonts w:ascii="Times New Roman" w:hAnsi="Times New Roman" w:cs="Times New Roman"/>
          <w:b/>
          <w:bCs/>
          <w:color w:val="000000" w:themeColor="text1"/>
          <w:lang w:eastAsia="ko-KR"/>
        </w:rPr>
        <w:t xml:space="preserve">Data source. </w:t>
      </w:r>
      <w:r w:rsidRPr="003126AD">
        <w:rPr>
          <w:rFonts w:ascii="Times New Roman" w:hAnsi="Times New Roman" w:cs="Times New Roman"/>
          <w:color w:val="000000" w:themeColor="text1"/>
          <w:lang w:eastAsia="zh-CN"/>
        </w:rPr>
        <w:t xml:space="preserve">Genomic data for this study were obtained from </w:t>
      </w:r>
      <w:bookmarkStart w:id="3" w:name="_Hlk211879956"/>
      <w:r w:rsidRPr="003126AD">
        <w:rPr>
          <w:rFonts w:ascii="Times New Roman" w:hAnsi="Times New Roman" w:cs="Times New Roman"/>
          <w:color w:val="000000" w:themeColor="text1"/>
          <w:lang w:eastAsia="zh-CN"/>
        </w:rPr>
        <w:t xml:space="preserve">GISAID </w:t>
      </w:r>
      <w:bookmarkEnd w:id="3"/>
      <w:r w:rsidRPr="003126AD">
        <w:rPr>
          <w:rFonts w:ascii="Times New Roman" w:hAnsi="Times New Roman" w:cs="Times New Roman"/>
          <w:color w:val="000000" w:themeColor="text1"/>
          <w:lang w:eastAsia="zh-CN"/>
        </w:rPr>
        <w:t xml:space="preserve">(https://www.gisaid.org/) </w:t>
      </w:r>
      <w:r w:rsidRPr="003126AD">
        <w:rPr>
          <w:rFonts w:ascii="Times New Roman" w:hAnsi="Times New Roman" w:cs="Times New Roman"/>
          <w:color w:val="000000" w:themeColor="text1"/>
          <w:lang w:eastAsia="zh-CN"/>
        </w:rPr>
        <w:fldChar w:fldCharType="begin"/>
      </w:r>
      <w:r w:rsidR="008E0142">
        <w:rPr>
          <w:rFonts w:ascii="Times New Roman" w:hAnsi="Times New Roman" w:cs="Times New Roman"/>
          <w:color w:val="000000" w:themeColor="text1"/>
          <w:lang w:eastAsia="zh-CN"/>
        </w:rPr>
        <w:instrText xml:space="preserve"> ADDIN ZOTERO_ITEM CSL_CITATION {"citationID":"iLlcuKlh","properties":{"formattedCitation":"(14)","plainCitation":"(14)","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Pr="003126AD">
        <w:rPr>
          <w:rFonts w:ascii="Times New Roman" w:hAnsi="Times New Roman" w:cs="Times New Roman"/>
          <w:color w:val="000000" w:themeColor="text1"/>
          <w:lang w:eastAsia="zh-CN"/>
        </w:rPr>
        <w:fldChar w:fldCharType="separate"/>
      </w:r>
      <w:r w:rsidR="008E0142">
        <w:rPr>
          <w:rFonts w:ascii="Times New Roman" w:hAnsi="Times New Roman" w:cs="Times New Roman"/>
          <w:color w:val="000000" w:themeColor="text1"/>
          <w:lang w:eastAsia="ko-KR"/>
          <w14:ligatures w14:val="standardContextual"/>
        </w:rPr>
        <w:t>(14)</w:t>
      </w:r>
      <w:r w:rsidRPr="003126AD">
        <w:rPr>
          <w:rFonts w:ascii="Times New Roman" w:hAnsi="Times New Roman" w:cs="Times New Roman"/>
          <w:color w:val="000000" w:themeColor="text1"/>
          <w:lang w:eastAsia="zh-CN"/>
        </w:rPr>
        <w:fldChar w:fldCharType="end"/>
      </w:r>
      <w:r w:rsidRPr="003126AD">
        <w:rPr>
          <w:rFonts w:ascii="Times New Roman" w:hAnsi="Times New Roman" w:cs="Times New Roman"/>
          <w:color w:val="000000" w:themeColor="text1"/>
          <w:lang w:eastAsia="zh-CN"/>
        </w:rPr>
        <w:t>. Established in 2017 as the Global Initiative on Sharing All Influenza Data and later expanded with its EpiCoV repository to include SARS-CoV-2 sequences, GISAID now provides access to millions of viral genomes complete with collection dates, geographic origins and sequencing-platform metadata—</w:t>
      </w:r>
      <w:r w:rsidRPr="003126AD">
        <w:rPr>
          <w:rFonts w:ascii="Times New Roman" w:hAnsi="Times New Roman" w:cs="Times New Roman"/>
          <w:color w:val="000000" w:themeColor="text1"/>
          <w:shd w:val="clear" w:color="auto" w:fill="FFFFFF"/>
        </w:rPr>
        <w:t>enabling researchers worldwide to track the virus's evolution, transmission, and mutations. Since its launch in January 2020, GISAID has been regularly updated with submissions from various countries, showcasing collaborative efforts in combating the pandemic. Within this shared framework, viral evolution 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Pr="003126AD">
        <w:rPr>
          <w:rFonts w:ascii="Times New Roman" w:hAnsi="Times New Roman" w:cs="Times New Roman"/>
          <w:color w:val="000000" w:themeColor="text1"/>
          <w:shd w:val="clear" w:color="auto" w:fill="FFFFFF"/>
          <w:lang w:eastAsia="zh-CN"/>
        </w:rPr>
        <w:t xml:space="preserve"> </w:t>
      </w:r>
      <w:r w:rsidRPr="003126AD">
        <w:rPr>
          <w:rFonts w:ascii="Times New Roman" w:hAnsi="Times New Roman" w:cs="Times New Roman"/>
          <w:color w:val="000000" w:themeColor="text1"/>
          <w:lang w:eastAsia="zh-CN"/>
        </w:rPr>
        <w:t xml:space="preserve">Following the WHO/CDC-endorsed Pango lineage nomenclature, the classified lineages collectively comprise 14.3 million publicly available SARS-CoV-2 sequences reported across 223 countries as of September 9, 2024. To ensure broad and representative genomic coverage, we restricted our analysis to the 15 countries with the largest cumulative numbers of reported sequences, yielding a final dataset of 8.2 million sequences spanning 3,680 lineages, collected between December 2019 and September 2024. Among these countries, the United States contributed the largest number of sequences (4.6 million), whereas Austria contributed the fewest (0.2 million). </w:t>
      </w:r>
      <w:r w:rsidR="0061707B" w:rsidRPr="003126AD">
        <w:rPr>
          <w:rFonts w:ascii="Times New Roman" w:hAnsi="Times New Roman" w:cs="Times New Roman"/>
          <w:color w:val="000000" w:themeColor="text1"/>
          <w:lang w:eastAsia="zh-CN"/>
        </w:rPr>
        <w:t>Table 2 summarizes key descriptive statistics for the United States, the United Kingdom, and South Korea, including annual sequencing totals and the five most prevalent variants with their corresponding yearly proportions. Corresponding descriptive statistics for all 15 study countries are provided in Table S</w:t>
      </w:r>
      <w:r w:rsidR="0091501C">
        <w:rPr>
          <w:rFonts w:ascii="Times New Roman" w:hAnsi="Times New Roman" w:cs="Times New Roman"/>
          <w:color w:val="000000" w:themeColor="text1"/>
          <w:lang w:eastAsia="zh-CN"/>
        </w:rPr>
        <w:t>3</w:t>
      </w:r>
      <w:r w:rsidR="0061707B" w:rsidRPr="003126AD">
        <w:rPr>
          <w:rFonts w:ascii="Times New Roman" w:hAnsi="Times New Roman" w:cs="Times New Roman"/>
          <w:color w:val="000000" w:themeColor="text1"/>
          <w:lang w:eastAsia="zh-CN"/>
        </w:rPr>
        <w:t>.</w:t>
      </w:r>
      <w:r w:rsidR="00141AC3" w:rsidRPr="003126AD">
        <w:rPr>
          <w:rFonts w:ascii="Times New Roman" w:hAnsi="Times New Roman" w:cs="Times New Roman"/>
          <w:color w:val="0E0E0E"/>
          <w:sz w:val="21"/>
          <w:szCs w:val="21"/>
        </w:rPr>
        <w:t xml:space="preserve"> </w:t>
      </w:r>
      <w:r w:rsidR="00141AC3" w:rsidRPr="003126AD">
        <w:rPr>
          <w:rFonts w:ascii="Times New Roman" w:eastAsia="Times New Roman" w:hAnsi="Times New Roman" w:cs="Times New Roman"/>
          <w:color w:val="0E0E0E"/>
          <w:sz w:val="21"/>
          <w:szCs w:val="21"/>
          <w:lang w:eastAsia="zh-CN"/>
        </w:rPr>
        <w:t xml:space="preserve">Table 2 summarizes key descriptive statistics for the United States, the United Kingdom, and South Korea, including annual sequencing totals and the five most prevalent variants with their corresponding yearly proportions. </w:t>
      </w:r>
    </w:p>
    <w:p w14:paraId="36689ADA" w14:textId="5F6FB156" w:rsidR="00010D51" w:rsidRPr="00A3614E" w:rsidRDefault="00010D51" w:rsidP="000761EF">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5C6348C7" w14:textId="51559CCB" w:rsidR="00010D51" w:rsidRPr="00A3614E" w:rsidRDefault="00010D51" w:rsidP="000761EF">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pacing w:val="-10"/>
          <w:sz w:val="22"/>
          <w:szCs w:val="22"/>
          <w:lang w:eastAsia="ko-KR"/>
        </w:rPr>
        <w:t xml:space="preserve">Data processing. </w:t>
      </w:r>
      <w:r w:rsidRPr="00A3614E">
        <w:rPr>
          <w:rFonts w:eastAsiaTheme="minorEastAsia"/>
          <w:color w:val="000000" w:themeColor="text1"/>
          <w:sz w:val="22"/>
          <w:szCs w:val="22"/>
          <w:lang w:eastAsia="zh-CN"/>
        </w:rPr>
        <w:t xml:space="preserve">To ensure the reliability of national-level share estimates, we identified valid analytical periods for each country using sequencing coverage standards recommended by the World Health Organization </w:t>
      </w:r>
      <w:r w:rsidRPr="00A3614E">
        <w:rPr>
          <w:rFonts w:eastAsiaTheme="minorEastAsia"/>
          <w:color w:val="000000" w:themeColor="text1"/>
          <w:sz w:val="22"/>
          <w:szCs w:val="22"/>
          <w:lang w:eastAsia="zh-CN"/>
        </w:rPr>
        <w:fldChar w:fldCharType="begin"/>
      </w:r>
      <w:r w:rsidR="008E0142">
        <w:rPr>
          <w:rFonts w:eastAsiaTheme="minorEastAsia"/>
          <w:color w:val="000000" w:themeColor="text1"/>
          <w:sz w:val="22"/>
          <w:szCs w:val="22"/>
          <w:lang w:eastAsia="zh-CN"/>
        </w:rPr>
        <w:instrText xml:space="preserve"> ADDIN ZOTERO_ITEM CSL_CITATION {"citationID":"jXop7atp","properties":{"formattedCitation":"(15)","plainCitation":"(15)","noteIndex":0},"citationItems":[{"id":557,"uris":["http://zotero.org/users/14790911/items/UJVA5ASW"],"itemData":{"id":557,"type":"article-journal","abstract":"20 p.","language":"en","license":"CC BY-NC-SA 3.0 IGO","note":"Accepted: 2021-01-08T09:58:14Z\nnumber: WHO/2019-nCoV/genomic_sequencing/2021.1","publisher":"World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A3614E">
        <w:rPr>
          <w:rFonts w:eastAsiaTheme="minorEastAsia"/>
          <w:color w:val="000000" w:themeColor="text1"/>
          <w:sz w:val="22"/>
          <w:szCs w:val="22"/>
          <w:lang w:eastAsia="zh-CN"/>
        </w:rPr>
        <w:fldChar w:fldCharType="separate"/>
      </w:r>
      <w:r w:rsidR="008E0142">
        <w:rPr>
          <w:rFonts w:eastAsiaTheme="minorEastAsia"/>
          <w:noProof/>
          <w:color w:val="000000" w:themeColor="text1"/>
          <w:sz w:val="22"/>
          <w:szCs w:val="22"/>
          <w:lang w:eastAsia="zh-CN"/>
        </w:rPr>
        <w:t>(15)</w:t>
      </w:r>
      <w:r w:rsidRPr="00A3614E">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 xml:space="preserve">. A valid period was defined as a continuous stretch of at least three calendar weeks, each containing at least 100 sequences and at least four days with non-zero sampling. This criterion was designed to mitigate the substantial noise and bias introduced by sparse or irregular sampling, which has been shown to distort early growth estimates and peak prevalence inference, particularly in </w:t>
      </w:r>
      <w:r w:rsidRPr="00A3614E">
        <w:rPr>
          <w:rFonts w:eastAsiaTheme="minorEastAsia"/>
          <w:color w:val="000000" w:themeColor="text1"/>
          <w:sz w:val="22"/>
          <w:szCs w:val="22"/>
          <w:lang w:eastAsia="zh-CN"/>
        </w:rPr>
        <w:lastRenderedPageBreak/>
        <w:t>later pandemic phases characterized by slower, noisier, and more heterogeneous variant dynamics</w:t>
      </w:r>
      <w:r w:rsidR="00EB7B8C">
        <w:rPr>
          <w:rFonts w:eastAsiaTheme="minorEastAsia"/>
          <w:color w:val="000000" w:themeColor="text1"/>
          <w:sz w:val="22"/>
          <w:szCs w:val="22"/>
          <w:lang w:eastAsia="zh-CN"/>
        </w:rPr>
        <w:fldChar w:fldCharType="begin"/>
      </w:r>
      <w:r w:rsidR="00AA3F36">
        <w:rPr>
          <w:rFonts w:eastAsiaTheme="minorEastAsia"/>
          <w:color w:val="000000" w:themeColor="text1"/>
          <w:sz w:val="22"/>
          <w:szCs w:val="22"/>
          <w:lang w:eastAsia="zh-CN"/>
        </w:rPr>
        <w:instrText xml:space="preserve"> ADDIN ZOTERO_ITEM CSL_CITATION {"citationID":"TJIWGmy4","properties":{"unsorted":false,"formattedCitation":"(16,17)","plainCitation":"(16,17)","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resumes.","container-title":"Nature","DOI":"10.1038/s41586-021-03677-y","ISSN":"1476-4687","issue":"7869","journalAbbreviation":"Nature","language":"eng","page":"707-712","PMID":"34098568","source":"PubMed","title":"Spread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England)","DOI":"10.1093/bioinformatics/btab856","ISSN":"1367-4811","issue":"6","journalAbbreviation":"Bioinformatics","language":"eng","page":"1735-1737","PMID":"34954792","PMCID":"PMC8896605","source":"PubMed","title":"CoV-Spectrum: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EB7B8C">
        <w:rPr>
          <w:rFonts w:eastAsiaTheme="minorEastAsia"/>
          <w:color w:val="000000" w:themeColor="text1"/>
          <w:sz w:val="22"/>
          <w:szCs w:val="22"/>
          <w:lang w:eastAsia="zh-CN"/>
        </w:rPr>
        <w:fldChar w:fldCharType="separate"/>
      </w:r>
      <w:r w:rsidR="00AA3F36">
        <w:rPr>
          <w:rFonts w:eastAsiaTheme="minorEastAsia"/>
          <w:noProof/>
          <w:color w:val="000000" w:themeColor="text1"/>
          <w:sz w:val="22"/>
          <w:szCs w:val="22"/>
          <w:lang w:eastAsia="zh-CN"/>
        </w:rPr>
        <w:t>(16,17)</w:t>
      </w:r>
      <w:r w:rsidR="00EB7B8C">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w:t>
      </w:r>
      <w:r w:rsidRPr="00A3614E">
        <w:rPr>
          <w:rFonts w:eastAsiaTheme="minorEastAsia"/>
          <w:color w:val="000000" w:themeColor="text1"/>
          <w:sz w:val="22"/>
          <w:szCs w:val="22"/>
          <w:lang w:eastAsia="ko-KR"/>
        </w:rPr>
        <w:t xml:space="preserve"> </w:t>
      </w:r>
      <w:r w:rsidR="003126AD" w:rsidRPr="003126AD">
        <w:rPr>
          <w:rFonts w:eastAsiaTheme="minorEastAsia"/>
          <w:color w:val="000000" w:themeColor="text1"/>
          <w:sz w:val="22"/>
          <w:szCs w:val="22"/>
          <w:lang w:eastAsia="ko-KR"/>
        </w:rPr>
        <w:t>The resulting analytical periods for all countries are shown in Fi</w:t>
      </w:r>
      <w:r w:rsidR="003126AD">
        <w:rPr>
          <w:rFonts w:eastAsiaTheme="minorEastAsia"/>
          <w:color w:val="000000" w:themeColor="text1"/>
          <w:sz w:val="22"/>
          <w:szCs w:val="22"/>
          <w:lang w:eastAsia="ko-KR"/>
        </w:rPr>
        <w:t>gure</w:t>
      </w:r>
      <w:r w:rsidR="003126AD" w:rsidRPr="003126AD">
        <w:rPr>
          <w:rFonts w:eastAsiaTheme="minorEastAsia" w:hint="eastAsia"/>
          <w:color w:val="000000" w:themeColor="text1"/>
          <w:sz w:val="22"/>
          <w:szCs w:val="22"/>
          <w:lang w:eastAsia="zh-CN"/>
        </w:rPr>
        <w:t xml:space="preserve"> </w:t>
      </w:r>
      <w:r w:rsidR="003126AD" w:rsidRPr="003126AD">
        <w:rPr>
          <w:rFonts w:eastAsiaTheme="minorEastAsia"/>
          <w:color w:val="000000" w:themeColor="text1"/>
          <w:sz w:val="22"/>
          <w:szCs w:val="22"/>
          <w:lang w:eastAsia="ko-KR"/>
        </w:rPr>
        <w:t>S1.</w:t>
      </w:r>
      <w:r w:rsidR="003126AD">
        <w:rPr>
          <w:rFonts w:eastAsiaTheme="minorEastAsia" w:hint="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To reliably characterize fitness using early trajectory features, we retained only variant–country combinations fully observed within valid analytical periods. This criterion preserved 24,286 of 26,152 lineages (93%), ensuring that growth and peak prevalence estimates reflect consistent surveillance data rather than artifacts of intermittent sampling. </w:t>
      </w:r>
      <w:r w:rsidR="00BE6274" w:rsidRPr="00BE6274">
        <w:rPr>
          <w:rFonts w:eastAsiaTheme="minorEastAsia"/>
          <w:color w:val="000000" w:themeColor="text1"/>
          <w:sz w:val="22"/>
          <w:szCs w:val="22"/>
          <w:lang w:eastAsia="zh-CN"/>
        </w:rPr>
        <w:t>Variants excluded because they fell outside the defined analytical periods are shown in Fig</w:t>
      </w:r>
      <w:r w:rsidR="00BE6274">
        <w:rPr>
          <w:rFonts w:eastAsiaTheme="minorEastAsia"/>
          <w:color w:val="000000" w:themeColor="text1"/>
          <w:sz w:val="22"/>
          <w:szCs w:val="22"/>
          <w:lang w:eastAsia="zh-CN"/>
        </w:rPr>
        <w:t>ure</w:t>
      </w:r>
      <w:r w:rsidR="00BE6274" w:rsidRPr="00BE6274">
        <w:rPr>
          <w:rFonts w:eastAsiaTheme="minorEastAsia"/>
          <w:color w:val="000000" w:themeColor="text1"/>
          <w:sz w:val="22"/>
          <w:szCs w:val="22"/>
          <w:lang w:eastAsia="zh-CN"/>
        </w:rPr>
        <w:t xml:space="preserve"> S2, which displays, for each country, the six variants with the largest overall sample sizes.</w:t>
      </w:r>
      <w:r w:rsidR="00BE6274">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The overall data processing workflow, including data cleaning, phase-based variant grouping, analytical-period selection, and model data generation, is summarized in Figure </w:t>
      </w:r>
      <w:r w:rsidR="00F06DEB" w:rsidRPr="00A3614E">
        <w:rPr>
          <w:rFonts w:eastAsiaTheme="minorEastAsia"/>
          <w:color w:val="000000" w:themeColor="text1"/>
          <w:sz w:val="22"/>
          <w:szCs w:val="22"/>
          <w:lang w:eastAsia="ko-KR"/>
        </w:rPr>
        <w:t>4</w:t>
      </w:r>
      <w:r w:rsidRPr="00A3614E">
        <w:rPr>
          <w:rFonts w:eastAsiaTheme="minorEastAsia"/>
          <w:color w:val="000000" w:themeColor="text1"/>
          <w:sz w:val="22"/>
          <w:szCs w:val="22"/>
          <w:lang w:eastAsia="zh-CN"/>
        </w:rPr>
        <w:t>.</w:t>
      </w:r>
    </w:p>
    <w:p w14:paraId="67EBE570"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5FCDF026" w14:textId="77777777" w:rsidR="00010D51" w:rsidRPr="00A3614E" w:rsidRDefault="00010D51" w:rsidP="00010D51">
      <w:pPr>
        <w:pStyle w:val="p1"/>
        <w:spacing w:before="0" w:beforeAutospacing="0" w:after="0" w:afterAutospacing="0" w:line="276" w:lineRule="auto"/>
        <w:contextualSpacing/>
        <w:jc w:val="both"/>
        <w:rPr>
          <w:rFonts w:eastAsiaTheme="minorEastAsia"/>
          <w:color w:val="000000" w:themeColor="text1"/>
          <w:sz w:val="22"/>
          <w:szCs w:val="22"/>
          <w:lang w:eastAsia="ko-KR"/>
        </w:rPr>
      </w:pPr>
      <w:r w:rsidRPr="00A3614E">
        <w:rPr>
          <w:rFonts w:eastAsiaTheme="minorEastAsia"/>
          <w:b/>
          <w:bCs/>
          <w:color w:val="000000" w:themeColor="text1"/>
          <w:spacing w:val="-10"/>
          <w:sz w:val="22"/>
          <w:szCs w:val="22"/>
          <w:lang w:eastAsia="ko-KR"/>
        </w:rPr>
        <w:t>Variants grouping.</w:t>
      </w:r>
      <w:r w:rsidRPr="00A3614E">
        <w:rPr>
          <w:rFonts w:eastAsiaTheme="minorEastAsia"/>
          <w:color w:val="000000" w:themeColor="text1"/>
          <w:spacing w:val="-10"/>
          <w:sz w:val="22"/>
          <w:szCs w:val="22"/>
          <w:lang w:eastAsia="ko-KR"/>
        </w:rPr>
        <w:t xml:space="preserve"> </w:t>
      </w:r>
      <w:r w:rsidRPr="00A3614E">
        <w:rPr>
          <w:color w:val="000000" w:themeColor="text1"/>
          <w:sz w:val="22"/>
          <w:szCs w:val="22"/>
        </w:rPr>
        <w:t>We segmented the global epidemic into six lineage-specific periods aligned with WHO-recognized phases: pre-VOC (Dec 2019–Sep 2020), Alpha (Oct 2020–May 2021), Delta (Jun–Nov 2021), early Omicron BA.1/BA.2 (Dec 2021–May 2022), mid-Omicron BA.4/BA.5 (Jun–Dec 2022), and late Omicron XBB/JN (Jan 2023–Sep 2024). Within each period, we grouped SARS-CoV-2 lineages into variants using country- and period-specific aggregated case proportions rather than a single global threshold, allowing for substantial cross-country and temporal heterogeneity in genomic surveillance and competitive dynamics.</w:t>
      </w:r>
      <w:r w:rsidRPr="00A3614E">
        <w:rPr>
          <w:rFonts w:eastAsiaTheme="minorEastAsia"/>
          <w:color w:val="000000" w:themeColor="text1"/>
          <w:sz w:val="22"/>
          <w:szCs w:val="22"/>
          <w:lang w:eastAsia="ko-KR"/>
        </w:rPr>
        <w:t xml:space="preserve"> </w:t>
      </w:r>
      <w:r w:rsidRPr="00A3614E">
        <w:rPr>
          <w:color w:val="000000" w:themeColor="text1"/>
          <w:sz w:val="22"/>
          <w:szCs w:val="22"/>
        </w:rPr>
        <w:t>This approach reflects a fundamental shift in selective pressures over time. Early waves were dominated by transmissibility-driven selective sweeps, producing relatively consistent growth and replacement patterns across settings. In contrast, the Omicron era has been shaped by high and heterogeneous background immunity, frequent co-circulation of closely related lineages, and more constrained and variable peak shares. Applying a uniform global grouping rule across all countries and phases would conflate these distinct competitive regimes and systematically under-identify epidemiologically meaningful variants in later periods, where success often appears as moderate but sustained circulation rather than near-complete replacement.</w:t>
      </w:r>
    </w:p>
    <w:p w14:paraId="7A82C24F" w14:textId="77777777" w:rsidR="00010D51" w:rsidRPr="00A3614E" w:rsidRDefault="00010D51" w:rsidP="00010D51">
      <w:pPr>
        <w:pStyle w:val="p1"/>
        <w:spacing w:before="0" w:beforeAutospacing="0" w:after="0" w:afterAutospacing="0" w:line="276" w:lineRule="auto"/>
        <w:contextualSpacing/>
        <w:jc w:val="both"/>
        <w:rPr>
          <w:rFonts w:eastAsiaTheme="minorEastAsia"/>
          <w:color w:val="000000" w:themeColor="text1"/>
          <w:sz w:val="22"/>
          <w:szCs w:val="22"/>
          <w:lang w:eastAsia="ko-KR"/>
        </w:rPr>
      </w:pPr>
    </w:p>
    <w:p w14:paraId="05654F1B" w14:textId="2A90A3E1" w:rsidR="00010D51" w:rsidRPr="00A3614E" w:rsidRDefault="00010D51" w:rsidP="00010D51">
      <w:pPr>
        <w:pStyle w:val="BodyText"/>
        <w:spacing w:line="276" w:lineRule="auto"/>
        <w:ind w:left="0"/>
        <w:contextualSpacing/>
        <w:jc w:val="both"/>
        <w:rPr>
          <w:color w:val="000000" w:themeColor="text1"/>
          <w:sz w:val="22"/>
          <w:szCs w:val="22"/>
          <w:lang w:eastAsia="zh-CN"/>
        </w:rPr>
      </w:pPr>
      <w:r w:rsidRPr="00A3614E">
        <w:rPr>
          <w:color w:val="000000" w:themeColor="text1"/>
          <w:sz w:val="22"/>
          <w:szCs w:val="22"/>
          <w:lang w:eastAsia="zh-CN"/>
        </w:rPr>
        <w:t xml:space="preserve">Variant grouping was performed independently within each period. To obtain a global set of grouped variants across the whole study horizon, variant identities were subsequently aggregated across periods based on their unique lineage composition, such that each grouped variant was counted only once globally, even if it met the 1% threshold in multiple periods or countries. Across the six periods, this procedure yielded 1,040 distinct grouped variants, while all remaining low-frequency lineages were collectively assigned to the “others” category within each period. This classification consolidates highly granular lineage data into a tractable number of epidemiologically meaningful groups. Figure </w:t>
      </w:r>
      <w:r w:rsidR="00F06DEB" w:rsidRPr="00A3614E">
        <w:rPr>
          <w:rFonts w:eastAsiaTheme="minorEastAsia"/>
          <w:color w:val="000000" w:themeColor="text1"/>
          <w:sz w:val="22"/>
          <w:szCs w:val="22"/>
          <w:lang w:eastAsia="ko-KR"/>
        </w:rPr>
        <w:t>5</w:t>
      </w:r>
      <w:r w:rsidRPr="00A3614E">
        <w:rPr>
          <w:color w:val="000000" w:themeColor="text1"/>
          <w:sz w:val="22"/>
          <w:szCs w:val="22"/>
          <w:lang w:eastAsia="zh-CN"/>
        </w:rPr>
        <w:t xml:space="preserve"> illustrates the evolving landscape of</w:t>
      </w:r>
      <w:r w:rsidRPr="00A3614E">
        <w:rPr>
          <w:rFonts w:eastAsiaTheme="minorEastAsia"/>
          <w:color w:val="000000" w:themeColor="text1"/>
          <w:sz w:val="22"/>
          <w:szCs w:val="22"/>
          <w:lang w:eastAsia="ko-KR"/>
        </w:rPr>
        <w:t xml:space="preserve"> grouped</w:t>
      </w:r>
      <w:r w:rsidRPr="00A3614E">
        <w:rPr>
          <w:color w:val="000000" w:themeColor="text1"/>
          <w:sz w:val="22"/>
          <w:szCs w:val="22"/>
          <w:lang w:eastAsia="zh-CN"/>
        </w:rPr>
        <w:t xml:space="preserve"> SARS-CoV-2 variants in the United States, the United Kingdom, and South Korea.</w:t>
      </w:r>
    </w:p>
    <w:p w14:paraId="4A8EB7DB" w14:textId="77777777" w:rsidR="00010D51" w:rsidRPr="00A3614E" w:rsidRDefault="00010D51" w:rsidP="00010D51">
      <w:pPr>
        <w:pStyle w:val="BodyText"/>
        <w:spacing w:line="276" w:lineRule="auto"/>
        <w:ind w:left="0"/>
        <w:contextualSpacing/>
        <w:jc w:val="both"/>
        <w:rPr>
          <w:rFonts w:eastAsiaTheme="minorEastAsia"/>
          <w:b/>
          <w:bCs/>
          <w:color w:val="000000" w:themeColor="text1"/>
          <w:spacing w:val="-10"/>
          <w:lang w:eastAsia="zh-CN"/>
        </w:rPr>
      </w:pPr>
    </w:p>
    <w:p w14:paraId="603032E9" w14:textId="6A7501FF" w:rsidR="00010D51" w:rsidRPr="00A3614E" w:rsidRDefault="00010D51" w:rsidP="00010D51">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pacing w:val="-10"/>
          <w:sz w:val="22"/>
          <w:szCs w:val="22"/>
          <w:lang w:eastAsia="ko-KR"/>
        </w:rPr>
        <w:t>Outcome measures.</w:t>
      </w:r>
      <w:r w:rsidRPr="00A3614E">
        <w:rPr>
          <w:rFonts w:eastAsiaTheme="minorEastAsia"/>
          <w:color w:val="000000" w:themeColor="text1"/>
          <w:spacing w:val="-10"/>
          <w:sz w:val="22"/>
          <w:szCs w:val="22"/>
          <w:lang w:eastAsia="ko-KR"/>
        </w:rPr>
        <w:t xml:space="preserve"> </w:t>
      </w:r>
      <w:r w:rsidRPr="00A3614E">
        <w:rPr>
          <w:color w:val="000000" w:themeColor="text1"/>
          <w:sz w:val="22"/>
          <w:szCs w:val="22"/>
          <w:lang w:eastAsia="zh-CN"/>
        </w:rPr>
        <w:t xml:space="preserve">We examine whether early growth patterns of SARS-CoV-2 variants—captured by their initial national-level share trajectories—forecast two outcomes: the weekly maximum domestic share (peak) and the number of days (duration) a variant maintains a domestic share above 10% </w:t>
      </w:r>
      <w:r w:rsidRPr="00A3614E">
        <w:rPr>
          <w:color w:val="000000" w:themeColor="text1"/>
          <w:sz w:val="22"/>
          <w:szCs w:val="22"/>
          <w:lang w:eastAsia="zh-CN"/>
        </w:rPr>
        <w:fldChar w:fldCharType="begin"/>
      </w:r>
      <w:r w:rsidR="00AA3F36">
        <w:rPr>
          <w:color w:val="000000" w:themeColor="text1"/>
          <w:sz w:val="22"/>
          <w:szCs w:val="22"/>
          <w:lang w:eastAsia="zh-CN"/>
        </w:rPr>
        <w:instrText xml:space="preserve"> ADDIN ZOTERO_ITEM CSL_CITATION {"citationID":"ZS5Ngnw7","properties":{"formattedCitation":"(18)","plainCitation":"(18)","noteIndex":0},"citationItems":[{"id":666,"uris":["http://zotero.org/users/14790911/items/WYKM6EPU"],"itemData":{"id":666,"type":"article-journal","abstract":"Understanding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rates.","container-title":"Science","DOI":"10.1126/science.abj0113","issue":"6557","page":"889-895","publisher":"American Association for the Advancement of Science","source":"science.org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Pr="00A3614E">
        <w:rPr>
          <w:color w:val="000000" w:themeColor="text1"/>
          <w:sz w:val="22"/>
          <w:szCs w:val="22"/>
          <w:lang w:eastAsia="zh-CN"/>
        </w:rPr>
        <w:fldChar w:fldCharType="separate"/>
      </w:r>
      <w:r w:rsidR="00AA3F36">
        <w:rPr>
          <w:rFonts w:eastAsiaTheme="minorEastAsia"/>
          <w:color w:val="000000" w:themeColor="text1"/>
          <w:sz w:val="22"/>
          <w:szCs w:val="22"/>
          <w:lang w:eastAsia="ko-KR"/>
          <w14:ligatures w14:val="standardContextual"/>
        </w:rPr>
        <w:t>(18)</w:t>
      </w:r>
      <w:r w:rsidRPr="00A3614E">
        <w:rPr>
          <w:color w:val="000000" w:themeColor="text1"/>
          <w:sz w:val="22"/>
          <w:szCs w:val="22"/>
          <w:lang w:eastAsia="zh-CN"/>
        </w:rPr>
        <w:fldChar w:fldCharType="end"/>
      </w:r>
      <w:r w:rsidRPr="00A3614E">
        <w:rPr>
          <w:color w:val="000000" w:themeColor="text1"/>
          <w:sz w:val="22"/>
          <w:szCs w:val="22"/>
          <w:lang w:eastAsia="zh-CN"/>
        </w:rPr>
        <w:t>. Both outcomes are discretized into categorical levels for the primary analyses to facilitate robust comparison across variants and countries.</w:t>
      </w:r>
      <w:r w:rsidRPr="00A3614E">
        <w:rPr>
          <w:rFonts w:eastAsiaTheme="minorEastAsia"/>
          <w:color w:val="000000" w:themeColor="text1"/>
          <w:sz w:val="22"/>
          <w:szCs w:val="22"/>
          <w:lang w:eastAsia="ko-KR"/>
        </w:rPr>
        <w:t xml:space="preserve"> These two measures better capture a variant’s competitive strength and epidemiological relevance than cumulative share–based metrics, which can be inflated by prolonged low-level circulation.</w:t>
      </w:r>
      <w:r w:rsidRPr="00A3614E">
        <w:rPr>
          <w:rFonts w:eastAsiaTheme="minorEastAsia"/>
          <w:color w:val="000000" w:themeColor="text1"/>
          <w:sz w:val="22"/>
          <w:szCs w:val="22"/>
          <w:lang w:eastAsia="zh-CN"/>
        </w:rPr>
        <w:t xml:space="preserve"> </w:t>
      </w:r>
      <w:r w:rsidRPr="00A3614E">
        <w:rPr>
          <w:color w:val="000000" w:themeColor="text1"/>
          <w:sz w:val="22"/>
          <w:szCs w:val="22"/>
          <w:lang w:eastAsia="zh-CN"/>
        </w:rPr>
        <w:t>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{"citationID":"GNUzl4z0","properties":{"formattedCitation":"(19)","plainCitation":"(19)","noteIndex":0},"citationItems":[{"id":584,"uris":["http://zotero.org/users/14790911/items/KGB6LWRM"],"itemData":{"id":584,"type":"article-journal","abstract":"The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number.","container-title":"Nature","DOI":"10.1038/s41586-021-03470-x","ISSN":"1476-4687","issue":"7858","journalAbbreviation":"Nature","language":"eng","page":"266-269","PMID":"33767447","source":"PubMed","title":"Assessing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(19)</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0-9%, 10–19%, and ≥20%.  The category thresholds were informed by the empirical distribution of peak share, with cut points guided by the observed interquartile range. A &gt;20% domestic share was considered dominant, as high background immunity and multi-lineage competition in the post-Omicron era constrain peak prevalence, making such levels indicative of a clear competitive advantage. Given that values exceeding 20% fall within the extreme upper tail of the distribution, this uppermost category is interpreted as representing high-peak, or dominant, variants. Similarly, the empirical distribution of duration is highly skewed, with nearly one-third of variants never exceeding </w:t>
      </w:r>
      <w:r w:rsidRPr="00A3614E">
        <w:rPr>
          <w:noProof/>
          <w:color w:val="000000" w:themeColor="text1"/>
          <w:sz w:val="22"/>
          <w:szCs w:val="22"/>
          <w:lang w:eastAsia="zh-CN"/>
        </w:rPr>
        <w:lastRenderedPageBreak/>
        <w:t xml:space="preserve">the 10% threshold for more than 30 days. Using duration as a continuous outcome would therefore place disproportionate weight on a small number of long-lasting variants and yield unstable estimates for the majority of low-duration observations. To reduce sensitivity to extreme values while preserving epidemiologically meaningful distinctions in persistence, duration was discretized into three ordinal categories: 0–29, 30–99, and ≥100 days </w:t>
      </w:r>
      <w:bookmarkStart w:id="4" w:name="OLE_LINK1"/>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{"citationID":"pUwyokq3","properties":{"formattedCitation":"(20)","plainCitation":"(20)","noteIndex":0},"citationItems":[{"id":668,"uris":["http://zotero.org/users/14790911/items/KSTMV3Y7"],"itemData":{"id":668,"type":"article-journal","abstract":"The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(20)</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t>
      </w:r>
    </w:p>
    <w:p w14:paraId="341DF321" w14:textId="77777777" w:rsidR="00010D51" w:rsidRPr="00A3614E" w:rsidRDefault="00010D51" w:rsidP="00010D51">
      <w:pPr>
        <w:pStyle w:val="BodyText"/>
        <w:spacing w:line="276" w:lineRule="auto"/>
        <w:ind w:left="0"/>
        <w:contextualSpacing/>
        <w:jc w:val="both"/>
        <w:rPr>
          <w:noProof/>
          <w:color w:val="000000" w:themeColor="text1"/>
          <w:sz w:val="22"/>
          <w:szCs w:val="22"/>
          <w:lang w:eastAsia="zh-CN"/>
        </w:rPr>
      </w:pPr>
    </w:p>
    <w:p w14:paraId="7C0514B2" w14:textId="784070C6" w:rsidR="00010D51" w:rsidRPr="00A3614E" w:rsidRDefault="00010D51" w:rsidP="00010D51">
      <w:pPr>
        <w:pStyle w:val="BodyText"/>
        <w:spacing w:line="276" w:lineRule="auto"/>
        <w:ind w:left="0"/>
        <w:contextualSpacing/>
        <w:jc w:val="both"/>
        <w:rPr>
          <w:noProof/>
          <w:color w:val="000000" w:themeColor="text1"/>
          <w:sz w:val="22"/>
          <w:szCs w:val="22"/>
          <w:lang w:eastAsia="zh-CN"/>
        </w:rPr>
      </w:pPr>
      <w:r w:rsidRPr="00A3614E">
        <w:rPr>
          <w:b/>
          <w:bCs/>
          <w:noProof/>
          <w:color w:val="000000" w:themeColor="text1"/>
          <w:sz w:val="22"/>
          <w:szCs w:val="22"/>
          <w:lang w:eastAsia="zh-CN"/>
        </w:rPr>
        <w:t>Predictive features.</w:t>
      </w:r>
      <w:r w:rsidRPr="00A3614E">
        <w:rPr>
          <w:noProof/>
          <w:color w:val="000000" w:themeColor="text1"/>
          <w:sz w:val="22"/>
          <w:szCs w:val="22"/>
          <w:lang w:eastAsia="zh-CN"/>
        </w:rPr>
        <w:t xml:space="preserve"> The start point of the initial period was defined as the first time the variants reached a 1% share in their respective countries. This threshold was selected to mark a reproducible surveillance-relevant onset, at which variant detection is sufficiently stable to support reliable estimation of early growth dynamics. From this point, we considered a different set of observation periods from 14 to 28 days. </w:t>
      </w:r>
      <w:bookmarkEnd w:id="4"/>
      <w:r w:rsidRPr="00A3614E">
        <w:rPr>
          <w:noProof/>
          <w:color w:val="000000" w:themeColor="text1"/>
          <w:sz w:val="22"/>
          <w:szCs w:val="22"/>
          <w:lang w:eastAsia="zh-CN"/>
        </w:rPr>
        <w:t xml:space="preserve">From these early share sequences, we then constructed two complementary sets of predictors. 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early-stage share trajectories using base R functions and custom routines. The second set was drawn from the </w:t>
      </w:r>
      <w:r w:rsidRPr="00A3614E">
        <w:rPr>
          <w:i/>
          <w:iCs/>
          <w:noProof/>
          <w:color w:val="000000" w:themeColor="text1"/>
          <w:sz w:val="22"/>
          <w:szCs w:val="22"/>
          <w:lang w:eastAsia="zh-CN"/>
        </w:rPr>
        <w:t>catch22</w:t>
      </w:r>
      <w:r w:rsidRPr="00A3614E">
        <w:rPr>
          <w:noProof/>
          <w:color w:val="000000" w:themeColor="text1"/>
          <w:sz w:val="22"/>
          <w:szCs w:val="22"/>
          <w:lang w:eastAsia="zh-CN"/>
        </w:rPr>
        <w:t xml:space="preserve"> library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{"citationID":"LTPOurYT","properties":{"formattedCitation":"(21)","plainCitation":"(21)","noteIndex":0},"citationItems":[{"id":675,"uris":["http://zotero.org/users/14790911/items/XRTMXHDS"],"itemData":{"id":675,"type":"article","abstract":"Capturing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(21)</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accessed via the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package, which provides 22 minimally redundant descriptors of time-series structure such as entropy, fluctuation scaling, and motif frequency. The catch22 features are computationally efficient, robust to short and noisy sequences, and broadly applicable without parameter tuning, which can capture the heterogeneit</w:t>
      </w:r>
      <w:r w:rsidRPr="00A3614E">
        <w:rPr>
          <w:rFonts w:eastAsiaTheme="minorEastAsia"/>
          <w:noProof/>
          <w:color w:val="000000" w:themeColor="text1"/>
          <w:sz w:val="22"/>
          <w:szCs w:val="22"/>
          <w:lang w:eastAsia="ko-KR"/>
        </w:rPr>
        <w:t xml:space="preserve">y </w:t>
      </w:r>
      <w:r w:rsidRPr="00A3614E">
        <w:rPr>
          <w:noProof/>
          <w:color w:val="000000" w:themeColor="text1"/>
          <w:sz w:val="22"/>
          <w:szCs w:val="22"/>
          <w:lang w:eastAsia="zh-CN"/>
        </w:rPr>
        <w:t xml:space="preserve">of early trajectories. By combining interpretable, domain-informed measures with standardized machine-learning–oriented descriptors, this approach balances epidemiological interpretability with statistical power and enhances generalizability across diverse variant profiles. Together, these features quantify each trajectory’s level, variability, early acceleration, and persistence, providing a rich basis for downstream prediction of peak share and time to dominance. </w:t>
      </w:r>
      <w:bookmarkStart w:id="5" w:name="OLE_LINK2"/>
      <w:r w:rsidRPr="00A3614E">
        <w:rPr>
          <w:noProof/>
          <w:color w:val="000000" w:themeColor="text1"/>
          <w:sz w:val="22"/>
          <w:szCs w:val="22"/>
          <w:lang w:eastAsia="zh-CN"/>
        </w:rPr>
        <w:t>The specific feature set was derived following established frameworks for interpretable time-series feature extraction and prior applications to SARS-CoV-2 variant growth.</w:t>
      </w:r>
      <w:r w:rsidR="001A1AF4">
        <w:rPr>
          <w:rFonts w:hint="eastAsia"/>
          <w:noProof/>
          <w:color w:val="000000" w:themeColor="text1"/>
          <w:sz w:val="22"/>
          <w:szCs w:val="22"/>
          <w:lang w:eastAsia="zh-CN"/>
        </w:rPr>
        <w:t xml:space="preserve"> </w:t>
      </w:r>
      <w:r w:rsidR="001A1AF4" w:rsidRPr="001A1AF4">
        <w:rPr>
          <w:noProof/>
          <w:color w:val="000000" w:themeColor="text1"/>
          <w:sz w:val="22"/>
          <w:szCs w:val="22"/>
          <w:lang w:eastAsia="zh-CN"/>
        </w:rPr>
        <w:t xml:space="preserve">Abbreviations and detailed definitions for all hand-crafted epidemiological features and </w:t>
      </w:r>
      <w:r w:rsidR="001A1AF4" w:rsidRPr="00A3614E">
        <w:rPr>
          <w:i/>
          <w:iCs/>
          <w:noProof/>
          <w:color w:val="000000" w:themeColor="text1"/>
          <w:sz w:val="22"/>
          <w:szCs w:val="22"/>
          <w:lang w:eastAsia="zh-CN"/>
        </w:rPr>
        <w:t>Rcatch22</w:t>
      </w:r>
      <w:r w:rsidR="001A1AF4" w:rsidRPr="00A3614E">
        <w:rPr>
          <w:noProof/>
          <w:color w:val="000000" w:themeColor="text1"/>
          <w:sz w:val="22"/>
          <w:szCs w:val="22"/>
          <w:lang w:eastAsia="zh-CN"/>
        </w:rPr>
        <w:t xml:space="preserve"> </w:t>
      </w:r>
      <w:r w:rsidR="001A1AF4" w:rsidRPr="001A1AF4">
        <w:rPr>
          <w:noProof/>
          <w:color w:val="000000" w:themeColor="text1"/>
          <w:sz w:val="22"/>
          <w:szCs w:val="22"/>
          <w:lang w:eastAsia="zh-CN"/>
        </w:rPr>
        <w:t>-based features are provided in Table S</w:t>
      </w:r>
      <w:r w:rsidR="00E517EB">
        <w:rPr>
          <w:rFonts w:hint="eastAsia"/>
          <w:noProof/>
          <w:color w:val="000000" w:themeColor="text1"/>
          <w:sz w:val="22"/>
          <w:szCs w:val="22"/>
          <w:lang w:eastAsia="zh-CN"/>
        </w:rPr>
        <w:t>4</w:t>
      </w:r>
      <w:r w:rsidR="001A1AF4" w:rsidRPr="001A1AF4">
        <w:rPr>
          <w:noProof/>
          <w:color w:val="000000" w:themeColor="text1"/>
          <w:sz w:val="22"/>
          <w:szCs w:val="22"/>
          <w:lang w:eastAsia="zh-CN"/>
        </w:rPr>
        <w:t>.</w:t>
      </w:r>
    </w:p>
    <w:bookmarkEnd w:id="5"/>
    <w:p w14:paraId="69F7FD74" w14:textId="77777777" w:rsidR="00010D51" w:rsidRPr="00A3614E" w:rsidRDefault="00010D51" w:rsidP="00010D51">
      <w:pPr>
        <w:pStyle w:val="BodyText"/>
        <w:spacing w:line="276" w:lineRule="auto"/>
        <w:ind w:left="0"/>
        <w:contextualSpacing/>
        <w:jc w:val="both"/>
        <w:rPr>
          <w:noProof/>
          <w:color w:val="000000" w:themeColor="text1"/>
          <w:sz w:val="22"/>
          <w:szCs w:val="22"/>
          <w:lang w:eastAsia="zh-CN"/>
        </w:rPr>
      </w:pPr>
    </w:p>
    <w:p w14:paraId="69C330AB" w14:textId="41254800" w:rsidR="00010D51" w:rsidRPr="00A3614E" w:rsidRDefault="00010D51" w:rsidP="00010D51">
      <w:pPr>
        <w:pStyle w:val="BodyText"/>
        <w:spacing w:line="276" w:lineRule="auto"/>
        <w:ind w:left="0"/>
        <w:contextualSpacing/>
        <w:jc w:val="both"/>
        <w:rPr>
          <w:rFonts w:eastAsiaTheme="minorEastAsia"/>
          <w:noProof/>
          <w:color w:val="000000" w:themeColor="text1"/>
          <w:sz w:val="22"/>
          <w:szCs w:val="22"/>
          <w:lang w:eastAsia="ko-KR"/>
        </w:rPr>
      </w:pPr>
      <w:r w:rsidRPr="00A3614E">
        <w:rPr>
          <w:b/>
          <w:bCs/>
          <w:noProof/>
          <w:color w:val="000000" w:themeColor="text1"/>
          <w:sz w:val="22"/>
          <w:szCs w:val="22"/>
          <w:lang w:eastAsia="zh-CN"/>
        </w:rPr>
        <w:t xml:space="preserve">Prediction </w:t>
      </w:r>
      <w:r w:rsidRPr="00A3614E">
        <w:rPr>
          <w:rFonts w:eastAsiaTheme="minorEastAsia"/>
          <w:b/>
          <w:bCs/>
          <w:noProof/>
          <w:color w:val="000000" w:themeColor="text1"/>
          <w:sz w:val="22"/>
          <w:szCs w:val="22"/>
          <w:lang w:eastAsia="ko-KR"/>
        </w:rPr>
        <w:t>m</w:t>
      </w:r>
      <w:r w:rsidRPr="00A3614E">
        <w:rPr>
          <w:b/>
          <w:bCs/>
          <w:noProof/>
          <w:color w:val="000000" w:themeColor="text1"/>
          <w:sz w:val="22"/>
          <w:szCs w:val="22"/>
          <w:lang w:eastAsia="zh-CN"/>
        </w:rPr>
        <w:t>odel.</w:t>
      </w:r>
      <w:r w:rsidRPr="00A3614E">
        <w:rPr>
          <w:noProof/>
          <w:color w:val="000000" w:themeColor="text1"/>
          <w:sz w:val="22"/>
          <w:szCs w:val="22"/>
          <w:lang w:eastAsia="zh-CN"/>
        </w:rPr>
        <w:t xml:space="preserve"> We employed a diverse set of machine learning regressors suited for heterogeneous temporal data. These included generalized linear models</w:t>
      </w:r>
      <w:r w:rsidR="005D3DA6">
        <w:rPr>
          <w:noProof/>
          <w:color w:val="000000" w:themeColor="text1"/>
          <w:sz w:val="22"/>
          <w:szCs w:val="22"/>
          <w:lang w:eastAsia="zh-CN"/>
        </w:rPr>
        <w:t xml:space="preserve"> </w:t>
      </w:r>
      <w:r w:rsidR="005D3DA6">
        <w:rPr>
          <w:noProof/>
          <w:color w:val="000000" w:themeColor="text1"/>
          <w:sz w:val="22"/>
          <w:szCs w:val="22"/>
          <w:lang w:eastAsia="zh-CN"/>
        </w:rPr>
        <w:fldChar w:fldCharType="begin"/>
      </w:r>
      <w:r w:rsidR="005D3DA6">
        <w:rPr>
          <w:noProof/>
          <w:color w:val="000000" w:themeColor="text1"/>
          <w:sz w:val="22"/>
          <w:szCs w:val="22"/>
          <w:lang w:eastAsia="zh-CN"/>
        </w:rPr>
        <w:instrText xml:space="preserve"> ADDIN ZOTERO_ITEM CSL_CITATION {"citationID":"dthtcN8j","properties":{"unsorted":false,"formattedCitation":"(22)","plainCitation":"(22)","noteIndex":0},"citationItems":[{"id":753,"uris":["http://zotero.org/users/14790911/items/TKZG2EHL"],"itemData":{"id":753,"type":"article-journal","container-title":"European Journal of Operational Research","DOI":"10.1016/0377-2217(84)90282-0","ISSN":"0377-2217","issue":"3","journalAbbreviation":"European Journal of Operational Research","page":"285-292","source":"ScienceDirect","title":"Generalized linear models","volume":"16","author":[{"family":"McCullagh","given":"Peter"}],"issued":{"date-parts":[["1984",6,1]]}}}],"schema":"https://github.com/citation-style-language/schema/raw/master/csl-citation.json"} </w:instrText>
      </w:r>
      <w:r w:rsidR="005D3DA6">
        <w:rPr>
          <w:noProof/>
          <w:color w:val="000000" w:themeColor="text1"/>
          <w:sz w:val="22"/>
          <w:szCs w:val="22"/>
          <w:lang w:eastAsia="zh-CN"/>
        </w:rPr>
        <w:fldChar w:fldCharType="separate"/>
      </w:r>
      <w:r w:rsidR="005D3DA6">
        <w:rPr>
          <w:noProof/>
          <w:color w:val="000000" w:themeColor="text1"/>
          <w:sz w:val="22"/>
          <w:szCs w:val="22"/>
          <w:lang w:eastAsia="zh-CN"/>
        </w:rPr>
        <w:t>(22)</w:t>
      </w:r>
      <w:r w:rsidR="005D3DA6">
        <w:rPr>
          <w:noProof/>
          <w:color w:val="000000" w:themeColor="text1"/>
          <w:sz w:val="22"/>
          <w:szCs w:val="22"/>
          <w:lang w:eastAsia="zh-CN"/>
        </w:rPr>
        <w:fldChar w:fldCharType="end"/>
      </w:r>
      <w:r w:rsidRPr="00A3614E">
        <w:rPr>
          <w:noProof/>
          <w:color w:val="000000" w:themeColor="text1"/>
          <w:sz w:val="22"/>
          <w:szCs w:val="22"/>
          <w:lang w:eastAsia="zh-CN"/>
        </w:rPr>
        <w:t xml:space="preserve">, generalized additive models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{"citationID":"mzPY9HkX","properties":{"formattedCitation":"(23)","plainCitation":"(23)","noteIndex":0},"citationItems":[{"id":680,"uris":["http://zotero.org/users/14790911/items/X9DJR6CV"],"itemData":{"id":680,"type":"book","abstract":"The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(23)</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regularized methods such as Elastic Net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{"citationID":"itiD2tqB","properties":{"formattedCitation":"(24)","plainCitation":"(24)","noteIndex":0},"citationItems":[{"id":682,"uris":["http://zotero.org/users/14790911/items/E553XU9C"],"itemData":{"id":682,"type":"article-journal","container-title":"Journal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(24)</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kernel-based models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{"citationID":"THj8fjO8","properties":{"formattedCitation":"(25)","plainCitation":"(25)","noteIndex":0},"citationItems":[{"id":685,"uris":["http://zotero.org/users/14790911/items/BNEHXB7W"],"itemData":{"id":685,"type":"article-journal","abstract":"Thesupport-vector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(25)</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neural networks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{"citationID":"gng0NXA3","properties":{"formattedCitation":"(26)","plainCitation":"(26)","noteIndex":0},"citationItems":[{"id":689,"uris":["http://zotero.org/users/14790911/items/QGS4UJQJ"],"itemData":{"id":689,"type":"book","abstract":"This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non-specialists.","DOI":"10.1017/CBO9780511812651","ISBN":"978-0-521-71770-0","publisher":"Cambridge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(26)</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and tree-based approaches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{"citationID":"oVtFUsyH","properties":{"formattedCitation":"(27)","plainCitation":"(27)","noteIndex":0},"citationItems":[{"id":692,"uris":["http://zotero.org/users/14790911/items/9VMQ7P87"],"itemData":{"id":692,"type":"book","abstract":"The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properties.","DOI":"10.1201/9781315139470","ISBN":"978-1-315-13947-0","number-of-pages":"368","publisher":"Chapman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(27)</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We further applied the SuperLearner R package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{"citationID":"7Sh4JDjn","properties":{"formattedCitation":"(28)","plainCitation":"(28)","noteIndex":0},"citationItems":[{"id":693,"uris":["http://zotero.org/users/14790911/items/4CKSSF5E"],"itemData":{"id":693,"type":"article-journal","container-title":"U.C.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(28)</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 ensemble learning framework that optimally combines multiple algorithms. Specifically, we applied a SuperLearner ensemble to balance interpretability, flexibility, and regularization, which pools complementary models—CART for nonlinear patterns, GLM for main effects, and Elastic Net for correlated predictors—through cross-validated stacking to approximate the optimal weighted combination. By jointly borrowing strength across countries and feature sets, the approach stabilizes variant fitness estimates and reduces noise in data-sparse settings. Variant share trajectories are inherently dependent, as they are derived from relative proportions and observed longitudinally over time. This dependence is explicitly acknowledged and is compatible with the predictive focus of the analysis, which does not rely on independence assumptions required for formal statistical </w:t>
      </w:r>
      <w:r w:rsidR="002E6E64">
        <w:rPr>
          <w:noProof/>
          <w:color w:val="000000" w:themeColor="text1"/>
          <w:sz w:val="22"/>
          <w:szCs w:val="22"/>
          <w:lang w:eastAsia="zh-CN"/>
        </w:rPr>
        <w:t>inference</w:t>
      </w:r>
      <w:r w:rsidRPr="00A3614E">
        <w:rPr>
          <w:noProof/>
          <w:color w:val="000000" w:themeColor="text1"/>
          <w:sz w:val="22"/>
          <w:szCs w:val="22"/>
          <w:lang w:eastAsia="zh-CN"/>
        </w:rPr>
        <w:t xml:space="preserve">. Variants were randomly partitioned into training (50%) and test (50%) sets across all countries and epidemic periods. Model hyperparameters were optimized within the training set using five-fold cross-validation, with fold-averaged accuracy and macro-F1 used as selection criteria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{"citationID":"mxjRb4hx","properties":{"unsorted":false,"formattedCitation":"(29)","plainCitation":"(29)","noteIndex":0},"citationItems":[{"id":750,"uris":["http://zotero.org/users/14790911/items/7MNH8R7G"],"itemData":{"id":750,"type":"article-journal","abstract":"This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(29)</w:t>
      </w:r>
      <w:r w:rsidRPr="00A3614E">
        <w:rPr>
          <w:noProof/>
          <w:color w:val="000000" w:themeColor="text1"/>
          <w:sz w:val="22"/>
          <w:szCs w:val="22"/>
          <w:lang w:eastAsia="zh-CN"/>
        </w:rPr>
        <w:fldChar w:fldCharType="end"/>
      </w:r>
      <w:r w:rsidRPr="00A3614E">
        <w:rPr>
          <w:noProof/>
          <w:color w:val="000000" w:themeColor="text1"/>
          <w:sz w:val="22"/>
          <w:szCs w:val="22"/>
          <w:lang w:eastAsia="zh-CN"/>
        </w:rPr>
        <w:t>. Final model performance was evaluated on the independent test set, which was not involved in model fitting or tuning.</w:t>
      </w:r>
    </w:p>
    <w:p w14:paraId="3F8B7AAF" w14:textId="77777777" w:rsidR="00004672" w:rsidRPr="00A3614E" w:rsidRDefault="00004672" w:rsidP="00010D51">
      <w:pPr>
        <w:pStyle w:val="BodyText"/>
        <w:spacing w:line="276" w:lineRule="auto"/>
        <w:ind w:left="0"/>
        <w:contextualSpacing/>
        <w:jc w:val="both"/>
        <w:rPr>
          <w:rFonts w:eastAsiaTheme="minorEastAsia"/>
          <w:noProof/>
          <w:color w:val="000000" w:themeColor="text1"/>
          <w:sz w:val="22"/>
          <w:szCs w:val="22"/>
          <w:lang w:eastAsia="ko-KR"/>
        </w:rPr>
      </w:pPr>
    </w:p>
    <w:p w14:paraId="002EEEAF" w14:textId="14B76D94" w:rsidR="00010D51" w:rsidRPr="00A3614E" w:rsidRDefault="00004672" w:rsidP="00010D51">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z w:val="22"/>
          <w:szCs w:val="22"/>
          <w:lang w:eastAsia="ko-KR"/>
        </w:rPr>
        <w:t>Evaluation of model performance and interpretation</w:t>
      </w:r>
      <w:r w:rsidRPr="00A3614E">
        <w:rPr>
          <w:rFonts w:eastAsiaTheme="minorEastAsia"/>
          <w:color w:val="000000" w:themeColor="text1"/>
          <w:sz w:val="22"/>
          <w:szCs w:val="22"/>
          <w:lang w:eastAsia="ko-KR"/>
        </w:rPr>
        <w:t>.</w:t>
      </w:r>
      <w:r w:rsidRPr="00A3614E">
        <w:rPr>
          <w:color w:val="000000" w:themeColor="text1"/>
          <w:sz w:val="22"/>
          <w:szCs w:val="22"/>
          <w:lang w:eastAsia="zh-CN"/>
        </w:rPr>
        <w:t xml:space="preserve"> For the categorical outcomes of weekly peak share and dominance duration, we report out-of-sample overall accuracy and macro-F1, evaluated on the held-out test set. Accuracy summarizes the proportion of correctly classified variants, while macro-F1 equally weights precision and recall across classes to account for class imbalance</w:t>
      </w:r>
      <w:r w:rsidR="00097129">
        <w:rPr>
          <w:color w:val="000000" w:themeColor="text1"/>
          <w:sz w:val="22"/>
          <w:szCs w:val="22"/>
          <w:lang w:eastAsia="zh-CN"/>
        </w:rPr>
        <w:t xml:space="preserve"> </w:t>
      </w:r>
      <w:r w:rsidR="00097129">
        <w:rPr>
          <w:color w:val="000000" w:themeColor="text1"/>
          <w:sz w:val="22"/>
          <w:szCs w:val="22"/>
          <w:lang w:eastAsia="zh-CN"/>
        </w:rPr>
        <w:fldChar w:fldCharType="begin"/>
      </w:r>
      <w:r w:rsidR="00E521EF">
        <w:rPr>
          <w:color w:val="000000" w:themeColor="text1"/>
          <w:sz w:val="22"/>
          <w:szCs w:val="22"/>
          <w:lang w:eastAsia="zh-CN"/>
        </w:rPr>
        <w:instrText xml:space="preserve"> ADDIN ZOTERO_ITEM CSL_CITATION {"citationID":"nJwnyv2Q","properties":{"unsorted":false,"formattedCitation":"(29)","plainCitation":"(29)","noteIndex":0},"citationItems":[{"id":750,"uris":["http://zotero.org/users/14790911/items/7MNH8R7G"],"itemData":{"id":750,"type":"article-journal","abstract":"This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097129">
        <w:rPr>
          <w:color w:val="000000" w:themeColor="text1"/>
          <w:sz w:val="22"/>
          <w:szCs w:val="22"/>
          <w:lang w:eastAsia="zh-CN"/>
        </w:rPr>
        <w:fldChar w:fldCharType="separate"/>
      </w:r>
      <w:r w:rsidR="00E521EF">
        <w:rPr>
          <w:noProof/>
          <w:color w:val="000000" w:themeColor="text1"/>
          <w:sz w:val="22"/>
          <w:szCs w:val="22"/>
          <w:lang w:eastAsia="zh-CN"/>
        </w:rPr>
        <w:t>(29)</w:t>
      </w:r>
      <w:r w:rsidR="00097129">
        <w:rPr>
          <w:color w:val="000000" w:themeColor="text1"/>
          <w:sz w:val="22"/>
          <w:szCs w:val="22"/>
          <w:lang w:eastAsia="zh-CN"/>
        </w:rPr>
        <w:fldChar w:fldCharType="end"/>
      </w:r>
      <w:r w:rsidRPr="00A3614E">
        <w:rPr>
          <w:color w:val="000000" w:themeColor="text1"/>
          <w:sz w:val="22"/>
          <w:szCs w:val="22"/>
          <w:lang w:eastAsia="zh-CN"/>
        </w:rPr>
        <w:t xml:space="preserve">. Classification decision thresholds and model hyperparameters were selected within the training set via cross-validation and then fixed for evaluation on the test set. To further interpret model behavior, we applied variable importance analysis and SHAP decomposition </w:t>
      </w:r>
      <w:r w:rsidRPr="00A3614E">
        <w:rPr>
          <w:color w:val="000000" w:themeColor="text1"/>
          <w:sz w:val="22"/>
          <w:szCs w:val="22"/>
          <w:lang w:eastAsia="zh-CN"/>
        </w:rPr>
        <w:fldChar w:fldCharType="begin"/>
      </w:r>
      <w:r w:rsidR="00E521EF">
        <w:rPr>
          <w:color w:val="000000" w:themeColor="text1"/>
          <w:sz w:val="22"/>
          <w:szCs w:val="22"/>
          <w:lang w:eastAsia="zh-CN"/>
        </w:rPr>
        <w:instrText xml:space="preserve"> ADDIN ZOTERO_ITEM CSL_CITATION {"citationID":"99x8lwSH","properties":{"formattedCitation":"(30)","plainCitation":"(30)","noteIndex":0},"citationItems":[{"id":700,"uris":["http://zotero.org/users/14790911/items/YVFQ8PHQ"],"itemData":{"id":700,"type":"article","abstract":"Understanding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Pr="00A3614E">
        <w:rPr>
          <w:color w:val="000000" w:themeColor="text1"/>
          <w:sz w:val="22"/>
          <w:szCs w:val="22"/>
          <w:lang w:eastAsia="zh-CN"/>
        </w:rPr>
        <w:fldChar w:fldCharType="separate"/>
      </w:r>
      <w:r w:rsidR="00E521EF">
        <w:rPr>
          <w:rFonts w:eastAsiaTheme="minorEastAsia"/>
          <w:color w:val="000000"/>
          <w:sz w:val="22"/>
          <w:szCs w:val="22"/>
          <w:lang w:eastAsia="ko-KR"/>
          <w14:ligatures w14:val="standardContextual"/>
        </w:rPr>
        <w:t>(30)</w:t>
      </w:r>
      <w:r w:rsidRPr="00A3614E">
        <w:rPr>
          <w:color w:val="000000" w:themeColor="text1"/>
          <w:sz w:val="22"/>
          <w:szCs w:val="22"/>
          <w:lang w:eastAsia="zh-CN"/>
        </w:rPr>
        <w:fldChar w:fldCharType="end"/>
      </w:r>
      <w:r w:rsidRPr="00A3614E">
        <w:rPr>
          <w:color w:val="000000" w:themeColor="text1"/>
          <w:sz w:val="22"/>
          <w:szCs w:val="22"/>
          <w:lang w:eastAsia="zh-CN"/>
        </w:rPr>
        <w:t xml:space="preserve">, which together identify key predictors and quantify their contributions at both global and local levels. The entire workflow, from feature extraction to model fitting, evaluation, and interpretation, is summarized in Figure </w:t>
      </w:r>
      <w:r w:rsidRPr="00A3614E">
        <w:rPr>
          <w:rFonts w:eastAsiaTheme="minorEastAsia"/>
          <w:color w:val="000000" w:themeColor="text1"/>
          <w:sz w:val="22"/>
          <w:szCs w:val="22"/>
          <w:lang w:eastAsia="ko-KR"/>
        </w:rPr>
        <w:t>6</w:t>
      </w:r>
      <w:r w:rsidRPr="00A3614E">
        <w:rPr>
          <w:color w:val="000000" w:themeColor="text1"/>
          <w:sz w:val="22"/>
          <w:szCs w:val="22"/>
          <w:lang w:eastAsia="zh-CN"/>
        </w:rPr>
        <w:t>.</w:t>
      </w:r>
      <w:r w:rsidR="00B05BB8">
        <w:rPr>
          <w:color w:val="000000" w:themeColor="text1"/>
          <w:sz w:val="22"/>
          <w:szCs w:val="22"/>
          <w:lang w:eastAsia="zh-CN"/>
        </w:rPr>
        <w:t xml:space="preserve"> </w:t>
      </w:r>
      <w:r w:rsidR="00B05BB8" w:rsidRPr="00B05BB8">
        <w:rPr>
          <w:color w:val="000000" w:themeColor="text1"/>
          <w:sz w:val="22"/>
          <w:szCs w:val="22"/>
          <w:lang w:eastAsia="zh-CN"/>
        </w:rPr>
        <w:t xml:space="preserve">Variants that never exceeded the 1% detection threshold, as well as variants that had already </w:t>
      </w:r>
      <w:r w:rsidR="00B05BB8" w:rsidRPr="00B05BB8">
        <w:rPr>
          <w:color w:val="000000" w:themeColor="text1"/>
          <w:sz w:val="22"/>
          <w:szCs w:val="22"/>
          <w:lang w:eastAsia="zh-CN"/>
        </w:rPr>
        <w:lastRenderedPageBreak/>
        <w:t>exceeded a 20% share at the start of the initial window, were excluded from model fitting because they do not contain informative early-stage dynamics. Details of excluded variants are listed in Table S</w:t>
      </w:r>
      <w:r w:rsidR="00E517EB">
        <w:rPr>
          <w:rFonts w:hint="eastAsia"/>
          <w:color w:val="000000" w:themeColor="text1"/>
          <w:sz w:val="22"/>
          <w:szCs w:val="22"/>
          <w:lang w:eastAsia="zh-CN"/>
        </w:rPr>
        <w:t>5</w:t>
      </w:r>
      <w:r w:rsidR="00B05BB8" w:rsidRPr="00B05BB8">
        <w:rPr>
          <w:color w:val="000000" w:themeColor="text1"/>
          <w:sz w:val="22"/>
          <w:szCs w:val="22"/>
          <w:lang w:eastAsia="zh-CN"/>
        </w:rPr>
        <w:t>.</w:t>
      </w:r>
      <w:r w:rsidR="00B05BB8">
        <w:rPr>
          <w:color w:val="000000" w:themeColor="text1"/>
          <w:sz w:val="22"/>
          <w:szCs w:val="22"/>
          <w:lang w:eastAsia="zh-CN"/>
        </w:rPr>
        <w:t xml:space="preserve"> </w:t>
      </w:r>
    </w:p>
    <w:p w14:paraId="2B69C891"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2140C003" w14:textId="45094FC8"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zh-CN"/>
        </w:rPr>
        <w:t>Data and Code Availability</w:t>
      </w:r>
      <w:r w:rsidR="00BC62D3" w:rsidRPr="00A3614E">
        <w:rPr>
          <w:rFonts w:eastAsiaTheme="minorEastAsia"/>
          <w:b/>
          <w:bCs/>
          <w:color w:val="000000" w:themeColor="text1"/>
          <w:sz w:val="22"/>
          <w:szCs w:val="22"/>
          <w:lang w:eastAsia="ko-KR"/>
        </w:rPr>
        <w:t xml:space="preserve">: </w:t>
      </w:r>
      <w:r w:rsidRPr="00A3614E">
        <w:rPr>
          <w:rFonts w:eastAsiaTheme="minorEastAsia"/>
          <w:color w:val="000000" w:themeColor="text1"/>
          <w:sz w:val="22"/>
          <w:szCs w:val="22"/>
          <w:lang w:eastAsia="zh-CN"/>
        </w:rPr>
        <w:t>All analysis code and processed data used in this study are publicly available at:</w:t>
      </w:r>
    </w:p>
    <w:p w14:paraId="4C130177"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https://github.com/UConn-Health-Disease-Modeling/2025_Variants_Prediction.git</w:t>
      </w:r>
    </w:p>
    <w:p w14:paraId="102C0BEC"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p>
    <w:p w14:paraId="6B3E2171" w14:textId="57195ED2" w:rsidR="00010D51" w:rsidRDefault="00010D51" w:rsidP="00BC62D3">
      <w:pPr>
        <w:pStyle w:val="BodyText"/>
        <w:spacing w:line="276" w:lineRule="auto"/>
        <w:ind w:left="0"/>
        <w:jc w:val="both"/>
        <w:rPr>
          <w:rFonts w:eastAsiaTheme="minorEastAsia"/>
          <w:color w:val="000000" w:themeColor="text1"/>
          <w:sz w:val="22"/>
          <w:szCs w:val="22"/>
        </w:rPr>
      </w:pPr>
      <w:r w:rsidRPr="00A3614E">
        <w:rPr>
          <w:rFonts w:eastAsiaTheme="minorEastAsia"/>
          <w:b/>
          <w:bCs/>
          <w:color w:val="000000" w:themeColor="text1"/>
          <w:sz w:val="22"/>
          <w:szCs w:val="22"/>
          <w:lang w:eastAsia="zh-CN"/>
        </w:rPr>
        <w:t>Funding</w:t>
      </w:r>
      <w:r w:rsidR="00BC62D3" w:rsidRPr="00A3614E">
        <w:rPr>
          <w:rFonts w:eastAsiaTheme="minorEastAsia"/>
          <w:b/>
          <w:bCs/>
          <w:color w:val="000000" w:themeColor="text1"/>
          <w:sz w:val="22"/>
          <w:szCs w:val="22"/>
          <w:lang w:eastAsia="ko-KR"/>
        </w:rPr>
        <w:t xml:space="preserve">: </w:t>
      </w:r>
      <w:r w:rsidRPr="00A3614E">
        <w:rPr>
          <w:rFonts w:eastAsia="Malgun Gothic"/>
          <w:sz w:val="22"/>
          <w:szCs w:val="22"/>
        </w:rPr>
        <w:t>This research was supported by a grant of the Korea Disease Control and Prevention Agency (KDCA), Republic of Korea (grant number: 2025-03-002)</w:t>
      </w:r>
      <w:r w:rsidRPr="00A3614E">
        <w:rPr>
          <w:rFonts w:eastAsia="Malgun Gothic"/>
          <w:sz w:val="22"/>
          <w:szCs w:val="22"/>
          <w:lang w:eastAsia="ko-KR"/>
        </w:rPr>
        <w:t xml:space="preserve"> and New Faculty Startup Fund from UConn Health (grant number 208069-10100-72525-10)</w:t>
      </w:r>
      <w:r w:rsidRPr="00A3614E">
        <w:rPr>
          <w:rFonts w:eastAsia="Malgun Gothic"/>
          <w:sz w:val="22"/>
          <w:szCs w:val="22"/>
        </w:rPr>
        <w:t>.</w:t>
      </w:r>
      <w:r w:rsidRPr="00A3614E">
        <w:rPr>
          <w:rFonts w:eastAsia="Malgun Gothic"/>
          <w:sz w:val="22"/>
          <w:szCs w:val="22"/>
          <w:lang w:eastAsia="ko-KR"/>
        </w:rPr>
        <w:t xml:space="preserve"> </w:t>
      </w:r>
      <w:r w:rsidRPr="00A3614E">
        <w:rPr>
          <w:rFonts w:eastAsiaTheme="minorEastAsia"/>
          <w:color w:val="000000" w:themeColor="text1"/>
          <w:sz w:val="22"/>
          <w:szCs w:val="22"/>
        </w:rPr>
        <w:t>The funders had no role in study design, data collection and analysis, decision to publish, or preparation of the manuscript.</w:t>
      </w:r>
    </w:p>
    <w:p w14:paraId="747151CF" w14:textId="77777777" w:rsidR="000761EF" w:rsidRDefault="000761EF" w:rsidP="00BC62D3">
      <w:pPr>
        <w:pStyle w:val="BodyText"/>
        <w:spacing w:line="276" w:lineRule="auto"/>
        <w:ind w:left="0"/>
        <w:jc w:val="both"/>
        <w:rPr>
          <w:rFonts w:eastAsiaTheme="minorEastAsia"/>
          <w:color w:val="000000" w:themeColor="text1"/>
          <w:sz w:val="22"/>
          <w:szCs w:val="22"/>
        </w:rPr>
      </w:pPr>
    </w:p>
    <w:p w14:paraId="7EBA677C" w14:textId="77777777" w:rsidR="00010D51" w:rsidRDefault="00010D51" w:rsidP="00010D51">
      <w:pPr>
        <w:pStyle w:val="BodyText"/>
        <w:spacing w:line="276" w:lineRule="auto"/>
        <w:ind w:left="0"/>
        <w:jc w:val="both"/>
        <w:rPr>
          <w:rFonts w:eastAsiaTheme="minorEastAsia"/>
          <w:b/>
          <w:bCs/>
          <w:color w:val="000000" w:themeColor="text1"/>
          <w:lang w:eastAsia="ko-KR"/>
        </w:rPr>
      </w:pPr>
      <w:r w:rsidRPr="00A3614E">
        <w:rPr>
          <w:rFonts w:eastAsiaTheme="minorEastAsia"/>
          <w:b/>
          <w:bCs/>
          <w:color w:val="000000" w:themeColor="text1"/>
          <w:lang w:eastAsia="ko-KR"/>
        </w:rPr>
        <w:t>References</w:t>
      </w:r>
    </w:p>
    <w:p w14:paraId="0D720F21" w14:textId="77777777" w:rsidR="00AB428D" w:rsidRPr="00A3614E" w:rsidRDefault="00AB428D" w:rsidP="00010D51">
      <w:pPr>
        <w:pStyle w:val="BodyText"/>
        <w:spacing w:line="276" w:lineRule="auto"/>
        <w:ind w:left="0"/>
        <w:jc w:val="both"/>
        <w:rPr>
          <w:rFonts w:eastAsiaTheme="minorEastAsia"/>
          <w:b/>
          <w:bCs/>
          <w:color w:val="000000" w:themeColor="text1"/>
          <w:lang w:eastAsia="ko-KR"/>
        </w:rPr>
      </w:pPr>
    </w:p>
    <w:bookmarkStart w:id="6" w:name="_Hlk221745633"/>
    <w:p w14:paraId="4E898585" w14:textId="77777777" w:rsidR="00AF51C0" w:rsidRPr="00AF51C0" w:rsidRDefault="00010D51" w:rsidP="00AF51C0">
      <w:pPr>
        <w:pStyle w:val="Bibliography"/>
      </w:pPr>
      <w:r w:rsidRPr="00A3614E">
        <w:rPr>
          <w:color w:val="000000" w:themeColor="text1"/>
        </w:rPr>
        <w:fldChar w:fldCharType="begin"/>
      </w:r>
      <w:r w:rsidR="00AF51C0">
        <w:rPr>
          <w:color w:val="000000" w:themeColor="text1"/>
        </w:rPr>
        <w:instrText xml:space="preserve"> ADDIN ZOTERO_BIBL {"uncited":[],"omitted":[],"custom":[]} CSL_BIBLIOGRAPHY </w:instrText>
      </w:r>
      <w:r w:rsidRPr="00A3614E">
        <w:rPr>
          <w:color w:val="000000" w:themeColor="text1"/>
        </w:rPr>
        <w:fldChar w:fldCharType="separate"/>
      </w:r>
      <w:r w:rsidR="00AF51C0" w:rsidRPr="00AF51C0">
        <w:t>1.</w:t>
      </w:r>
      <w:r w:rsidR="00AF51C0" w:rsidRPr="00AF51C0">
        <w:tab/>
        <w:t xml:space="preserve">Harvey WT, Carabelli AM, Jackson B, Gupta RK, Thomson EC, Harrison EM, et al. SARS-CoV-2 variants, spike mutations and immune escape. Nat Rev Microbiol. 2021 Jul;19(7):409–24. </w:t>
      </w:r>
    </w:p>
    <w:p w14:paraId="0CD4156A" w14:textId="77777777" w:rsidR="00AF51C0" w:rsidRPr="00AF51C0" w:rsidRDefault="00AF51C0" w:rsidP="00AF51C0">
      <w:pPr>
        <w:pStyle w:val="Bibliography"/>
      </w:pPr>
      <w:r w:rsidRPr="00AF51C0">
        <w:t>2.</w:t>
      </w:r>
      <w:r w:rsidRPr="00AF51C0">
        <w:tab/>
        <w:t>Tracking SARS-CoV-2 variants [Internet]. [cited 2025 Oct 20]. Available from: https://www.who.int/activities/tracking-SARS-CoV-2-variants</w:t>
      </w:r>
    </w:p>
    <w:p w14:paraId="3F462BAB" w14:textId="77777777" w:rsidR="00AF51C0" w:rsidRPr="00AF51C0" w:rsidRDefault="00AF51C0" w:rsidP="00AF51C0">
      <w:pPr>
        <w:pStyle w:val="Bibliography"/>
      </w:pPr>
      <w:r w:rsidRPr="00AF51C0">
        <w:t>3.</w:t>
      </w:r>
      <w:r w:rsidRPr="00AF51C0">
        <w:tab/>
        <w:t>CDC. COVID-19. 2025 [cited 2025 Oct 20]. CDC’s Role in Tracking Variants. Available from: https://www.cdc.gov/covid/php/variants/index.html</w:t>
      </w:r>
    </w:p>
    <w:p w14:paraId="020626C0" w14:textId="77777777" w:rsidR="00AF51C0" w:rsidRPr="00AF51C0" w:rsidRDefault="00AF51C0" w:rsidP="00AF51C0">
      <w:pPr>
        <w:pStyle w:val="Bibliography"/>
      </w:pPr>
      <w:r w:rsidRPr="00AF51C0">
        <w:t>4.</w:t>
      </w:r>
      <w:r w:rsidRPr="00AF51C0">
        <w:tab/>
        <w:t xml:space="preserve">Brito AF, Semenova E, Dudas G, Hassler GW, Kalinich CC, Kraemer MUG, et al. Global disparities in SARS-CoV-2 genomic surveillance. Nat Commun. 2022 Nov 16;13(1):7003. </w:t>
      </w:r>
    </w:p>
    <w:p w14:paraId="41094F3E" w14:textId="77777777" w:rsidR="00AF51C0" w:rsidRPr="00AF51C0" w:rsidRDefault="00AF51C0" w:rsidP="00AF51C0">
      <w:pPr>
        <w:pStyle w:val="Bibliography"/>
      </w:pPr>
      <w:r w:rsidRPr="00AF51C0">
        <w:t>5.</w:t>
      </w:r>
      <w:r w:rsidRPr="00AF51C0">
        <w:tab/>
        <w:t xml:space="preserve">Chowell G, Skums P. Investigating and forecasting infectious disease dynamics using epidemiological and molecular surveillance data. Phys Life Rev. 2024 Dec 1;51:294–327. </w:t>
      </w:r>
    </w:p>
    <w:p w14:paraId="1D31DFE9" w14:textId="77777777" w:rsidR="00AF51C0" w:rsidRPr="00AF51C0" w:rsidRDefault="00AF51C0" w:rsidP="00AF51C0">
      <w:pPr>
        <w:pStyle w:val="Bibliography"/>
      </w:pPr>
      <w:r w:rsidRPr="00AF51C0">
        <w:t>6.</w:t>
      </w:r>
      <w:r w:rsidRPr="00AF51C0">
        <w:tab/>
        <w:t xml:space="preserve">Hamelin DJ, Scicluna M, Saadie I, Mostefai F, Grenier JC, Baron C, et al. Predicting pathogen evolution and immune evasion in the age of artificial intelligence. Comput Struct Biotechnol J. 2025 Jan 1;27:1370–82. </w:t>
      </w:r>
    </w:p>
    <w:p w14:paraId="1D67A4B8" w14:textId="77777777" w:rsidR="00AF51C0" w:rsidRPr="00AF51C0" w:rsidRDefault="00AF51C0" w:rsidP="00AF51C0">
      <w:pPr>
        <w:pStyle w:val="Bibliography"/>
      </w:pPr>
      <w:r w:rsidRPr="00AF51C0">
        <w:t>7.</w:t>
      </w:r>
      <w:r w:rsidRPr="00AF51C0">
        <w:tab/>
        <w:t xml:space="preserve">Obermeyer F, Jankowiak M, Barkas N, Schaffner SF, Pyle JD, Yurkovetskiy L, et al. Analysis of 6.4 million SARS-CoV-2 genomes identifies mutations associated with fitness. Science. 2022 Jun 17;376(6599):1327–32. </w:t>
      </w:r>
    </w:p>
    <w:p w14:paraId="2C26EDBA" w14:textId="77777777" w:rsidR="00AF51C0" w:rsidRPr="00AF51C0" w:rsidRDefault="00AF51C0" w:rsidP="00AF51C0">
      <w:pPr>
        <w:pStyle w:val="Bibliography"/>
      </w:pPr>
      <w:r w:rsidRPr="00AF51C0">
        <w:t>8.</w:t>
      </w:r>
      <w:r w:rsidRPr="00AF51C0">
        <w:tab/>
        <w:t xml:space="preserve">Abousamra E, Figgins M, Bedford T. Fitness models provide accurate short-term forecasts of SARS-CoV-2 variant frequency. PLOS Comput Biol. 2024 Sep 6;20(9):e1012443. </w:t>
      </w:r>
    </w:p>
    <w:p w14:paraId="6C7ACBF7" w14:textId="77777777" w:rsidR="00AF51C0" w:rsidRPr="00AF51C0" w:rsidRDefault="00AF51C0" w:rsidP="00AF51C0">
      <w:pPr>
        <w:pStyle w:val="Bibliography"/>
      </w:pPr>
      <w:r w:rsidRPr="00AF51C0">
        <w:t>9.</w:t>
      </w:r>
      <w:r w:rsidRPr="00AF51C0">
        <w:tab/>
        <w:t xml:space="preserve">Charniga K, Park SW, Akhmetzhanov AR, Cori A, Dushoff J, Funk S, et al. Best practices for estimating and reporting epidemiological delay distributions of infectious diseases. PLOS Comput Biol. 2024 Oct 28;20(10):e1012520. </w:t>
      </w:r>
    </w:p>
    <w:p w14:paraId="3DEFA2F0" w14:textId="77777777" w:rsidR="00AF51C0" w:rsidRPr="00AF51C0" w:rsidRDefault="00AF51C0" w:rsidP="00AF51C0">
      <w:pPr>
        <w:pStyle w:val="Bibliography"/>
      </w:pPr>
      <w:r w:rsidRPr="00AF51C0">
        <w:t>10.</w:t>
      </w:r>
      <w:r w:rsidRPr="00AF51C0">
        <w:tab/>
        <w:t xml:space="preserve">Alberti T, Faranda D. On the uncertainty of real-time predictions of epidemic growths: A COVID-19 case study for China and Italy. Commun Nonlinear Sci Numer Simul. 2020 Nov;90:105372. </w:t>
      </w:r>
    </w:p>
    <w:p w14:paraId="2D4AB3B8" w14:textId="77777777" w:rsidR="00AF51C0" w:rsidRPr="00AF51C0" w:rsidRDefault="00AF51C0" w:rsidP="00AF51C0">
      <w:pPr>
        <w:pStyle w:val="Bibliography"/>
      </w:pPr>
      <w:r w:rsidRPr="00AF51C0">
        <w:t>11.</w:t>
      </w:r>
      <w:r w:rsidRPr="00AF51C0">
        <w:tab/>
        <w:t>Figgins MD, Bedford T. Frequency dynamics predict viral fitness, antigenic relationships and epidemic growth [Internet]. medRxiv; 2025 [cited 2025 Oct 20]. p. 2024.12.02.24318334. Available from: https://www.medrxiv.org/content/10.1101/2024.12.02.24318334v3</w:t>
      </w:r>
    </w:p>
    <w:p w14:paraId="25DD6E37" w14:textId="77777777" w:rsidR="00AF51C0" w:rsidRPr="00AF51C0" w:rsidRDefault="00AF51C0" w:rsidP="00AF51C0">
      <w:pPr>
        <w:pStyle w:val="Bibliography"/>
      </w:pPr>
      <w:r w:rsidRPr="00AF51C0">
        <w:lastRenderedPageBreak/>
        <w:t>12.</w:t>
      </w:r>
      <w:r w:rsidRPr="00AF51C0">
        <w:tab/>
        <w:t xml:space="preserve">Hie B, Zhong ED, Berger B, Bryson B. Learning the language of viral evolution and escape. Science. 2021 Jan 15;371(6526):284–8. </w:t>
      </w:r>
    </w:p>
    <w:p w14:paraId="3AD9FBB0" w14:textId="77777777" w:rsidR="00AF51C0" w:rsidRPr="00AF51C0" w:rsidRDefault="00AF51C0" w:rsidP="00AF51C0">
      <w:pPr>
        <w:pStyle w:val="Bibliography"/>
      </w:pPr>
      <w:r w:rsidRPr="00AF51C0">
        <w:t>13.</w:t>
      </w:r>
      <w:r w:rsidRPr="00AF51C0">
        <w:tab/>
        <w:t>Susswein Z, Johnson KE, Kassa R, Parastaran M, Peng V, Wolansky L, et al. Leveraging global genomic sequencing data to estimate local variant dynamics [Internet]. medRxiv; 2023 [cited 2025 Oct 20]. p. 2023.01.02.23284123. Available from: https://www.medrxiv.org/content/10.1101/2023.01.02.23284123v4</w:t>
      </w:r>
    </w:p>
    <w:p w14:paraId="57996242" w14:textId="77777777" w:rsidR="00AF51C0" w:rsidRPr="00AF51C0" w:rsidRDefault="00AF51C0" w:rsidP="00AF51C0">
      <w:pPr>
        <w:pStyle w:val="Bibliography"/>
      </w:pPr>
      <w:r w:rsidRPr="00AF51C0">
        <w:t>14.</w:t>
      </w:r>
      <w:r w:rsidRPr="00AF51C0">
        <w:tab/>
        <w:t>GISAID. GISAID [Internet]. [cited 2025 Oct 20]. Available from: https://epicov.org/epi3/epi_set/EPI_SET_20220330me</w:t>
      </w:r>
    </w:p>
    <w:p w14:paraId="325B5738" w14:textId="77777777" w:rsidR="00AF51C0" w:rsidRPr="00AF51C0" w:rsidRDefault="00AF51C0" w:rsidP="00AF51C0">
      <w:pPr>
        <w:pStyle w:val="Bibliography"/>
      </w:pPr>
      <w:r w:rsidRPr="00AF51C0">
        <w:t>15.</w:t>
      </w:r>
      <w:r w:rsidRPr="00AF51C0">
        <w:tab/>
        <w:t>Organization WH. SARS-CoV-2 genomic sequencing for public health goals: interim guidance, 8 January 2021. 2021 [cited 2025 Jul 16]; Available from: https://iris.who.int/handle/10665/338483</w:t>
      </w:r>
    </w:p>
    <w:p w14:paraId="752DBFA1" w14:textId="77777777" w:rsidR="00AF51C0" w:rsidRPr="00AF51C0" w:rsidRDefault="00AF51C0" w:rsidP="00AF51C0">
      <w:pPr>
        <w:pStyle w:val="Bibliography"/>
      </w:pPr>
      <w:r w:rsidRPr="00AF51C0">
        <w:t>16.</w:t>
      </w:r>
      <w:r w:rsidRPr="00AF51C0">
        <w:tab/>
        <w:t xml:space="preserve">Hodcroft EB, Zuber M, Nadeau S, Vaughan TG, Crawford KHD, Althaus CL, et al. Spread of a SARS-CoV-2 variant through Europe in the summer of 2020. Nature. 2021 Jul;595(7869):707–12. </w:t>
      </w:r>
    </w:p>
    <w:p w14:paraId="771D7DD8" w14:textId="77777777" w:rsidR="00AF51C0" w:rsidRPr="00AF51C0" w:rsidRDefault="00AF51C0" w:rsidP="00AF51C0">
      <w:pPr>
        <w:pStyle w:val="Bibliography"/>
      </w:pPr>
      <w:r w:rsidRPr="00AF51C0">
        <w:t>17.</w:t>
      </w:r>
      <w:r w:rsidRPr="00AF51C0">
        <w:tab/>
        <w:t xml:space="preserve">Chen C, Nadeau S, Yared M, Voinov P, Xie N, Roemer C, et al. CoV-Spectrum: analysis of globally shared SARS-CoV-2 data to identify and characterize new variants. Bioinforma Oxf Engl. 2022 Mar 4;38(6):1735–7. </w:t>
      </w:r>
    </w:p>
    <w:p w14:paraId="4171B923" w14:textId="77777777" w:rsidR="00AF51C0" w:rsidRPr="00AF51C0" w:rsidRDefault="00AF51C0" w:rsidP="00AF51C0">
      <w:pPr>
        <w:pStyle w:val="Bibliography"/>
      </w:pPr>
      <w:r w:rsidRPr="00AF51C0">
        <w:t>18.</w:t>
      </w:r>
      <w:r w:rsidRPr="00AF51C0">
        <w:tab/>
        <w:t xml:space="preserve">Kraemer MUG, Hill V, Ruis C, Dellicour S, Bajaj S, McCrone JT, et al. Spatiotemporal invasion dynamics of SARS-CoV-2 lineage B.1.1.7 emergence. Science. 2021 Aug 20;373(6557):889–95. </w:t>
      </w:r>
    </w:p>
    <w:p w14:paraId="42D83C52" w14:textId="77777777" w:rsidR="00AF51C0" w:rsidRPr="00AF51C0" w:rsidRDefault="00AF51C0" w:rsidP="00AF51C0">
      <w:pPr>
        <w:pStyle w:val="Bibliography"/>
      </w:pPr>
      <w:r w:rsidRPr="00AF51C0">
        <w:t>19.</w:t>
      </w:r>
      <w:r w:rsidRPr="00AF51C0">
        <w:tab/>
        <w:t xml:space="preserve">Volz E, Mishra S, Chand M, Barrett JC, Johnson R, Geidelberg L, et al. Assessing transmissibility of SARS-CoV-2 lineage B.1.1.7 in England. Nature. 2021 May;593(7858):266–9. </w:t>
      </w:r>
    </w:p>
    <w:p w14:paraId="7C8EF000" w14:textId="77777777" w:rsidR="00AF51C0" w:rsidRPr="00AF51C0" w:rsidRDefault="00AF51C0" w:rsidP="00AF51C0">
      <w:pPr>
        <w:pStyle w:val="Bibliography"/>
      </w:pPr>
      <w:r w:rsidRPr="00AF51C0">
        <w:t>20.</w:t>
      </w:r>
      <w:r w:rsidRPr="00AF51C0">
        <w:tab/>
        <w:t xml:space="preserve">Warton DI, Hui FKC. The arcsine is asinine: the analysis of proportions in ecology. Ecology. 2011;92(1):3–10. </w:t>
      </w:r>
    </w:p>
    <w:p w14:paraId="129A2484" w14:textId="77777777" w:rsidR="00AF51C0" w:rsidRPr="00AF51C0" w:rsidRDefault="00AF51C0" w:rsidP="00AF51C0">
      <w:pPr>
        <w:pStyle w:val="Bibliography"/>
      </w:pPr>
      <w:r w:rsidRPr="00AF51C0">
        <w:t>21.</w:t>
      </w:r>
      <w:r w:rsidRPr="00AF51C0">
        <w:tab/>
        <w:t>Lubba CH, Sethi SS, Knaute P, Schultz SR, Fulcher BD, Jones NS. catch22: CAnonical Time-series CHaracteristics [Internet]. arXiv; 2019 [cited 2025 Oct 20]. Available from: http://arxiv.org/abs/1901.10200</w:t>
      </w:r>
    </w:p>
    <w:p w14:paraId="3E77A0D0" w14:textId="77777777" w:rsidR="00AF51C0" w:rsidRPr="00AF51C0" w:rsidRDefault="00AF51C0" w:rsidP="00AF51C0">
      <w:pPr>
        <w:pStyle w:val="Bibliography"/>
      </w:pPr>
      <w:r w:rsidRPr="00AF51C0">
        <w:t>22.</w:t>
      </w:r>
      <w:r w:rsidRPr="00AF51C0">
        <w:tab/>
        <w:t xml:space="preserve">McCullagh P. Generalized linear models. Eur J Oper Res. 1984 Jun 1;16(3):285–92. </w:t>
      </w:r>
    </w:p>
    <w:p w14:paraId="0E6122A2" w14:textId="77777777" w:rsidR="00AF51C0" w:rsidRPr="00AF51C0" w:rsidRDefault="00AF51C0" w:rsidP="00AF51C0">
      <w:pPr>
        <w:pStyle w:val="Bibliography"/>
      </w:pPr>
      <w:r w:rsidRPr="00AF51C0">
        <w:t>23.</w:t>
      </w:r>
      <w:r w:rsidRPr="00AF51C0">
        <w:tab/>
        <w:t xml:space="preserve">Wood SN. Generalized Additive Models: An Introduction with R, Second Edition. 2nd ed. New York: Chapman and Hall/CRC; 2017. 496 p. </w:t>
      </w:r>
    </w:p>
    <w:p w14:paraId="3F7A56E0" w14:textId="77777777" w:rsidR="00AF51C0" w:rsidRPr="00AF51C0" w:rsidRDefault="00AF51C0" w:rsidP="00AF51C0">
      <w:pPr>
        <w:pStyle w:val="Bibliography"/>
      </w:pPr>
      <w:r w:rsidRPr="00AF51C0">
        <w:t>24.</w:t>
      </w:r>
      <w:r w:rsidRPr="00AF51C0">
        <w:tab/>
        <w:t xml:space="preserve">Zou H, Hastie T. Addendum: Regularization and Variable Selection Via the Elastic Net. J R Stat Soc Ser B Stat Methodol. 2005 Nov 1;67(5):768. </w:t>
      </w:r>
    </w:p>
    <w:p w14:paraId="5363A7CA" w14:textId="77777777" w:rsidR="00AF51C0" w:rsidRPr="00AF51C0" w:rsidRDefault="00AF51C0" w:rsidP="00AF51C0">
      <w:pPr>
        <w:pStyle w:val="Bibliography"/>
      </w:pPr>
      <w:r w:rsidRPr="00AF51C0">
        <w:t>25.</w:t>
      </w:r>
      <w:r w:rsidRPr="00AF51C0">
        <w:tab/>
        <w:t xml:space="preserve">Cortes C, Vapnik V. Support-vector networks. Mach Learn. 1995 Sep 1;20(3):273–97. </w:t>
      </w:r>
    </w:p>
    <w:p w14:paraId="3128D71C" w14:textId="77777777" w:rsidR="00AF51C0" w:rsidRPr="00AF51C0" w:rsidRDefault="00AF51C0" w:rsidP="00AF51C0">
      <w:pPr>
        <w:pStyle w:val="Bibliography"/>
      </w:pPr>
      <w:r w:rsidRPr="00AF51C0">
        <w:t>26.</w:t>
      </w:r>
      <w:r w:rsidRPr="00AF51C0">
        <w:tab/>
        <w:t>Ripley BD. Pattern Recognition and Neural Networks [Internet]. Cambridge: Cambridge University Press; 1996 [cited 2025 Oct 20]. Available from: https://www.cambridge.org/core/books/pattern-recognition-and-neural-networks/4E038249C9BAA06C8F4EE6F044D09C5C</w:t>
      </w:r>
    </w:p>
    <w:p w14:paraId="06D12823" w14:textId="77777777" w:rsidR="00AF51C0" w:rsidRPr="00AF51C0" w:rsidRDefault="00AF51C0" w:rsidP="00AF51C0">
      <w:pPr>
        <w:pStyle w:val="Bibliography"/>
      </w:pPr>
      <w:r w:rsidRPr="00AF51C0">
        <w:t>27.</w:t>
      </w:r>
      <w:r w:rsidRPr="00AF51C0">
        <w:tab/>
        <w:t xml:space="preserve">Breiman L, Friedman J, Olshen RA, Stone CJ. Classification and Regression Trees. New York: Chapman and Hall/CRC; 2017. 368 p. </w:t>
      </w:r>
    </w:p>
    <w:p w14:paraId="20FD8DD3" w14:textId="77777777" w:rsidR="00AF51C0" w:rsidRPr="00AF51C0" w:rsidRDefault="00AF51C0" w:rsidP="00AF51C0">
      <w:pPr>
        <w:pStyle w:val="Bibliography"/>
      </w:pPr>
      <w:r w:rsidRPr="00AF51C0">
        <w:t>28.</w:t>
      </w:r>
      <w:r w:rsidRPr="00AF51C0">
        <w:tab/>
        <w:t>Polley E, Laan M van der. Super Learner In Prediction. UC Berkeley Div Biostat Work Pap Ser [Internet]. 2010 May 3; Available from: https://biostats.bepress.com/ucbbiostat/paper266</w:t>
      </w:r>
    </w:p>
    <w:p w14:paraId="3A369997" w14:textId="77777777" w:rsidR="00AF51C0" w:rsidRPr="00AF51C0" w:rsidRDefault="00AF51C0" w:rsidP="00AF51C0">
      <w:pPr>
        <w:pStyle w:val="Bibliography"/>
      </w:pPr>
      <w:r w:rsidRPr="00AF51C0">
        <w:lastRenderedPageBreak/>
        <w:t>29.</w:t>
      </w:r>
      <w:r w:rsidRPr="00AF51C0">
        <w:tab/>
        <w:t xml:space="preserve">Sokolova M, Lapalme G. A systematic analysis of performance measures for classification tasks. Inf Process Manag. 2009 Jul 1;45(4):427–37. </w:t>
      </w:r>
    </w:p>
    <w:p w14:paraId="5BAF09B3" w14:textId="49030109" w:rsidR="00AF51C0" w:rsidRDefault="00AF51C0" w:rsidP="00AF51C0">
      <w:pPr>
        <w:pStyle w:val="Bibliography"/>
      </w:pPr>
      <w:r w:rsidRPr="00AF51C0">
        <w:t>30.</w:t>
      </w:r>
      <w:r w:rsidRPr="00AF51C0">
        <w:tab/>
        <w:t>Lundberg S, Lee SI. A Unified Approach to Interpreting Model Predictions [Internet]. arXiv; 2017 [cited 2025 Oct 20]. Available from: http://arxiv.org/abs/1705.07874</w:t>
      </w:r>
    </w:p>
    <w:p w14:paraId="134B8DF0" w14:textId="77777777" w:rsidR="00AF51C0" w:rsidRDefault="00AF51C0">
      <w:pPr>
        <w:rPr>
          <w:rFonts w:ascii="Times New Roman" w:eastAsia="Times New Roman" w:hAnsi="Times New Roman" w:cs="Times New Roman"/>
          <w:sz w:val="24"/>
          <w:szCs w:val="24"/>
          <w:lang w:eastAsia="zh-CN"/>
        </w:rPr>
      </w:pPr>
      <w:r>
        <w:br w:type="page"/>
      </w:r>
    </w:p>
    <w:p w14:paraId="425D5D00" w14:textId="6513FBAE" w:rsidR="00BC62D3" w:rsidRPr="00A3614E" w:rsidRDefault="00010D51" w:rsidP="00AF51C0">
      <w:pPr>
        <w:pStyle w:val="Bibliography"/>
        <w:jc w:val="center"/>
        <w:rPr>
          <w:rFonts w:eastAsiaTheme="minorEastAsia"/>
          <w:color w:val="000000" w:themeColor="text1"/>
          <w:sz w:val="22"/>
          <w:szCs w:val="22"/>
        </w:rPr>
      </w:pPr>
      <w:r w:rsidRPr="00A3614E">
        <w:rPr>
          <w:color w:val="000000" w:themeColor="text1"/>
        </w:rPr>
        <w:lastRenderedPageBreak/>
        <w:fldChar w:fldCharType="end"/>
      </w:r>
      <w:bookmarkEnd w:id="6"/>
      <w:r w:rsidR="00BC62D3" w:rsidRPr="00A3614E">
        <w:rPr>
          <w:rFonts w:eastAsiaTheme="minorEastAsia"/>
          <w:noProof/>
          <w:color w:val="000000" w:themeColor="text1"/>
          <w:sz w:val="22"/>
          <w:szCs w:val="22"/>
          <w14:ligatures w14:val="standardContextual"/>
        </w:rPr>
        <w:drawing>
          <wp:inline distT="0" distB="0" distL="0" distR="0" wp14:anchorId="56C96377" wp14:editId="06F9B6EF">
            <wp:extent cx="5486400" cy="3771835"/>
            <wp:effectExtent l="0" t="0" r="0" b="635"/>
            <wp:docPr id="2104157310"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7310" name="Picture 1" descr="A table with numbers and a number of objec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771835"/>
                    </a:xfrm>
                    <a:prstGeom prst="rect">
                      <a:avLst/>
                    </a:prstGeom>
                  </pic:spPr>
                </pic:pic>
              </a:graphicData>
            </a:graphic>
          </wp:inline>
        </w:drawing>
      </w:r>
    </w:p>
    <w:p w14:paraId="12C58F49"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1(a)</w:t>
      </w:r>
      <w:r w:rsidRPr="00A3614E">
        <w:rPr>
          <w:rFonts w:eastAsiaTheme="minorEastAsia"/>
          <w:color w:val="000000" w:themeColor="text1"/>
          <w:sz w:val="22"/>
          <w:szCs w:val="22"/>
          <w:lang w:eastAsia="zh-CN"/>
        </w:rPr>
        <w:t xml:space="preserve">. Heatmap of accuracy across models and countries for predicting peak categories using a 21-day input. Blue = higher, white = lower. </w:t>
      </w:r>
    </w:p>
    <w:p w14:paraId="4016A588"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p>
    <w:p w14:paraId="3FD92D38" w14:textId="77777777" w:rsidR="00BC62D3" w:rsidRPr="00A3614E" w:rsidRDefault="00BC62D3" w:rsidP="00BC62D3">
      <w:pPr>
        <w:pStyle w:val="BodyText"/>
        <w:spacing w:line="276" w:lineRule="auto"/>
        <w:ind w:left="0"/>
        <w:contextualSpacing/>
        <w:jc w:val="center"/>
        <w:rPr>
          <w:rFonts w:eastAsiaTheme="minorEastAsia"/>
          <w:color w:val="000000" w:themeColor="text1"/>
          <w:sz w:val="20"/>
          <w:szCs w:val="20"/>
          <w:lang w:eastAsia="ko-KR"/>
        </w:rPr>
      </w:pPr>
      <w:r w:rsidRPr="00A3614E">
        <w:rPr>
          <w:rFonts w:eastAsiaTheme="minorEastAsia"/>
          <w:noProof/>
          <w:color w:val="000000" w:themeColor="text1"/>
          <w:sz w:val="20"/>
          <w:szCs w:val="20"/>
          <w:lang w:eastAsia="ko-KR"/>
          <w14:ligatures w14:val="standardContextual"/>
        </w:rPr>
        <w:drawing>
          <wp:inline distT="0" distB="0" distL="0" distR="0" wp14:anchorId="34EB951D" wp14:editId="4CC44C68">
            <wp:extent cx="5486400" cy="3771834"/>
            <wp:effectExtent l="0" t="0" r="0" b="635"/>
            <wp:docPr id="194511631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6312" name="Picture 2"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771834"/>
                    </a:xfrm>
                    <a:prstGeom prst="rect">
                      <a:avLst/>
                    </a:prstGeom>
                  </pic:spPr>
                </pic:pic>
              </a:graphicData>
            </a:graphic>
          </wp:inline>
        </w:drawing>
      </w:r>
    </w:p>
    <w:p w14:paraId="09A89CE2"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1(b)</w:t>
      </w:r>
      <w:r w:rsidRPr="00A3614E">
        <w:rPr>
          <w:rFonts w:eastAsiaTheme="minorEastAsia"/>
          <w:color w:val="000000" w:themeColor="text1"/>
          <w:sz w:val="22"/>
          <w:szCs w:val="22"/>
          <w:lang w:eastAsia="zh-CN"/>
        </w:rPr>
        <w:t xml:space="preserve">. Heatmap of accuracy across models and countries for predicting duration categories using a 21-day input. Blue = higher, white = lower. </w:t>
      </w:r>
    </w:p>
    <w:p w14:paraId="24972DEB"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p>
    <w:tbl>
      <w:tblPr>
        <w:tblStyle w:val="TableGrid"/>
        <w:tblW w:w="0" w:type="auto"/>
        <w:tblLook w:val="04A0" w:firstRow="1" w:lastRow="0" w:firstColumn="1" w:lastColumn="0" w:noHBand="0" w:noVBand="1"/>
      </w:tblPr>
      <w:tblGrid>
        <w:gridCol w:w="4907"/>
        <w:gridCol w:w="5893"/>
      </w:tblGrid>
      <w:tr w:rsidR="00BC62D3" w:rsidRPr="00A3614E" w14:paraId="4ED1C42F" w14:textId="77777777" w:rsidTr="00436C0C">
        <w:tc>
          <w:tcPr>
            <w:tcW w:w="4994" w:type="dxa"/>
          </w:tcPr>
          <w:p w14:paraId="4A31FF2F" w14:textId="77777777" w:rsidR="00BC62D3" w:rsidRPr="00A3614E" w:rsidRDefault="00BC62D3" w:rsidP="00436C0C">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lastRenderedPageBreak/>
              <w:drawing>
                <wp:inline distT="0" distB="0" distL="0" distR="0" wp14:anchorId="7D7995F9" wp14:editId="3C7B7901">
                  <wp:extent cx="3017520" cy="3394782"/>
                  <wp:effectExtent l="0" t="0" r="5080" b="0"/>
                  <wp:docPr id="1559782530"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2530" name="Picture 1" descr="A graph with 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476" w:type="dxa"/>
          </w:tcPr>
          <w:p w14:paraId="7B177ADF" w14:textId="77777777" w:rsidR="00BC62D3" w:rsidRPr="00A3614E" w:rsidRDefault="00BC62D3" w:rsidP="00436C0C">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67DDE577" wp14:editId="46B8F8B9">
                  <wp:extent cx="3657600" cy="3429131"/>
                  <wp:effectExtent l="0" t="0" r="0" b="0"/>
                  <wp:docPr id="617604498"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498" name="Picture 2" descr="A graph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BC62D3" w:rsidRPr="00A3614E" w14:paraId="2F7F26EB" w14:textId="77777777" w:rsidTr="00436C0C">
        <w:tc>
          <w:tcPr>
            <w:tcW w:w="4994" w:type="dxa"/>
          </w:tcPr>
          <w:p w14:paraId="60600CA0" w14:textId="77777777" w:rsidR="00BC62D3" w:rsidRPr="00A3614E" w:rsidRDefault="00BC62D3" w:rsidP="00436C0C">
            <w:pPr>
              <w:pStyle w:val="BodyText"/>
              <w:spacing w:line="276" w:lineRule="auto"/>
              <w:ind w:left="0"/>
              <w:contextualSpacing/>
              <w:jc w:val="center"/>
              <w:rPr>
                <w:rFonts w:eastAsiaTheme="minorEastAsia"/>
                <w:color w:val="000000" w:themeColor="text1"/>
                <w:sz w:val="22"/>
                <w:szCs w:val="22"/>
                <w:lang w:eastAsia="zh-CN"/>
              </w:rPr>
            </w:pPr>
            <w:r w:rsidRPr="00A3614E">
              <w:rPr>
                <w:rFonts w:eastAsiaTheme="minorEastAsia"/>
                <w:color w:val="000000" w:themeColor="text1"/>
                <w:sz w:val="20"/>
                <w:szCs w:val="20"/>
                <w:lang w:eastAsia="zh-CN"/>
              </w:rPr>
              <w:t>(a)</w:t>
            </w:r>
          </w:p>
        </w:tc>
        <w:tc>
          <w:tcPr>
            <w:tcW w:w="5476" w:type="dxa"/>
          </w:tcPr>
          <w:p w14:paraId="77270887" w14:textId="7C05FC6A" w:rsidR="00BC62D3" w:rsidRPr="00A3614E" w:rsidRDefault="00BC62D3" w:rsidP="00051702">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3C04D339" w14:textId="77777777" w:rsidR="00BC62D3" w:rsidRPr="00A3614E" w:rsidRDefault="00BC62D3" w:rsidP="00BC62D3">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 SHAP-based feature attribution for the SuperLearner model (21-day input) predicting variants weekly peak prevalence across 15 countries. (a) Global feature importance based on mean absolute SHAP values. (b) SHAP summary (beeswarm) plot illustrating the distribution and direction of feature effects.</w:t>
      </w:r>
    </w:p>
    <w:tbl>
      <w:tblPr>
        <w:tblStyle w:val="TableGrid"/>
        <w:tblW w:w="0" w:type="auto"/>
        <w:tblInd w:w="117" w:type="dxa"/>
        <w:tblLook w:val="04A0" w:firstRow="1" w:lastRow="0" w:firstColumn="1" w:lastColumn="0" w:noHBand="0" w:noVBand="1"/>
      </w:tblPr>
      <w:tblGrid>
        <w:gridCol w:w="4854"/>
        <w:gridCol w:w="5829"/>
      </w:tblGrid>
      <w:tr w:rsidR="00BC62D3" w:rsidRPr="00A3614E" w14:paraId="4277A736" w14:textId="77777777" w:rsidTr="00436C0C">
        <w:tc>
          <w:tcPr>
            <w:tcW w:w="4854" w:type="dxa"/>
          </w:tcPr>
          <w:p w14:paraId="202800FC" w14:textId="77777777" w:rsidR="00BC62D3" w:rsidRPr="00A3614E" w:rsidRDefault="00BC62D3" w:rsidP="00436C0C">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412A99AA" wp14:editId="1A55DB0A">
                  <wp:extent cx="3017520" cy="3394782"/>
                  <wp:effectExtent l="0" t="0" r="5080" b="0"/>
                  <wp:docPr id="1337275488" name="Picture 3"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488" name="Picture 3" descr="A graph with 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829" w:type="dxa"/>
          </w:tcPr>
          <w:p w14:paraId="39BA7DC4" w14:textId="77777777" w:rsidR="00BC62D3" w:rsidRPr="00A3614E" w:rsidRDefault="00BC62D3" w:rsidP="00436C0C">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6AC0BEA9" wp14:editId="7F5F43CA">
                  <wp:extent cx="3657600" cy="3429131"/>
                  <wp:effectExtent l="0" t="0" r="0" b="0"/>
                  <wp:docPr id="60697129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1299" name="Picture 4" descr="A graph of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BC62D3" w:rsidRPr="00A3614E" w14:paraId="0FBE9BCF" w14:textId="77777777" w:rsidTr="00436C0C">
        <w:tc>
          <w:tcPr>
            <w:tcW w:w="4854" w:type="dxa"/>
          </w:tcPr>
          <w:p w14:paraId="0356A8C0" w14:textId="77777777" w:rsidR="00BC62D3" w:rsidRPr="00A3614E" w:rsidRDefault="00BC62D3" w:rsidP="00436C0C">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(a)</w:t>
            </w:r>
          </w:p>
        </w:tc>
        <w:tc>
          <w:tcPr>
            <w:tcW w:w="5829" w:type="dxa"/>
          </w:tcPr>
          <w:p w14:paraId="2E9470F8" w14:textId="77777777" w:rsidR="00BC62D3" w:rsidRPr="00A3614E" w:rsidRDefault="00BC62D3" w:rsidP="00436C0C">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332715BC" w14:textId="77777777" w:rsidR="00BC62D3" w:rsidRPr="00A3614E" w:rsidRDefault="00BC62D3" w:rsidP="00BC62D3">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3</w:t>
      </w:r>
      <w:r w:rsidRPr="00A3614E">
        <w:rPr>
          <w:rFonts w:eastAsiaTheme="minorEastAsia"/>
          <w:color w:val="000000" w:themeColor="text1"/>
          <w:sz w:val="22"/>
          <w:szCs w:val="22"/>
          <w:lang w:eastAsia="zh-CN"/>
        </w:rPr>
        <w:t>. SHAP-based feature attribution for the SuperLearner model (21-day input) predicting variants duration across 15 countries. (a) Global feature importance based on mean absolute SHAP values. (b) SHAP summary (beeswarm) plot illustrating the distribution and direction of feature effects.</w:t>
      </w:r>
    </w:p>
    <w:p w14:paraId="466C55FF" w14:textId="77777777" w:rsidR="00740E86" w:rsidRPr="00A3614E" w:rsidRDefault="00740E86" w:rsidP="00010D51">
      <w:pPr>
        <w:spacing w:line="276" w:lineRule="auto"/>
        <w:rPr>
          <w:rFonts w:ascii="Times New Roman" w:hAnsi="Times New Roman" w:cs="Times New Roman"/>
          <w:color w:val="000000" w:themeColor="text1"/>
          <w:lang w:eastAsia="ko-KR"/>
        </w:rPr>
        <w:sectPr w:rsidR="00740E86" w:rsidRPr="00A3614E" w:rsidSect="00493574">
          <w:pgSz w:w="12240" w:h="15840"/>
          <w:pgMar w:top="720" w:right="720" w:bottom="720" w:left="720" w:header="720" w:footer="720" w:gutter="0"/>
          <w:cols w:space="720"/>
          <w:docGrid w:linePitch="299"/>
        </w:sectPr>
      </w:pPr>
    </w:p>
    <w:p w14:paraId="4704F4AD" w14:textId="77777777" w:rsidR="00BC62D3" w:rsidRPr="00A3614E" w:rsidRDefault="00BC62D3" w:rsidP="00BC62D3">
      <w:pPr>
        <w:pStyle w:val="BodyText"/>
        <w:spacing w:line="276" w:lineRule="auto"/>
        <w:ind w:left="0"/>
        <w:contextualSpacing/>
        <w:jc w:val="center"/>
        <w:rPr>
          <w:rFonts w:eastAsiaTheme="minorEastAsia"/>
          <w:color w:val="000000" w:themeColor="text1"/>
          <w:sz w:val="22"/>
          <w:szCs w:val="22"/>
          <w:lang w:eastAsia="ko-KR"/>
        </w:rPr>
      </w:pPr>
      <w:r w:rsidRPr="00A3614E">
        <w:rPr>
          <w:rFonts w:eastAsiaTheme="minorEastAsia"/>
          <w:noProof/>
          <w:color w:val="000000" w:themeColor="text1"/>
          <w:sz w:val="22"/>
          <w:szCs w:val="22"/>
          <w:lang w:eastAsia="ko-KR"/>
        </w:rPr>
        <w:lastRenderedPageBreak/>
        <w:drawing>
          <wp:inline distT="0" distB="0" distL="0" distR="0" wp14:anchorId="1411D034" wp14:editId="0A6D1783">
            <wp:extent cx="3834765" cy="4395470"/>
            <wp:effectExtent l="0" t="0" r="0" b="5080"/>
            <wp:docPr id="90821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4765" cy="4395470"/>
                    </a:xfrm>
                    <a:prstGeom prst="rect">
                      <a:avLst/>
                    </a:prstGeom>
                    <a:noFill/>
                  </pic:spPr>
                </pic:pic>
              </a:graphicData>
            </a:graphic>
          </wp:inline>
        </w:drawing>
      </w:r>
    </w:p>
    <w:p w14:paraId="242B672B" w14:textId="77777777" w:rsidR="00BC62D3" w:rsidRPr="00A3614E" w:rsidRDefault="00BC62D3" w:rsidP="00BC62D3">
      <w:pPr>
        <w:pStyle w:val="BodyText"/>
        <w:spacing w:line="276" w:lineRule="auto"/>
        <w:ind w:left="0"/>
        <w:contextualSpacing/>
        <w:jc w:val="center"/>
        <w:rPr>
          <w:rFonts w:eastAsiaTheme="minorEastAsia"/>
          <w:color w:val="000000" w:themeColor="text1"/>
          <w:sz w:val="22"/>
          <w:szCs w:val="22"/>
          <w:lang w:eastAsia="ko-KR"/>
        </w:rPr>
      </w:pPr>
    </w:p>
    <w:p w14:paraId="302199B0"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ko-KR"/>
        </w:rPr>
      </w:pPr>
      <w:r w:rsidRPr="00A3614E">
        <w:rPr>
          <w:color w:val="000000" w:themeColor="text1"/>
          <w:sz w:val="22"/>
          <w:szCs w:val="22"/>
          <w:lang w:eastAsia="zh-CN"/>
        </w:rPr>
        <w:t xml:space="preserve">Figure </w:t>
      </w:r>
      <w:r w:rsidRPr="00A3614E">
        <w:rPr>
          <w:rFonts w:eastAsiaTheme="minorEastAsia"/>
          <w:color w:val="000000" w:themeColor="text1"/>
          <w:sz w:val="22"/>
          <w:szCs w:val="22"/>
          <w:lang w:eastAsia="ko-KR"/>
        </w:rPr>
        <w:t>4</w:t>
      </w:r>
      <w:r w:rsidRPr="00A3614E">
        <w:rPr>
          <w:color w:val="000000" w:themeColor="text1"/>
          <w:sz w:val="22"/>
          <w:szCs w:val="22"/>
          <w:lang w:eastAsia="zh-CN"/>
        </w:rPr>
        <w:t>. Overview of the data processing workflow, including data inclusion, exclusion, and grouping steps.</w:t>
      </w:r>
    </w:p>
    <w:p w14:paraId="6F33E1DD"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6036BC41" w14:textId="77777777" w:rsidR="00BC62D3" w:rsidRPr="00A3614E" w:rsidRDefault="00BC62D3" w:rsidP="00BC62D3">
      <w:pPr>
        <w:pStyle w:val="BodyText"/>
        <w:spacing w:line="276" w:lineRule="auto"/>
        <w:ind w:left="0"/>
        <w:contextualSpacing/>
        <w:jc w:val="center"/>
        <w:rPr>
          <w:rFonts w:eastAsiaTheme="minorEastAsia"/>
          <w:b/>
          <w:bCs/>
          <w:color w:val="000000" w:themeColor="text1"/>
          <w:spacing w:val="-10"/>
          <w:lang w:eastAsia="ko-KR"/>
        </w:rPr>
      </w:pPr>
      <w:r w:rsidRPr="00A3614E">
        <w:rPr>
          <w:rFonts w:eastAsiaTheme="minorEastAsia"/>
          <w:b/>
          <w:bCs/>
          <w:noProof/>
          <w:color w:val="000000" w:themeColor="text1"/>
          <w:spacing w:val="-10"/>
          <w:lang w:eastAsia="ko-KR"/>
          <w14:ligatures w14:val="standardContextual"/>
        </w:rPr>
        <w:lastRenderedPageBreak/>
        <w:drawing>
          <wp:inline distT="0" distB="0" distL="0" distR="0" wp14:anchorId="05FB39E0" wp14:editId="11E7F6A2">
            <wp:extent cx="6648450" cy="4432300"/>
            <wp:effectExtent l="0" t="0" r="6350" b="0"/>
            <wp:docPr id="1181867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7446" name="Picture 1181867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2EE0ED45"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Figure 5. Time-series distribution of grouped SARS-CoV-2 PANGO lineages during the analytical period in the United Kingdom, the United States, and South Korea. Only lineages with weekly maximum share &gt; </w:t>
      </w:r>
      <w:r w:rsidRPr="00A3614E">
        <w:rPr>
          <w:rFonts w:eastAsiaTheme="minorEastAsia"/>
          <w:color w:val="000000" w:themeColor="text1"/>
          <w:sz w:val="22"/>
          <w:szCs w:val="22"/>
          <w:lang w:eastAsia="zh-CN"/>
        </w:rPr>
        <w:t>2</w:t>
      </w:r>
      <w:r w:rsidRPr="00A3614E">
        <w:rPr>
          <w:rFonts w:eastAsiaTheme="minorEastAsia"/>
          <w:color w:val="000000" w:themeColor="text1"/>
          <w:sz w:val="22"/>
          <w:szCs w:val="22"/>
          <w:lang w:eastAsia="ko-KR"/>
        </w:rPr>
        <w:t>0% and &gt; 10% share sustained for &gt; 100 days are shown in the legend.</w:t>
      </w:r>
    </w:p>
    <w:p w14:paraId="008436A0"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29363E8"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5046CC2"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DDB22F6"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608082FD"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7D280F47"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8E3008A"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6700B2F1"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F35BEB2"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7A2075E4"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06CD74BC"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0E2BE1A"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3E7EAAE"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61F0441"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zh-CN"/>
        </w:rPr>
      </w:pPr>
    </w:p>
    <w:p w14:paraId="41EC60D0"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62BEEF2A" w14:textId="77777777" w:rsidR="00BC62D3" w:rsidRPr="00A3614E" w:rsidRDefault="00BC62D3" w:rsidP="00BC62D3">
      <w:pPr>
        <w:pStyle w:val="BodyText"/>
        <w:spacing w:line="276" w:lineRule="auto"/>
        <w:ind w:left="0"/>
        <w:contextualSpacing/>
        <w:jc w:val="center"/>
        <w:rPr>
          <w:color w:val="000000" w:themeColor="text1"/>
          <w:sz w:val="22"/>
          <w:szCs w:val="22"/>
          <w:lang w:eastAsia="zh-CN"/>
        </w:rPr>
      </w:pPr>
      <w:r w:rsidRPr="00A3614E">
        <w:rPr>
          <w:noProof/>
          <w:color w:val="000000" w:themeColor="text1"/>
          <w:sz w:val="22"/>
          <w:szCs w:val="22"/>
          <w:lang w:eastAsia="zh-CN"/>
        </w:rPr>
        <w:lastRenderedPageBreak/>
        <w:drawing>
          <wp:inline distT="0" distB="0" distL="0" distR="0" wp14:anchorId="1852A395" wp14:editId="355A5921">
            <wp:extent cx="6648450" cy="3162300"/>
            <wp:effectExtent l="0" t="0" r="6350" b="0"/>
            <wp:docPr id="469688123" name="Picture 1" descr="A flowchart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8123" name="Picture 1" descr="A flowchart of a software model&#10;&#10;AI-generated content may be incorrect."/>
                    <pic:cNvPicPr/>
                  </pic:nvPicPr>
                  <pic:blipFill>
                    <a:blip r:embed="rId23"/>
                    <a:stretch>
                      <a:fillRect/>
                    </a:stretch>
                  </pic:blipFill>
                  <pic:spPr>
                    <a:xfrm>
                      <a:off x="0" y="0"/>
                      <a:ext cx="6648450" cy="3162300"/>
                    </a:xfrm>
                    <a:prstGeom prst="rect">
                      <a:avLst/>
                    </a:prstGeom>
                  </pic:spPr>
                </pic:pic>
              </a:graphicData>
            </a:graphic>
          </wp:inline>
        </w:drawing>
      </w:r>
    </w:p>
    <w:p w14:paraId="51E9FB18"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ko-KR"/>
        </w:rPr>
        <w:t xml:space="preserve">Figure 6. Modeling framework. Variant shares from the first N weeks were used to predict the weekly peak share and duration above 10% share. Features included handcrafted and Rcatch22 descriptors. </w:t>
      </w:r>
    </w:p>
    <w:p w14:paraId="6A13AEB2"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1FBDB324" w14:textId="77777777" w:rsidR="00051702" w:rsidRPr="00A3614E" w:rsidRDefault="00051702" w:rsidP="00010D51">
      <w:pPr>
        <w:spacing w:line="276" w:lineRule="auto"/>
        <w:rPr>
          <w:rFonts w:ascii="Times New Roman" w:hAnsi="Times New Roman" w:cs="Times New Roman"/>
          <w:color w:val="000000" w:themeColor="text1"/>
          <w:lang w:eastAsia="ko-KR"/>
        </w:rPr>
        <w:sectPr w:rsidR="00051702" w:rsidRPr="00A3614E" w:rsidSect="00AB428D">
          <w:pgSz w:w="12240" w:h="15840"/>
          <w:pgMar w:top="720" w:right="720" w:bottom="720" w:left="720" w:header="720" w:footer="720" w:gutter="0"/>
          <w:cols w:space="720"/>
          <w:docGrid w:linePitch="299"/>
        </w:sectPr>
      </w:pPr>
    </w:p>
    <w:p w14:paraId="20318400" w14:textId="77777777" w:rsidR="00051702" w:rsidRPr="00A3614E" w:rsidRDefault="00051702" w:rsidP="00051702">
      <w:pPr>
        <w:pStyle w:val="BodyText"/>
        <w:spacing w:line="276" w:lineRule="auto"/>
        <w:ind w:left="0"/>
        <w:contextualSpacing/>
        <w:rPr>
          <w:rFonts w:eastAsiaTheme="minorEastAsia"/>
          <w:b/>
          <w:bCs/>
          <w:color w:val="000000" w:themeColor="text1"/>
          <w:sz w:val="22"/>
          <w:szCs w:val="22"/>
          <w:lang w:eastAsia="zh-CN"/>
        </w:rPr>
      </w:pPr>
      <w:r w:rsidRPr="00A3614E">
        <w:rPr>
          <w:rFonts w:eastAsiaTheme="minorEastAsia"/>
          <w:color w:val="000000" w:themeColor="text1"/>
          <w:sz w:val="22"/>
          <w:szCs w:val="22"/>
          <w:lang w:eastAsia="zh-CN"/>
        </w:rPr>
        <w:lastRenderedPageBreak/>
        <w:t xml:space="preserve">Table </w:t>
      </w:r>
      <w:r w:rsidRPr="00A3614E">
        <w:rPr>
          <w:rFonts w:eastAsiaTheme="minorEastAsia"/>
          <w:color w:val="000000" w:themeColor="text1"/>
          <w:sz w:val="22"/>
          <w:szCs w:val="22"/>
          <w:lang w:eastAsia="ko-KR"/>
        </w:rPr>
        <w:t>1</w:t>
      </w:r>
      <w:r w:rsidRPr="00A3614E">
        <w:rPr>
          <w:rFonts w:eastAsiaTheme="minorEastAsia"/>
          <w:color w:val="000000" w:themeColor="text1"/>
          <w:sz w:val="22"/>
          <w:szCs w:val="22"/>
          <w:lang w:eastAsia="zh-CN"/>
        </w:rPr>
        <w:t xml:space="preserve">. </w:t>
      </w:r>
      <w:r w:rsidRPr="00A3614E">
        <w:rPr>
          <w:color w:val="000000" w:themeColor="text1"/>
          <w:sz w:val="22"/>
          <w:szCs w:val="22"/>
        </w:rPr>
        <w:t xml:space="preserve"> </w:t>
      </w:r>
      <w:r w:rsidRPr="00A3614E">
        <w:rPr>
          <w:rFonts w:eastAsiaTheme="minorEastAsia"/>
          <w:color w:val="000000" w:themeColor="text1"/>
          <w:sz w:val="22"/>
          <w:szCs w:val="22"/>
          <w:lang w:eastAsia="zh-CN"/>
        </w:rPr>
        <w:t xml:space="preserve">Comparison of observed and predicted variant dominance in selected countries, defined as duration ≥100 days and peak &gt;20%. </w:t>
      </w:r>
    </w:p>
    <w:tbl>
      <w:tblPr>
        <w:tblW w:w="10800" w:type="dxa"/>
        <w:jc w:val="center"/>
        <w:tblLook w:val="04A0" w:firstRow="1" w:lastRow="0" w:firstColumn="1" w:lastColumn="0" w:noHBand="0" w:noVBand="1"/>
      </w:tblPr>
      <w:tblGrid>
        <w:gridCol w:w="1400"/>
        <w:gridCol w:w="1317"/>
        <w:gridCol w:w="1066"/>
        <w:gridCol w:w="1107"/>
        <w:gridCol w:w="1050"/>
        <w:gridCol w:w="990"/>
        <w:gridCol w:w="990"/>
        <w:gridCol w:w="992"/>
        <w:gridCol w:w="991"/>
        <w:gridCol w:w="897"/>
      </w:tblGrid>
      <w:tr w:rsidR="00051702" w:rsidRPr="00A3614E" w14:paraId="228A7CB0" w14:textId="77777777" w:rsidTr="00436C0C">
        <w:trPr>
          <w:trHeight w:val="216"/>
          <w:jc w:val="center"/>
        </w:trPr>
        <w:tc>
          <w:tcPr>
            <w:tcW w:w="1400" w:type="dxa"/>
            <w:tcBorders>
              <w:top w:val="single" w:sz="8" w:space="0" w:color="auto"/>
              <w:left w:val="nil"/>
              <w:bottom w:val="single" w:sz="4" w:space="0" w:color="auto"/>
              <w:right w:val="nil"/>
            </w:tcBorders>
            <w:shd w:val="clear" w:color="000000" w:fill="FFFFFF"/>
            <w:noWrap/>
            <w:hideMark/>
          </w:tcPr>
          <w:p w14:paraId="26A1A647"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Country</w:t>
            </w:r>
          </w:p>
        </w:tc>
        <w:tc>
          <w:tcPr>
            <w:tcW w:w="1317" w:type="dxa"/>
            <w:tcBorders>
              <w:top w:val="single" w:sz="8" w:space="0" w:color="auto"/>
              <w:left w:val="nil"/>
              <w:bottom w:val="single" w:sz="4" w:space="0" w:color="auto"/>
              <w:right w:val="nil"/>
            </w:tcBorders>
            <w:shd w:val="clear" w:color="000000" w:fill="FFFFFF"/>
            <w:noWrap/>
            <w:hideMark/>
          </w:tcPr>
          <w:p w14:paraId="2274C710"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Lineage</w:t>
            </w:r>
          </w:p>
        </w:tc>
        <w:tc>
          <w:tcPr>
            <w:tcW w:w="1066" w:type="dxa"/>
            <w:tcBorders>
              <w:top w:val="single" w:sz="8" w:space="0" w:color="auto"/>
              <w:left w:val="nil"/>
              <w:bottom w:val="single" w:sz="4" w:space="0" w:color="auto"/>
              <w:right w:val="nil"/>
            </w:tcBorders>
            <w:shd w:val="clear" w:color="000000" w:fill="FFFFFF"/>
            <w:noWrap/>
            <w:hideMark/>
          </w:tcPr>
          <w:p w14:paraId="75057F69"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Onset date</w:t>
            </w:r>
          </w:p>
        </w:tc>
        <w:tc>
          <w:tcPr>
            <w:tcW w:w="1107" w:type="dxa"/>
            <w:tcBorders>
              <w:top w:val="single" w:sz="8" w:space="0" w:color="auto"/>
              <w:left w:val="nil"/>
              <w:bottom w:val="single" w:sz="4" w:space="0" w:color="auto"/>
              <w:right w:val="nil"/>
            </w:tcBorders>
            <w:shd w:val="clear" w:color="000000" w:fill="FFFFFF"/>
            <w:noWrap/>
            <w:hideMark/>
          </w:tcPr>
          <w:p w14:paraId="6EF5CDBC"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Offset date</w:t>
            </w:r>
          </w:p>
        </w:tc>
        <w:tc>
          <w:tcPr>
            <w:tcW w:w="1050" w:type="dxa"/>
            <w:tcBorders>
              <w:top w:val="single" w:sz="8" w:space="0" w:color="auto"/>
              <w:left w:val="nil"/>
              <w:bottom w:val="single" w:sz="4" w:space="0" w:color="auto"/>
              <w:right w:val="nil"/>
            </w:tcBorders>
            <w:shd w:val="clear" w:color="000000" w:fill="FFFFFF"/>
            <w:noWrap/>
            <w:hideMark/>
          </w:tcPr>
          <w:p w14:paraId="66E2A965"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Peak</w:t>
            </w:r>
          </w:p>
        </w:tc>
        <w:tc>
          <w:tcPr>
            <w:tcW w:w="990" w:type="dxa"/>
            <w:tcBorders>
              <w:top w:val="single" w:sz="8" w:space="0" w:color="auto"/>
              <w:left w:val="nil"/>
              <w:bottom w:val="single" w:sz="4" w:space="0" w:color="auto"/>
              <w:right w:val="nil"/>
            </w:tcBorders>
            <w:shd w:val="clear" w:color="000000" w:fill="FFFFFF"/>
            <w:noWrap/>
            <w:hideMark/>
          </w:tcPr>
          <w:p w14:paraId="20896A86"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Peak</w:t>
            </w:r>
          </w:p>
        </w:tc>
        <w:tc>
          <w:tcPr>
            <w:tcW w:w="990" w:type="dxa"/>
            <w:tcBorders>
              <w:top w:val="single" w:sz="8" w:space="0" w:color="auto"/>
              <w:left w:val="nil"/>
              <w:bottom w:val="single" w:sz="4" w:space="0" w:color="auto"/>
              <w:right w:val="nil"/>
            </w:tcBorders>
            <w:shd w:val="clear" w:color="000000" w:fill="FFFFFF"/>
            <w:noWrap/>
            <w:hideMark/>
          </w:tcPr>
          <w:p w14:paraId="52C8608F"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Peak. Acc.</w:t>
            </w:r>
          </w:p>
        </w:tc>
        <w:tc>
          <w:tcPr>
            <w:tcW w:w="992" w:type="dxa"/>
            <w:tcBorders>
              <w:top w:val="single" w:sz="8" w:space="0" w:color="auto"/>
              <w:left w:val="nil"/>
              <w:bottom w:val="single" w:sz="4" w:space="0" w:color="auto"/>
              <w:right w:val="nil"/>
            </w:tcBorders>
            <w:shd w:val="clear" w:color="000000" w:fill="FFFFFF"/>
            <w:noWrap/>
            <w:hideMark/>
          </w:tcPr>
          <w:p w14:paraId="6C2D2B88"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Dur.</w:t>
            </w:r>
          </w:p>
        </w:tc>
        <w:tc>
          <w:tcPr>
            <w:tcW w:w="991" w:type="dxa"/>
            <w:tcBorders>
              <w:top w:val="single" w:sz="8" w:space="0" w:color="auto"/>
              <w:left w:val="nil"/>
              <w:bottom w:val="single" w:sz="4" w:space="0" w:color="auto"/>
              <w:right w:val="nil"/>
            </w:tcBorders>
            <w:shd w:val="clear" w:color="000000" w:fill="FFFFFF"/>
            <w:noWrap/>
            <w:hideMark/>
          </w:tcPr>
          <w:p w14:paraId="1BEBFB97"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Dur.</w:t>
            </w:r>
          </w:p>
        </w:tc>
        <w:tc>
          <w:tcPr>
            <w:tcW w:w="897" w:type="dxa"/>
            <w:tcBorders>
              <w:top w:val="single" w:sz="8" w:space="0" w:color="auto"/>
              <w:left w:val="nil"/>
              <w:bottom w:val="single" w:sz="4" w:space="0" w:color="auto"/>
              <w:right w:val="nil"/>
            </w:tcBorders>
            <w:shd w:val="clear" w:color="000000" w:fill="FFFFFF"/>
            <w:noWrap/>
            <w:hideMark/>
          </w:tcPr>
          <w:p w14:paraId="471F9B02"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Dur. Acc.</w:t>
            </w:r>
          </w:p>
        </w:tc>
      </w:tr>
      <w:tr w:rsidR="00051702" w:rsidRPr="00A3614E" w14:paraId="17EC5152"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35DE211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States</w:t>
            </w:r>
          </w:p>
        </w:tc>
        <w:tc>
          <w:tcPr>
            <w:tcW w:w="1317" w:type="dxa"/>
            <w:tcBorders>
              <w:top w:val="nil"/>
              <w:left w:val="nil"/>
              <w:bottom w:val="nil"/>
              <w:right w:val="nil"/>
            </w:tcBorders>
            <w:shd w:val="clear" w:color="000000" w:fill="FFFFFF"/>
            <w:noWrap/>
            <w:hideMark/>
          </w:tcPr>
          <w:p w14:paraId="25A7345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B.1.2</w:t>
            </w:r>
          </w:p>
        </w:tc>
        <w:tc>
          <w:tcPr>
            <w:tcW w:w="1066" w:type="dxa"/>
            <w:tcBorders>
              <w:top w:val="nil"/>
              <w:left w:val="nil"/>
              <w:bottom w:val="nil"/>
              <w:right w:val="nil"/>
            </w:tcBorders>
            <w:shd w:val="clear" w:color="000000" w:fill="FFFFFF"/>
            <w:noWrap/>
            <w:hideMark/>
          </w:tcPr>
          <w:p w14:paraId="1A8F92B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2020-03-09</w:t>
            </w:r>
          </w:p>
        </w:tc>
        <w:tc>
          <w:tcPr>
            <w:tcW w:w="1107" w:type="dxa"/>
            <w:tcBorders>
              <w:top w:val="nil"/>
              <w:left w:val="nil"/>
              <w:bottom w:val="nil"/>
              <w:right w:val="nil"/>
            </w:tcBorders>
            <w:shd w:val="clear" w:color="000000" w:fill="FFFFFF"/>
            <w:noWrap/>
            <w:hideMark/>
          </w:tcPr>
          <w:p w14:paraId="10FB8D2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2023-07-17</w:t>
            </w:r>
          </w:p>
        </w:tc>
        <w:tc>
          <w:tcPr>
            <w:tcW w:w="1050" w:type="dxa"/>
            <w:tcBorders>
              <w:top w:val="nil"/>
              <w:left w:val="nil"/>
              <w:bottom w:val="nil"/>
              <w:right w:val="nil"/>
            </w:tcBorders>
            <w:shd w:val="clear" w:color="000000" w:fill="FFFFFF"/>
            <w:noWrap/>
            <w:hideMark/>
          </w:tcPr>
          <w:p w14:paraId="1D621C5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7E6A2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5E4BCF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33353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1313B5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62C2DF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57C212B7" w14:textId="77777777" w:rsidTr="00436C0C">
        <w:trPr>
          <w:trHeight w:val="216"/>
          <w:jc w:val="center"/>
        </w:trPr>
        <w:tc>
          <w:tcPr>
            <w:tcW w:w="1400" w:type="dxa"/>
            <w:vMerge/>
            <w:tcBorders>
              <w:top w:val="nil"/>
              <w:left w:val="nil"/>
              <w:bottom w:val="single" w:sz="4" w:space="0" w:color="000000"/>
              <w:right w:val="nil"/>
            </w:tcBorders>
            <w:hideMark/>
          </w:tcPr>
          <w:p w14:paraId="5FF8828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B4DA7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442E34D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2020-03-12</w:t>
            </w:r>
          </w:p>
        </w:tc>
        <w:tc>
          <w:tcPr>
            <w:tcW w:w="1107" w:type="dxa"/>
            <w:tcBorders>
              <w:top w:val="nil"/>
              <w:left w:val="nil"/>
              <w:bottom w:val="nil"/>
              <w:right w:val="nil"/>
            </w:tcBorders>
            <w:shd w:val="clear" w:color="000000" w:fill="FFFFFF"/>
            <w:noWrap/>
            <w:hideMark/>
          </w:tcPr>
          <w:p w14:paraId="3BADF0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2024-03-04</w:t>
            </w:r>
          </w:p>
        </w:tc>
        <w:tc>
          <w:tcPr>
            <w:tcW w:w="1050" w:type="dxa"/>
            <w:tcBorders>
              <w:top w:val="nil"/>
              <w:left w:val="nil"/>
              <w:bottom w:val="nil"/>
              <w:right w:val="nil"/>
            </w:tcBorders>
            <w:shd w:val="clear" w:color="000000" w:fill="FFFFFF"/>
            <w:noWrap/>
            <w:hideMark/>
          </w:tcPr>
          <w:p w14:paraId="1AF4FF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404F3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D03DAE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7F2BC1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625CFA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39D61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42187723" w14:textId="77777777" w:rsidTr="00436C0C">
        <w:trPr>
          <w:trHeight w:val="216"/>
          <w:jc w:val="center"/>
        </w:trPr>
        <w:tc>
          <w:tcPr>
            <w:tcW w:w="1400" w:type="dxa"/>
            <w:vMerge/>
            <w:tcBorders>
              <w:top w:val="nil"/>
              <w:left w:val="nil"/>
              <w:bottom w:val="single" w:sz="4" w:space="0" w:color="000000"/>
              <w:right w:val="nil"/>
            </w:tcBorders>
            <w:hideMark/>
          </w:tcPr>
          <w:p w14:paraId="4B54E5F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307661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1DE431A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2020-04-03</w:t>
            </w:r>
          </w:p>
        </w:tc>
        <w:tc>
          <w:tcPr>
            <w:tcW w:w="1107" w:type="dxa"/>
            <w:tcBorders>
              <w:top w:val="nil"/>
              <w:left w:val="nil"/>
              <w:bottom w:val="nil"/>
              <w:right w:val="nil"/>
            </w:tcBorders>
            <w:shd w:val="clear" w:color="000000" w:fill="FFFFFF"/>
            <w:noWrap/>
            <w:hideMark/>
          </w:tcPr>
          <w:p w14:paraId="5651E7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2024-08-22</w:t>
            </w:r>
          </w:p>
        </w:tc>
        <w:tc>
          <w:tcPr>
            <w:tcW w:w="1050" w:type="dxa"/>
            <w:tcBorders>
              <w:top w:val="nil"/>
              <w:left w:val="nil"/>
              <w:bottom w:val="nil"/>
              <w:right w:val="nil"/>
            </w:tcBorders>
            <w:shd w:val="clear" w:color="000000" w:fill="FFFFFF"/>
            <w:noWrap/>
            <w:hideMark/>
          </w:tcPr>
          <w:p w14:paraId="1F36814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90A90E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564ECE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BE0C8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98863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06371F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1E61777" w14:textId="77777777" w:rsidTr="00436C0C">
        <w:trPr>
          <w:trHeight w:val="216"/>
          <w:jc w:val="center"/>
        </w:trPr>
        <w:tc>
          <w:tcPr>
            <w:tcW w:w="1400" w:type="dxa"/>
            <w:vMerge/>
            <w:tcBorders>
              <w:top w:val="nil"/>
              <w:left w:val="nil"/>
              <w:bottom w:val="single" w:sz="4" w:space="0" w:color="000000"/>
              <w:right w:val="nil"/>
            </w:tcBorders>
            <w:hideMark/>
          </w:tcPr>
          <w:p w14:paraId="3F9F421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B77E6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9789CD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2020-04-04</w:t>
            </w:r>
          </w:p>
        </w:tc>
        <w:tc>
          <w:tcPr>
            <w:tcW w:w="1107" w:type="dxa"/>
            <w:tcBorders>
              <w:top w:val="nil"/>
              <w:left w:val="nil"/>
              <w:bottom w:val="nil"/>
              <w:right w:val="nil"/>
            </w:tcBorders>
            <w:shd w:val="clear" w:color="000000" w:fill="FFFFFF"/>
            <w:noWrap/>
            <w:hideMark/>
          </w:tcPr>
          <w:p w14:paraId="1325CE2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2024-07-16</w:t>
            </w:r>
          </w:p>
        </w:tc>
        <w:tc>
          <w:tcPr>
            <w:tcW w:w="1050" w:type="dxa"/>
            <w:tcBorders>
              <w:top w:val="nil"/>
              <w:left w:val="nil"/>
              <w:bottom w:val="nil"/>
              <w:right w:val="nil"/>
            </w:tcBorders>
            <w:shd w:val="clear" w:color="000000" w:fill="FFFFFF"/>
            <w:noWrap/>
            <w:hideMark/>
          </w:tcPr>
          <w:p w14:paraId="2C61A2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A9B24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28AD1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08676F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18EF9D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513566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107F8AE" w14:textId="77777777" w:rsidTr="00436C0C">
        <w:trPr>
          <w:trHeight w:val="216"/>
          <w:jc w:val="center"/>
        </w:trPr>
        <w:tc>
          <w:tcPr>
            <w:tcW w:w="1400" w:type="dxa"/>
            <w:vMerge/>
            <w:tcBorders>
              <w:top w:val="nil"/>
              <w:left w:val="nil"/>
              <w:bottom w:val="single" w:sz="4" w:space="0" w:color="000000"/>
              <w:right w:val="nil"/>
            </w:tcBorders>
            <w:hideMark/>
          </w:tcPr>
          <w:p w14:paraId="131F019B"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8D54D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AY.103</w:t>
            </w:r>
          </w:p>
        </w:tc>
        <w:tc>
          <w:tcPr>
            <w:tcW w:w="1066" w:type="dxa"/>
            <w:tcBorders>
              <w:top w:val="nil"/>
              <w:left w:val="nil"/>
              <w:bottom w:val="nil"/>
              <w:right w:val="nil"/>
            </w:tcBorders>
            <w:shd w:val="clear" w:color="000000" w:fill="FFFFFF"/>
            <w:noWrap/>
            <w:hideMark/>
          </w:tcPr>
          <w:p w14:paraId="73FC015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2020-05-14</w:t>
            </w:r>
          </w:p>
        </w:tc>
        <w:tc>
          <w:tcPr>
            <w:tcW w:w="1107" w:type="dxa"/>
            <w:tcBorders>
              <w:top w:val="nil"/>
              <w:left w:val="nil"/>
              <w:bottom w:val="nil"/>
              <w:right w:val="nil"/>
            </w:tcBorders>
            <w:shd w:val="clear" w:color="000000" w:fill="FFFFFF"/>
            <w:noWrap/>
            <w:hideMark/>
          </w:tcPr>
          <w:p w14:paraId="25CD170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2023-02-01</w:t>
            </w:r>
          </w:p>
        </w:tc>
        <w:tc>
          <w:tcPr>
            <w:tcW w:w="1050" w:type="dxa"/>
            <w:tcBorders>
              <w:top w:val="nil"/>
              <w:left w:val="nil"/>
              <w:bottom w:val="nil"/>
              <w:right w:val="nil"/>
            </w:tcBorders>
            <w:shd w:val="clear" w:color="000000" w:fill="FFFFFF"/>
            <w:noWrap/>
            <w:hideMark/>
          </w:tcPr>
          <w:p w14:paraId="47F9B4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98D7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813C7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BF88AC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8F0B1F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4E7F0A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FA1109F" w14:textId="77777777" w:rsidTr="00436C0C">
        <w:trPr>
          <w:trHeight w:val="216"/>
          <w:jc w:val="center"/>
        </w:trPr>
        <w:tc>
          <w:tcPr>
            <w:tcW w:w="1400" w:type="dxa"/>
            <w:vMerge/>
            <w:tcBorders>
              <w:top w:val="nil"/>
              <w:left w:val="nil"/>
              <w:bottom w:val="single" w:sz="4" w:space="0" w:color="000000"/>
              <w:right w:val="nil"/>
            </w:tcBorders>
            <w:hideMark/>
          </w:tcPr>
          <w:p w14:paraId="19DC0607"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8DFF3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BG (BA.2.12.1)</w:t>
            </w:r>
          </w:p>
        </w:tc>
        <w:tc>
          <w:tcPr>
            <w:tcW w:w="1066" w:type="dxa"/>
            <w:tcBorders>
              <w:top w:val="nil"/>
              <w:left w:val="nil"/>
              <w:bottom w:val="nil"/>
              <w:right w:val="nil"/>
            </w:tcBorders>
            <w:shd w:val="clear" w:color="000000" w:fill="FFFFFF"/>
            <w:noWrap/>
            <w:hideMark/>
          </w:tcPr>
          <w:p w14:paraId="32957DA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2020-08-18</w:t>
            </w:r>
          </w:p>
        </w:tc>
        <w:tc>
          <w:tcPr>
            <w:tcW w:w="1107" w:type="dxa"/>
            <w:tcBorders>
              <w:top w:val="nil"/>
              <w:left w:val="nil"/>
              <w:bottom w:val="nil"/>
              <w:right w:val="nil"/>
            </w:tcBorders>
            <w:shd w:val="clear" w:color="000000" w:fill="FFFFFF"/>
            <w:noWrap/>
            <w:hideMark/>
          </w:tcPr>
          <w:p w14:paraId="2C028F7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2024-08-28</w:t>
            </w:r>
          </w:p>
        </w:tc>
        <w:tc>
          <w:tcPr>
            <w:tcW w:w="1050" w:type="dxa"/>
            <w:tcBorders>
              <w:top w:val="nil"/>
              <w:left w:val="nil"/>
              <w:bottom w:val="nil"/>
              <w:right w:val="nil"/>
            </w:tcBorders>
            <w:shd w:val="clear" w:color="000000" w:fill="FFFFFF"/>
            <w:noWrap/>
            <w:hideMark/>
          </w:tcPr>
          <w:p w14:paraId="7947991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AC993D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238D8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DA42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52FFED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D5136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449CACF3" w14:textId="77777777" w:rsidTr="00436C0C">
        <w:trPr>
          <w:trHeight w:val="216"/>
          <w:jc w:val="center"/>
        </w:trPr>
        <w:tc>
          <w:tcPr>
            <w:tcW w:w="1400" w:type="dxa"/>
            <w:vMerge/>
            <w:tcBorders>
              <w:top w:val="nil"/>
              <w:left w:val="nil"/>
              <w:bottom w:val="single" w:sz="4" w:space="0" w:color="000000"/>
              <w:right w:val="nil"/>
            </w:tcBorders>
            <w:hideMark/>
          </w:tcPr>
          <w:p w14:paraId="0107594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1F82D5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78F03FD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2021-11-05</w:t>
            </w:r>
          </w:p>
        </w:tc>
        <w:tc>
          <w:tcPr>
            <w:tcW w:w="1107" w:type="dxa"/>
            <w:tcBorders>
              <w:top w:val="nil"/>
              <w:left w:val="nil"/>
              <w:bottom w:val="nil"/>
              <w:right w:val="nil"/>
            </w:tcBorders>
            <w:shd w:val="clear" w:color="000000" w:fill="FFFFFF"/>
            <w:noWrap/>
            <w:hideMark/>
          </w:tcPr>
          <w:p w14:paraId="33CD18C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2024-04-11</w:t>
            </w:r>
          </w:p>
        </w:tc>
        <w:tc>
          <w:tcPr>
            <w:tcW w:w="1050" w:type="dxa"/>
            <w:tcBorders>
              <w:top w:val="nil"/>
              <w:left w:val="nil"/>
              <w:bottom w:val="nil"/>
              <w:right w:val="nil"/>
            </w:tcBorders>
            <w:shd w:val="clear" w:color="000000" w:fill="FFFFFF"/>
            <w:noWrap/>
            <w:hideMark/>
          </w:tcPr>
          <w:p w14:paraId="5E3C05B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B460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5F9175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00100C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187B78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E9852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57D78D5" w14:textId="77777777" w:rsidTr="00436C0C">
        <w:trPr>
          <w:trHeight w:val="216"/>
          <w:jc w:val="center"/>
        </w:trPr>
        <w:tc>
          <w:tcPr>
            <w:tcW w:w="1400" w:type="dxa"/>
            <w:vMerge/>
            <w:tcBorders>
              <w:top w:val="nil"/>
              <w:left w:val="nil"/>
              <w:bottom w:val="single" w:sz="4" w:space="0" w:color="000000"/>
              <w:right w:val="nil"/>
            </w:tcBorders>
            <w:hideMark/>
          </w:tcPr>
          <w:p w14:paraId="49A3D28C"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CD130C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70484B8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2021-11-30</w:t>
            </w:r>
          </w:p>
        </w:tc>
        <w:tc>
          <w:tcPr>
            <w:tcW w:w="1107" w:type="dxa"/>
            <w:tcBorders>
              <w:top w:val="nil"/>
              <w:left w:val="nil"/>
              <w:bottom w:val="nil"/>
              <w:right w:val="nil"/>
            </w:tcBorders>
            <w:shd w:val="clear" w:color="000000" w:fill="FFFFFF"/>
            <w:noWrap/>
            <w:hideMark/>
          </w:tcPr>
          <w:p w14:paraId="20867E1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629F2E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B8E38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2FCA4F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150FD5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B1468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8F1F62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04AB6FB" w14:textId="77777777" w:rsidTr="00436C0C">
        <w:trPr>
          <w:trHeight w:val="216"/>
          <w:jc w:val="center"/>
        </w:trPr>
        <w:tc>
          <w:tcPr>
            <w:tcW w:w="1400" w:type="dxa"/>
            <w:vMerge/>
            <w:tcBorders>
              <w:top w:val="nil"/>
              <w:left w:val="nil"/>
              <w:bottom w:val="single" w:sz="4" w:space="0" w:color="000000"/>
              <w:right w:val="nil"/>
            </w:tcBorders>
            <w:hideMark/>
          </w:tcPr>
          <w:p w14:paraId="59915978"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822457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HV.1</w:t>
            </w:r>
          </w:p>
        </w:tc>
        <w:tc>
          <w:tcPr>
            <w:tcW w:w="1066" w:type="dxa"/>
            <w:tcBorders>
              <w:top w:val="nil"/>
              <w:left w:val="nil"/>
              <w:bottom w:val="nil"/>
              <w:right w:val="nil"/>
            </w:tcBorders>
            <w:shd w:val="clear" w:color="000000" w:fill="FFFFFF"/>
            <w:noWrap/>
            <w:hideMark/>
          </w:tcPr>
          <w:p w14:paraId="15D0675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718238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nil"/>
              <w:right w:val="nil"/>
            </w:tcBorders>
            <w:shd w:val="clear" w:color="000000" w:fill="FFFFFF"/>
            <w:noWrap/>
            <w:hideMark/>
          </w:tcPr>
          <w:p w14:paraId="7418E0F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97B50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ACFFAF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7DA9EA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9065C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41FBA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B19B5EC" w14:textId="77777777" w:rsidTr="00436C0C">
        <w:trPr>
          <w:trHeight w:val="216"/>
          <w:jc w:val="center"/>
        </w:trPr>
        <w:tc>
          <w:tcPr>
            <w:tcW w:w="1400" w:type="dxa"/>
            <w:vMerge/>
            <w:tcBorders>
              <w:top w:val="nil"/>
              <w:left w:val="nil"/>
              <w:bottom w:val="single" w:sz="4" w:space="0" w:color="000000"/>
              <w:right w:val="nil"/>
            </w:tcBorders>
            <w:hideMark/>
          </w:tcPr>
          <w:p w14:paraId="6D5A6D02"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114DDE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58921AF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821887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2024-08-31</w:t>
            </w:r>
          </w:p>
        </w:tc>
        <w:tc>
          <w:tcPr>
            <w:tcW w:w="1050" w:type="dxa"/>
            <w:tcBorders>
              <w:top w:val="nil"/>
              <w:left w:val="nil"/>
              <w:bottom w:val="nil"/>
              <w:right w:val="nil"/>
            </w:tcBorders>
            <w:shd w:val="clear" w:color="000000" w:fill="FFFFFF"/>
            <w:noWrap/>
            <w:hideMark/>
          </w:tcPr>
          <w:p w14:paraId="397C238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A6CC39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998833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AEEF5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C5A855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7BAFA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8B90E86" w14:textId="77777777" w:rsidTr="00436C0C">
        <w:trPr>
          <w:trHeight w:val="216"/>
          <w:jc w:val="center"/>
        </w:trPr>
        <w:tc>
          <w:tcPr>
            <w:tcW w:w="1400" w:type="dxa"/>
            <w:vMerge/>
            <w:tcBorders>
              <w:top w:val="nil"/>
              <w:left w:val="nil"/>
              <w:bottom w:val="single" w:sz="4" w:space="0" w:color="000000"/>
              <w:right w:val="nil"/>
            </w:tcBorders>
            <w:hideMark/>
          </w:tcPr>
          <w:p w14:paraId="24650FF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421C8C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2F212D0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2023-09-13</w:t>
            </w:r>
          </w:p>
        </w:tc>
        <w:tc>
          <w:tcPr>
            <w:tcW w:w="1107" w:type="dxa"/>
            <w:tcBorders>
              <w:top w:val="nil"/>
              <w:left w:val="nil"/>
              <w:bottom w:val="nil"/>
              <w:right w:val="nil"/>
            </w:tcBorders>
            <w:shd w:val="clear" w:color="000000" w:fill="FFFFFF"/>
            <w:noWrap/>
            <w:hideMark/>
          </w:tcPr>
          <w:p w14:paraId="26CA17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2024-08-29</w:t>
            </w:r>
          </w:p>
        </w:tc>
        <w:tc>
          <w:tcPr>
            <w:tcW w:w="1050" w:type="dxa"/>
            <w:tcBorders>
              <w:top w:val="nil"/>
              <w:left w:val="nil"/>
              <w:bottom w:val="nil"/>
              <w:right w:val="nil"/>
            </w:tcBorders>
            <w:shd w:val="clear" w:color="000000" w:fill="FFFFFF"/>
            <w:noWrap/>
            <w:hideMark/>
          </w:tcPr>
          <w:p w14:paraId="31F92F0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8E6B4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5B631B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9D6EA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7A9DEB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AD2169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0BEA333F" w14:textId="77777777" w:rsidTr="00436C0C">
        <w:trPr>
          <w:trHeight w:val="216"/>
          <w:jc w:val="center"/>
        </w:trPr>
        <w:tc>
          <w:tcPr>
            <w:tcW w:w="1400" w:type="dxa"/>
            <w:vMerge/>
            <w:tcBorders>
              <w:top w:val="nil"/>
              <w:left w:val="nil"/>
              <w:bottom w:val="single" w:sz="4" w:space="0" w:color="000000"/>
              <w:right w:val="nil"/>
            </w:tcBorders>
            <w:hideMark/>
          </w:tcPr>
          <w:p w14:paraId="2E6EED98"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09D9B8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68)</w:t>
            </w:r>
          </w:p>
        </w:tc>
        <w:tc>
          <w:tcPr>
            <w:tcW w:w="1066" w:type="dxa"/>
            <w:tcBorders>
              <w:top w:val="nil"/>
              <w:left w:val="nil"/>
              <w:bottom w:val="single" w:sz="4" w:space="0" w:color="auto"/>
              <w:right w:val="nil"/>
            </w:tcBorders>
            <w:shd w:val="clear" w:color="000000" w:fill="FFFFFF"/>
            <w:noWrap/>
            <w:hideMark/>
          </w:tcPr>
          <w:p w14:paraId="6965B7C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7E475C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single" w:sz="4" w:space="0" w:color="auto"/>
              <w:right w:val="nil"/>
            </w:tcBorders>
            <w:shd w:val="clear" w:color="000000" w:fill="FFFFFF"/>
            <w:noWrap/>
            <w:hideMark/>
          </w:tcPr>
          <w:p w14:paraId="12A9F33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1CE540C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21F3E9E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2561900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2ADE093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231587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051702" w:rsidRPr="00A3614E" w14:paraId="3508D265"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32BCBC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Kingdom</w:t>
            </w:r>
          </w:p>
        </w:tc>
        <w:tc>
          <w:tcPr>
            <w:tcW w:w="1317" w:type="dxa"/>
            <w:tcBorders>
              <w:top w:val="nil"/>
              <w:left w:val="nil"/>
              <w:bottom w:val="nil"/>
              <w:right w:val="nil"/>
            </w:tcBorders>
            <w:shd w:val="clear" w:color="000000" w:fill="FFFFFF"/>
            <w:noWrap/>
            <w:hideMark/>
          </w:tcPr>
          <w:p w14:paraId="0D9C02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B.1.1</w:t>
            </w:r>
          </w:p>
        </w:tc>
        <w:tc>
          <w:tcPr>
            <w:tcW w:w="1066" w:type="dxa"/>
            <w:tcBorders>
              <w:top w:val="nil"/>
              <w:left w:val="nil"/>
              <w:bottom w:val="nil"/>
              <w:right w:val="nil"/>
            </w:tcBorders>
            <w:shd w:val="clear" w:color="000000" w:fill="FFFFFF"/>
            <w:noWrap/>
            <w:hideMark/>
          </w:tcPr>
          <w:p w14:paraId="3520E4B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nil"/>
              <w:right w:val="nil"/>
            </w:tcBorders>
            <w:shd w:val="clear" w:color="000000" w:fill="FFFFFF"/>
            <w:noWrap/>
            <w:hideMark/>
          </w:tcPr>
          <w:p w14:paraId="49F44B0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2022-06-23</w:t>
            </w:r>
          </w:p>
        </w:tc>
        <w:tc>
          <w:tcPr>
            <w:tcW w:w="1050" w:type="dxa"/>
            <w:tcBorders>
              <w:top w:val="nil"/>
              <w:left w:val="nil"/>
              <w:bottom w:val="nil"/>
              <w:right w:val="nil"/>
            </w:tcBorders>
            <w:shd w:val="clear" w:color="000000" w:fill="FFFFFF"/>
            <w:noWrap/>
            <w:hideMark/>
          </w:tcPr>
          <w:p w14:paraId="3BF01F7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5F5029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370F7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FE14B5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4114776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935EE6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0DEC630F" w14:textId="77777777" w:rsidTr="00436C0C">
        <w:trPr>
          <w:trHeight w:val="216"/>
          <w:jc w:val="center"/>
        </w:trPr>
        <w:tc>
          <w:tcPr>
            <w:tcW w:w="1400" w:type="dxa"/>
            <w:vMerge/>
            <w:tcBorders>
              <w:top w:val="nil"/>
              <w:left w:val="nil"/>
              <w:bottom w:val="single" w:sz="4" w:space="0" w:color="000000"/>
              <w:right w:val="nil"/>
            </w:tcBorders>
            <w:hideMark/>
          </w:tcPr>
          <w:p w14:paraId="2E7C3DC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F5A503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76C3F07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2020-03-03</w:t>
            </w:r>
          </w:p>
        </w:tc>
        <w:tc>
          <w:tcPr>
            <w:tcW w:w="1107" w:type="dxa"/>
            <w:tcBorders>
              <w:top w:val="nil"/>
              <w:left w:val="nil"/>
              <w:bottom w:val="nil"/>
              <w:right w:val="nil"/>
            </w:tcBorders>
            <w:shd w:val="clear" w:color="000000" w:fill="FFFFFF"/>
            <w:noWrap/>
            <w:hideMark/>
          </w:tcPr>
          <w:p w14:paraId="55EC348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2022-03-03</w:t>
            </w:r>
          </w:p>
        </w:tc>
        <w:tc>
          <w:tcPr>
            <w:tcW w:w="1050" w:type="dxa"/>
            <w:tcBorders>
              <w:top w:val="nil"/>
              <w:left w:val="nil"/>
              <w:bottom w:val="nil"/>
              <w:right w:val="nil"/>
            </w:tcBorders>
            <w:shd w:val="clear" w:color="000000" w:fill="FFFFFF"/>
            <w:noWrap/>
            <w:hideMark/>
          </w:tcPr>
          <w:p w14:paraId="61A82DA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BEB6CB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B703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450836C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729B0F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57754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73F23DF" w14:textId="77777777" w:rsidTr="00436C0C">
        <w:trPr>
          <w:trHeight w:val="216"/>
          <w:jc w:val="center"/>
        </w:trPr>
        <w:tc>
          <w:tcPr>
            <w:tcW w:w="1400" w:type="dxa"/>
            <w:vMerge/>
            <w:tcBorders>
              <w:top w:val="nil"/>
              <w:left w:val="nil"/>
              <w:bottom w:val="single" w:sz="4" w:space="0" w:color="000000"/>
              <w:right w:val="nil"/>
            </w:tcBorders>
            <w:hideMark/>
          </w:tcPr>
          <w:p w14:paraId="40A0DF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6B6EC3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629159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2021-01-01</w:t>
            </w:r>
          </w:p>
        </w:tc>
        <w:tc>
          <w:tcPr>
            <w:tcW w:w="1107" w:type="dxa"/>
            <w:tcBorders>
              <w:top w:val="nil"/>
              <w:left w:val="nil"/>
              <w:bottom w:val="nil"/>
              <w:right w:val="nil"/>
            </w:tcBorders>
            <w:shd w:val="clear" w:color="000000" w:fill="FFFFFF"/>
            <w:noWrap/>
            <w:hideMark/>
          </w:tcPr>
          <w:p w14:paraId="7D2BAA0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2024-01-13</w:t>
            </w:r>
          </w:p>
        </w:tc>
        <w:tc>
          <w:tcPr>
            <w:tcW w:w="1050" w:type="dxa"/>
            <w:tcBorders>
              <w:top w:val="nil"/>
              <w:left w:val="nil"/>
              <w:bottom w:val="nil"/>
              <w:right w:val="nil"/>
            </w:tcBorders>
            <w:shd w:val="clear" w:color="000000" w:fill="FFFFFF"/>
            <w:noWrap/>
            <w:hideMark/>
          </w:tcPr>
          <w:p w14:paraId="0F25D11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D41CF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687BB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F5DD2C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D6AD1F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606A04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56BA1534" w14:textId="77777777" w:rsidTr="00436C0C">
        <w:trPr>
          <w:trHeight w:val="216"/>
          <w:jc w:val="center"/>
        </w:trPr>
        <w:tc>
          <w:tcPr>
            <w:tcW w:w="1400" w:type="dxa"/>
            <w:vMerge/>
            <w:tcBorders>
              <w:top w:val="nil"/>
              <w:left w:val="nil"/>
              <w:bottom w:val="single" w:sz="4" w:space="0" w:color="000000"/>
              <w:right w:val="nil"/>
            </w:tcBorders>
            <w:hideMark/>
          </w:tcPr>
          <w:p w14:paraId="7C5013A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0FC2B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BA.5.1 (BA.5.1)</w:t>
            </w:r>
          </w:p>
        </w:tc>
        <w:tc>
          <w:tcPr>
            <w:tcW w:w="1066" w:type="dxa"/>
            <w:tcBorders>
              <w:top w:val="nil"/>
              <w:left w:val="nil"/>
              <w:bottom w:val="nil"/>
              <w:right w:val="nil"/>
            </w:tcBorders>
            <w:shd w:val="clear" w:color="000000" w:fill="FFFFFF"/>
            <w:noWrap/>
            <w:hideMark/>
          </w:tcPr>
          <w:p w14:paraId="22AEC64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2022-01-12</w:t>
            </w:r>
          </w:p>
        </w:tc>
        <w:tc>
          <w:tcPr>
            <w:tcW w:w="1107" w:type="dxa"/>
            <w:tcBorders>
              <w:top w:val="nil"/>
              <w:left w:val="nil"/>
              <w:bottom w:val="nil"/>
              <w:right w:val="nil"/>
            </w:tcBorders>
            <w:shd w:val="clear" w:color="000000" w:fill="FFFFFF"/>
            <w:noWrap/>
            <w:hideMark/>
          </w:tcPr>
          <w:p w14:paraId="25F9175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2024-05-10</w:t>
            </w:r>
          </w:p>
        </w:tc>
        <w:tc>
          <w:tcPr>
            <w:tcW w:w="1050" w:type="dxa"/>
            <w:tcBorders>
              <w:top w:val="nil"/>
              <w:left w:val="nil"/>
              <w:bottom w:val="nil"/>
              <w:right w:val="nil"/>
            </w:tcBorders>
            <w:shd w:val="clear" w:color="000000" w:fill="FFFFFF"/>
            <w:noWrap/>
            <w:hideMark/>
          </w:tcPr>
          <w:p w14:paraId="6001290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78F52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04C71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FB0E9D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1078C3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99BBD4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6B58851" w14:textId="77777777" w:rsidTr="00436C0C">
        <w:trPr>
          <w:trHeight w:val="216"/>
          <w:jc w:val="center"/>
        </w:trPr>
        <w:tc>
          <w:tcPr>
            <w:tcW w:w="1400" w:type="dxa"/>
            <w:vMerge/>
            <w:tcBorders>
              <w:top w:val="nil"/>
              <w:left w:val="nil"/>
              <w:bottom w:val="single" w:sz="4" w:space="0" w:color="000000"/>
              <w:right w:val="nil"/>
            </w:tcBorders>
            <w:hideMark/>
          </w:tcPr>
          <w:p w14:paraId="3BCC4AC0"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5C7FF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22A5126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2022-01-17</w:t>
            </w:r>
          </w:p>
        </w:tc>
        <w:tc>
          <w:tcPr>
            <w:tcW w:w="1107" w:type="dxa"/>
            <w:tcBorders>
              <w:top w:val="nil"/>
              <w:left w:val="nil"/>
              <w:bottom w:val="nil"/>
              <w:right w:val="nil"/>
            </w:tcBorders>
            <w:shd w:val="clear" w:color="000000" w:fill="FFFFFF"/>
            <w:noWrap/>
            <w:hideMark/>
          </w:tcPr>
          <w:p w14:paraId="31BEADD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2024-02-12</w:t>
            </w:r>
          </w:p>
        </w:tc>
        <w:tc>
          <w:tcPr>
            <w:tcW w:w="1050" w:type="dxa"/>
            <w:tcBorders>
              <w:top w:val="nil"/>
              <w:left w:val="nil"/>
              <w:bottom w:val="nil"/>
              <w:right w:val="nil"/>
            </w:tcBorders>
            <w:shd w:val="clear" w:color="000000" w:fill="FFFFFF"/>
            <w:noWrap/>
            <w:hideMark/>
          </w:tcPr>
          <w:p w14:paraId="7B1FD71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8B59D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0311E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0D3BC7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5F1F56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E5F3D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E1B45FC" w14:textId="77777777" w:rsidTr="00436C0C">
        <w:trPr>
          <w:trHeight w:val="216"/>
          <w:jc w:val="center"/>
        </w:trPr>
        <w:tc>
          <w:tcPr>
            <w:tcW w:w="1400" w:type="dxa"/>
            <w:vMerge/>
            <w:tcBorders>
              <w:top w:val="nil"/>
              <w:left w:val="nil"/>
              <w:bottom w:val="single" w:sz="4" w:space="0" w:color="000000"/>
              <w:right w:val="nil"/>
            </w:tcBorders>
            <w:hideMark/>
          </w:tcPr>
          <w:p w14:paraId="1D3B639E"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A6976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0AE929A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2022-02-11</w:t>
            </w:r>
          </w:p>
        </w:tc>
        <w:tc>
          <w:tcPr>
            <w:tcW w:w="1107" w:type="dxa"/>
            <w:tcBorders>
              <w:top w:val="nil"/>
              <w:left w:val="nil"/>
              <w:bottom w:val="nil"/>
              <w:right w:val="nil"/>
            </w:tcBorders>
            <w:shd w:val="clear" w:color="000000" w:fill="FFFFFF"/>
            <w:noWrap/>
            <w:hideMark/>
          </w:tcPr>
          <w:p w14:paraId="2DF0717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2024-01-01</w:t>
            </w:r>
          </w:p>
        </w:tc>
        <w:tc>
          <w:tcPr>
            <w:tcW w:w="1050" w:type="dxa"/>
            <w:tcBorders>
              <w:top w:val="nil"/>
              <w:left w:val="nil"/>
              <w:bottom w:val="nil"/>
              <w:right w:val="nil"/>
            </w:tcBorders>
            <w:shd w:val="clear" w:color="000000" w:fill="FFFFFF"/>
            <w:noWrap/>
            <w:hideMark/>
          </w:tcPr>
          <w:p w14:paraId="7C3DD51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B24E50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172A87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6B69BC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681F48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28E09D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8B5EB5B" w14:textId="77777777" w:rsidTr="00436C0C">
        <w:trPr>
          <w:trHeight w:val="216"/>
          <w:jc w:val="center"/>
        </w:trPr>
        <w:tc>
          <w:tcPr>
            <w:tcW w:w="1400" w:type="dxa"/>
            <w:vMerge/>
            <w:tcBorders>
              <w:top w:val="nil"/>
              <w:left w:val="nil"/>
              <w:bottom w:val="single" w:sz="4" w:space="0" w:color="000000"/>
              <w:right w:val="nil"/>
            </w:tcBorders>
            <w:hideMark/>
          </w:tcPr>
          <w:p w14:paraId="17588AB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ACEB2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69723F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2022-10-30</w:t>
            </w:r>
          </w:p>
        </w:tc>
        <w:tc>
          <w:tcPr>
            <w:tcW w:w="1107" w:type="dxa"/>
            <w:tcBorders>
              <w:top w:val="nil"/>
              <w:left w:val="nil"/>
              <w:bottom w:val="nil"/>
              <w:right w:val="nil"/>
            </w:tcBorders>
            <w:shd w:val="clear" w:color="000000" w:fill="FFFFFF"/>
            <w:noWrap/>
            <w:hideMark/>
          </w:tcPr>
          <w:p w14:paraId="0F4AD77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2024-05-28</w:t>
            </w:r>
          </w:p>
        </w:tc>
        <w:tc>
          <w:tcPr>
            <w:tcW w:w="1050" w:type="dxa"/>
            <w:tcBorders>
              <w:top w:val="nil"/>
              <w:left w:val="nil"/>
              <w:bottom w:val="nil"/>
              <w:right w:val="nil"/>
            </w:tcBorders>
            <w:shd w:val="clear" w:color="000000" w:fill="FFFFFF"/>
            <w:noWrap/>
            <w:hideMark/>
          </w:tcPr>
          <w:p w14:paraId="45383D2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98DF97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A872A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743F08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70106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A31848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40CA43B7" w14:textId="77777777" w:rsidTr="00436C0C">
        <w:trPr>
          <w:trHeight w:val="216"/>
          <w:jc w:val="center"/>
        </w:trPr>
        <w:tc>
          <w:tcPr>
            <w:tcW w:w="1400" w:type="dxa"/>
            <w:vMerge/>
            <w:tcBorders>
              <w:top w:val="nil"/>
              <w:left w:val="nil"/>
              <w:bottom w:val="single" w:sz="4" w:space="0" w:color="000000"/>
              <w:right w:val="nil"/>
            </w:tcBorders>
            <w:hideMark/>
          </w:tcPr>
          <w:p w14:paraId="76130AB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38F67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XBB.1.16</w:t>
            </w:r>
          </w:p>
        </w:tc>
        <w:tc>
          <w:tcPr>
            <w:tcW w:w="1066" w:type="dxa"/>
            <w:tcBorders>
              <w:top w:val="nil"/>
              <w:left w:val="nil"/>
              <w:bottom w:val="nil"/>
              <w:right w:val="nil"/>
            </w:tcBorders>
            <w:shd w:val="clear" w:color="000000" w:fill="FFFFFF"/>
            <w:noWrap/>
            <w:hideMark/>
          </w:tcPr>
          <w:p w14:paraId="3F7E88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2023-01-01</w:t>
            </w:r>
          </w:p>
        </w:tc>
        <w:tc>
          <w:tcPr>
            <w:tcW w:w="1107" w:type="dxa"/>
            <w:tcBorders>
              <w:top w:val="nil"/>
              <w:left w:val="nil"/>
              <w:bottom w:val="nil"/>
              <w:right w:val="nil"/>
            </w:tcBorders>
            <w:shd w:val="clear" w:color="000000" w:fill="FFFFFF"/>
            <w:noWrap/>
            <w:hideMark/>
          </w:tcPr>
          <w:p w14:paraId="743BE5B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2024-04-17</w:t>
            </w:r>
          </w:p>
        </w:tc>
        <w:tc>
          <w:tcPr>
            <w:tcW w:w="1050" w:type="dxa"/>
            <w:tcBorders>
              <w:top w:val="nil"/>
              <w:left w:val="nil"/>
              <w:bottom w:val="nil"/>
              <w:right w:val="nil"/>
            </w:tcBorders>
            <w:shd w:val="clear" w:color="000000" w:fill="FFFFFF"/>
            <w:noWrap/>
            <w:hideMark/>
          </w:tcPr>
          <w:p w14:paraId="38E796F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79819B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120397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C4A0B0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F95381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A94FD6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6BBAF53" w14:textId="77777777" w:rsidTr="00436C0C">
        <w:trPr>
          <w:trHeight w:val="216"/>
          <w:jc w:val="center"/>
        </w:trPr>
        <w:tc>
          <w:tcPr>
            <w:tcW w:w="1400" w:type="dxa"/>
            <w:vMerge/>
            <w:tcBorders>
              <w:top w:val="nil"/>
              <w:left w:val="nil"/>
              <w:bottom w:val="single" w:sz="4" w:space="0" w:color="000000"/>
              <w:right w:val="nil"/>
            </w:tcBorders>
            <w:hideMark/>
          </w:tcPr>
          <w:p w14:paraId="2A94A18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3051D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163EC62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2023-09-18</w:t>
            </w:r>
          </w:p>
        </w:tc>
        <w:tc>
          <w:tcPr>
            <w:tcW w:w="1107" w:type="dxa"/>
            <w:tcBorders>
              <w:top w:val="nil"/>
              <w:left w:val="nil"/>
              <w:bottom w:val="nil"/>
              <w:right w:val="nil"/>
            </w:tcBorders>
            <w:shd w:val="clear" w:color="000000" w:fill="FFFFFF"/>
            <w:noWrap/>
            <w:hideMark/>
          </w:tcPr>
          <w:p w14:paraId="0143E99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2024-08-25</w:t>
            </w:r>
          </w:p>
        </w:tc>
        <w:tc>
          <w:tcPr>
            <w:tcW w:w="1050" w:type="dxa"/>
            <w:tcBorders>
              <w:top w:val="nil"/>
              <w:left w:val="nil"/>
              <w:bottom w:val="nil"/>
              <w:right w:val="nil"/>
            </w:tcBorders>
            <w:shd w:val="clear" w:color="000000" w:fill="FFFFFF"/>
            <w:noWrap/>
            <w:hideMark/>
          </w:tcPr>
          <w:p w14:paraId="2563D94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29474A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44D19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CD472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D4BBEE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DE71FC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63E1C42" w14:textId="77777777" w:rsidTr="00436C0C">
        <w:trPr>
          <w:trHeight w:val="216"/>
          <w:jc w:val="center"/>
        </w:trPr>
        <w:tc>
          <w:tcPr>
            <w:tcW w:w="1400" w:type="dxa"/>
            <w:vMerge/>
            <w:tcBorders>
              <w:top w:val="nil"/>
              <w:left w:val="nil"/>
              <w:bottom w:val="single" w:sz="4" w:space="0" w:color="000000"/>
              <w:right w:val="nil"/>
            </w:tcBorders>
            <w:hideMark/>
          </w:tcPr>
          <w:p w14:paraId="5941D14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D07621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2F4C0F5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2023-09-21</w:t>
            </w:r>
          </w:p>
        </w:tc>
        <w:tc>
          <w:tcPr>
            <w:tcW w:w="1107" w:type="dxa"/>
            <w:tcBorders>
              <w:top w:val="nil"/>
              <w:left w:val="nil"/>
              <w:bottom w:val="nil"/>
              <w:right w:val="nil"/>
            </w:tcBorders>
            <w:shd w:val="clear" w:color="000000" w:fill="FFFFFF"/>
            <w:noWrap/>
            <w:hideMark/>
          </w:tcPr>
          <w:p w14:paraId="13F61CE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2024-08-24</w:t>
            </w:r>
          </w:p>
        </w:tc>
        <w:tc>
          <w:tcPr>
            <w:tcW w:w="1050" w:type="dxa"/>
            <w:tcBorders>
              <w:top w:val="nil"/>
              <w:left w:val="nil"/>
              <w:bottom w:val="nil"/>
              <w:right w:val="nil"/>
            </w:tcBorders>
            <w:shd w:val="clear" w:color="000000" w:fill="FFFFFF"/>
            <w:noWrap/>
            <w:hideMark/>
          </w:tcPr>
          <w:p w14:paraId="63C0AE8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1F34EB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E20E4F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EFC504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0A1E79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E3DDC6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22C5908" w14:textId="77777777" w:rsidTr="00436C0C">
        <w:trPr>
          <w:trHeight w:val="216"/>
          <w:jc w:val="center"/>
        </w:trPr>
        <w:tc>
          <w:tcPr>
            <w:tcW w:w="1400" w:type="dxa"/>
            <w:vMerge/>
            <w:tcBorders>
              <w:top w:val="nil"/>
              <w:left w:val="nil"/>
              <w:bottom w:val="single" w:sz="4" w:space="0" w:color="000000"/>
              <w:right w:val="nil"/>
            </w:tcBorders>
            <w:hideMark/>
          </w:tcPr>
          <w:p w14:paraId="77CF07E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5C70549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76)</w:t>
            </w:r>
          </w:p>
        </w:tc>
        <w:tc>
          <w:tcPr>
            <w:tcW w:w="1066" w:type="dxa"/>
            <w:tcBorders>
              <w:top w:val="nil"/>
              <w:left w:val="nil"/>
              <w:bottom w:val="single" w:sz="4" w:space="0" w:color="auto"/>
              <w:right w:val="nil"/>
            </w:tcBorders>
            <w:shd w:val="clear" w:color="000000" w:fill="FFFFFF"/>
            <w:noWrap/>
            <w:hideMark/>
          </w:tcPr>
          <w:p w14:paraId="5C6AB70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04FC06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2024-07-10</w:t>
            </w:r>
          </w:p>
        </w:tc>
        <w:tc>
          <w:tcPr>
            <w:tcW w:w="1050" w:type="dxa"/>
            <w:tcBorders>
              <w:top w:val="nil"/>
              <w:left w:val="nil"/>
              <w:bottom w:val="single" w:sz="4" w:space="0" w:color="auto"/>
              <w:right w:val="nil"/>
            </w:tcBorders>
            <w:shd w:val="clear" w:color="000000" w:fill="FFFFFF"/>
            <w:noWrap/>
            <w:hideMark/>
          </w:tcPr>
          <w:p w14:paraId="53867BA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942F7E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492C6BB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482E65A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36FE039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49DCAED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051702" w:rsidRPr="00A3614E" w14:paraId="2FCD7EBA"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A60431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South Korea</w:t>
            </w:r>
          </w:p>
        </w:tc>
        <w:tc>
          <w:tcPr>
            <w:tcW w:w="1317" w:type="dxa"/>
            <w:tcBorders>
              <w:top w:val="nil"/>
              <w:left w:val="nil"/>
              <w:bottom w:val="nil"/>
              <w:right w:val="nil"/>
            </w:tcBorders>
            <w:shd w:val="clear" w:color="000000" w:fill="FFFFFF"/>
            <w:noWrap/>
            <w:hideMark/>
          </w:tcPr>
          <w:p w14:paraId="09FB02F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B.1.619.1</w:t>
            </w:r>
          </w:p>
        </w:tc>
        <w:tc>
          <w:tcPr>
            <w:tcW w:w="1066" w:type="dxa"/>
            <w:tcBorders>
              <w:top w:val="nil"/>
              <w:left w:val="nil"/>
              <w:bottom w:val="nil"/>
              <w:right w:val="nil"/>
            </w:tcBorders>
            <w:shd w:val="clear" w:color="000000" w:fill="FFFFFF"/>
            <w:noWrap/>
            <w:hideMark/>
          </w:tcPr>
          <w:p w14:paraId="7DAD218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2021-02-22</w:t>
            </w:r>
          </w:p>
        </w:tc>
        <w:tc>
          <w:tcPr>
            <w:tcW w:w="1107" w:type="dxa"/>
            <w:tcBorders>
              <w:top w:val="nil"/>
              <w:left w:val="nil"/>
              <w:bottom w:val="nil"/>
              <w:right w:val="nil"/>
            </w:tcBorders>
            <w:shd w:val="clear" w:color="000000" w:fill="FFFFFF"/>
            <w:noWrap/>
            <w:hideMark/>
          </w:tcPr>
          <w:p w14:paraId="75ED396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2021-09-21</w:t>
            </w:r>
          </w:p>
        </w:tc>
        <w:tc>
          <w:tcPr>
            <w:tcW w:w="1050" w:type="dxa"/>
            <w:tcBorders>
              <w:top w:val="nil"/>
              <w:left w:val="nil"/>
              <w:bottom w:val="nil"/>
              <w:right w:val="nil"/>
            </w:tcBorders>
            <w:shd w:val="clear" w:color="000000" w:fill="FFFFFF"/>
            <w:noWrap/>
            <w:hideMark/>
          </w:tcPr>
          <w:p w14:paraId="28BFDEC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3D2B20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5050E7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E09979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10A69C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789E2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C5FC4C7" w14:textId="77777777" w:rsidTr="00436C0C">
        <w:trPr>
          <w:trHeight w:val="216"/>
          <w:jc w:val="center"/>
        </w:trPr>
        <w:tc>
          <w:tcPr>
            <w:tcW w:w="1400" w:type="dxa"/>
            <w:vMerge/>
            <w:tcBorders>
              <w:top w:val="nil"/>
              <w:left w:val="nil"/>
              <w:bottom w:val="single" w:sz="4" w:space="0" w:color="000000"/>
              <w:right w:val="nil"/>
            </w:tcBorders>
            <w:hideMark/>
          </w:tcPr>
          <w:p w14:paraId="7983734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2EA05C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 (B.1.617.2)</w:t>
            </w:r>
          </w:p>
        </w:tc>
        <w:tc>
          <w:tcPr>
            <w:tcW w:w="1066" w:type="dxa"/>
            <w:tcBorders>
              <w:top w:val="nil"/>
              <w:left w:val="nil"/>
              <w:bottom w:val="nil"/>
              <w:right w:val="nil"/>
            </w:tcBorders>
            <w:shd w:val="clear" w:color="000000" w:fill="FFFFFF"/>
            <w:noWrap/>
            <w:hideMark/>
          </w:tcPr>
          <w:p w14:paraId="26EC190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2021-04-22</w:t>
            </w:r>
          </w:p>
        </w:tc>
        <w:tc>
          <w:tcPr>
            <w:tcW w:w="1107" w:type="dxa"/>
            <w:tcBorders>
              <w:top w:val="nil"/>
              <w:left w:val="nil"/>
              <w:bottom w:val="nil"/>
              <w:right w:val="nil"/>
            </w:tcBorders>
            <w:shd w:val="clear" w:color="000000" w:fill="FFFFFF"/>
            <w:noWrap/>
            <w:hideMark/>
          </w:tcPr>
          <w:p w14:paraId="4A88F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2023-07-11</w:t>
            </w:r>
          </w:p>
        </w:tc>
        <w:tc>
          <w:tcPr>
            <w:tcW w:w="1050" w:type="dxa"/>
            <w:tcBorders>
              <w:top w:val="nil"/>
              <w:left w:val="nil"/>
              <w:bottom w:val="nil"/>
              <w:right w:val="nil"/>
            </w:tcBorders>
            <w:shd w:val="clear" w:color="000000" w:fill="FFFFFF"/>
            <w:noWrap/>
            <w:hideMark/>
          </w:tcPr>
          <w:p w14:paraId="04CA48A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F51AE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B9B307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B9F9A7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4F6123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F257E0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E7D8233" w14:textId="77777777" w:rsidTr="00436C0C">
        <w:trPr>
          <w:trHeight w:val="216"/>
          <w:jc w:val="center"/>
        </w:trPr>
        <w:tc>
          <w:tcPr>
            <w:tcW w:w="1400" w:type="dxa"/>
            <w:vMerge/>
            <w:tcBorders>
              <w:top w:val="nil"/>
              <w:left w:val="nil"/>
              <w:bottom w:val="single" w:sz="4" w:space="0" w:color="000000"/>
              <w:right w:val="nil"/>
            </w:tcBorders>
            <w:hideMark/>
          </w:tcPr>
          <w:p w14:paraId="310CED0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7EDB3D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AY.69</w:t>
            </w:r>
          </w:p>
        </w:tc>
        <w:tc>
          <w:tcPr>
            <w:tcW w:w="1066" w:type="dxa"/>
            <w:tcBorders>
              <w:top w:val="nil"/>
              <w:left w:val="nil"/>
              <w:bottom w:val="nil"/>
              <w:right w:val="nil"/>
            </w:tcBorders>
            <w:shd w:val="clear" w:color="000000" w:fill="FFFFFF"/>
            <w:noWrap/>
            <w:hideMark/>
          </w:tcPr>
          <w:p w14:paraId="5519A6A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2021-05-15</w:t>
            </w:r>
          </w:p>
        </w:tc>
        <w:tc>
          <w:tcPr>
            <w:tcW w:w="1107" w:type="dxa"/>
            <w:tcBorders>
              <w:top w:val="nil"/>
              <w:left w:val="nil"/>
              <w:bottom w:val="nil"/>
              <w:right w:val="nil"/>
            </w:tcBorders>
            <w:shd w:val="clear" w:color="000000" w:fill="FFFFFF"/>
            <w:noWrap/>
            <w:hideMark/>
          </w:tcPr>
          <w:p w14:paraId="541A790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2022-02-10</w:t>
            </w:r>
          </w:p>
        </w:tc>
        <w:tc>
          <w:tcPr>
            <w:tcW w:w="1050" w:type="dxa"/>
            <w:tcBorders>
              <w:top w:val="nil"/>
              <w:left w:val="nil"/>
              <w:bottom w:val="nil"/>
              <w:right w:val="nil"/>
            </w:tcBorders>
            <w:shd w:val="clear" w:color="000000" w:fill="FFFFFF"/>
            <w:noWrap/>
            <w:hideMark/>
          </w:tcPr>
          <w:p w14:paraId="16A1FC2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F5237C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31E9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45C5FD2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78C7C0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37F1C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C910327" w14:textId="77777777" w:rsidTr="00436C0C">
        <w:trPr>
          <w:trHeight w:val="216"/>
          <w:jc w:val="center"/>
        </w:trPr>
        <w:tc>
          <w:tcPr>
            <w:tcW w:w="1400" w:type="dxa"/>
            <w:vMerge/>
            <w:tcBorders>
              <w:top w:val="nil"/>
              <w:left w:val="nil"/>
              <w:bottom w:val="single" w:sz="4" w:space="0" w:color="000000"/>
              <w:right w:val="nil"/>
            </w:tcBorders>
            <w:hideMark/>
          </w:tcPr>
          <w:p w14:paraId="2FF8EA0C"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B378A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AY.122.5</w:t>
            </w:r>
          </w:p>
        </w:tc>
        <w:tc>
          <w:tcPr>
            <w:tcW w:w="1066" w:type="dxa"/>
            <w:tcBorders>
              <w:top w:val="nil"/>
              <w:left w:val="nil"/>
              <w:bottom w:val="nil"/>
              <w:right w:val="nil"/>
            </w:tcBorders>
            <w:shd w:val="clear" w:color="000000" w:fill="FFFFFF"/>
            <w:noWrap/>
            <w:hideMark/>
          </w:tcPr>
          <w:p w14:paraId="1CBEB1E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2021-08-08</w:t>
            </w:r>
          </w:p>
        </w:tc>
        <w:tc>
          <w:tcPr>
            <w:tcW w:w="1107" w:type="dxa"/>
            <w:tcBorders>
              <w:top w:val="nil"/>
              <w:left w:val="nil"/>
              <w:bottom w:val="nil"/>
              <w:right w:val="nil"/>
            </w:tcBorders>
            <w:shd w:val="clear" w:color="000000" w:fill="FFFFFF"/>
            <w:noWrap/>
            <w:hideMark/>
          </w:tcPr>
          <w:p w14:paraId="5ABCC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2022-03-04</w:t>
            </w:r>
          </w:p>
        </w:tc>
        <w:tc>
          <w:tcPr>
            <w:tcW w:w="1050" w:type="dxa"/>
            <w:tcBorders>
              <w:top w:val="nil"/>
              <w:left w:val="nil"/>
              <w:bottom w:val="nil"/>
              <w:right w:val="nil"/>
            </w:tcBorders>
            <w:shd w:val="clear" w:color="000000" w:fill="FFFFFF"/>
            <w:noWrap/>
            <w:hideMark/>
          </w:tcPr>
          <w:p w14:paraId="187CCB3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68D758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BE2360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040562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F370B3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DB6E58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5FD37498" w14:textId="77777777" w:rsidTr="00436C0C">
        <w:trPr>
          <w:trHeight w:val="216"/>
          <w:jc w:val="center"/>
        </w:trPr>
        <w:tc>
          <w:tcPr>
            <w:tcW w:w="1400" w:type="dxa"/>
            <w:vMerge/>
            <w:tcBorders>
              <w:top w:val="nil"/>
              <w:left w:val="nil"/>
              <w:bottom w:val="single" w:sz="4" w:space="0" w:color="000000"/>
              <w:right w:val="nil"/>
            </w:tcBorders>
            <w:hideMark/>
          </w:tcPr>
          <w:p w14:paraId="0232BA2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F1CFD0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BA.2.3 (BA.2.3)</w:t>
            </w:r>
          </w:p>
        </w:tc>
        <w:tc>
          <w:tcPr>
            <w:tcW w:w="1066" w:type="dxa"/>
            <w:tcBorders>
              <w:top w:val="nil"/>
              <w:left w:val="nil"/>
              <w:bottom w:val="nil"/>
              <w:right w:val="nil"/>
            </w:tcBorders>
            <w:shd w:val="clear" w:color="000000" w:fill="FFFFFF"/>
            <w:noWrap/>
            <w:hideMark/>
          </w:tcPr>
          <w:p w14:paraId="4622F31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2021-12-29</w:t>
            </w:r>
          </w:p>
        </w:tc>
        <w:tc>
          <w:tcPr>
            <w:tcW w:w="1107" w:type="dxa"/>
            <w:tcBorders>
              <w:top w:val="nil"/>
              <w:left w:val="nil"/>
              <w:bottom w:val="nil"/>
              <w:right w:val="nil"/>
            </w:tcBorders>
            <w:shd w:val="clear" w:color="000000" w:fill="FFFFFF"/>
            <w:noWrap/>
            <w:hideMark/>
          </w:tcPr>
          <w:p w14:paraId="45D4C77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2023-03-15</w:t>
            </w:r>
          </w:p>
        </w:tc>
        <w:tc>
          <w:tcPr>
            <w:tcW w:w="1050" w:type="dxa"/>
            <w:tcBorders>
              <w:top w:val="nil"/>
              <w:left w:val="nil"/>
              <w:bottom w:val="nil"/>
              <w:right w:val="nil"/>
            </w:tcBorders>
            <w:shd w:val="clear" w:color="000000" w:fill="FFFFFF"/>
            <w:noWrap/>
            <w:hideMark/>
          </w:tcPr>
          <w:p w14:paraId="0EF61C9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2B2C0D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E9BD91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BE4D0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0F5F1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CBED3E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2D76BE0" w14:textId="77777777" w:rsidTr="00436C0C">
        <w:trPr>
          <w:trHeight w:val="216"/>
          <w:jc w:val="center"/>
        </w:trPr>
        <w:tc>
          <w:tcPr>
            <w:tcW w:w="1400" w:type="dxa"/>
            <w:vMerge/>
            <w:tcBorders>
              <w:top w:val="nil"/>
              <w:left w:val="nil"/>
              <w:bottom w:val="single" w:sz="4" w:space="0" w:color="000000"/>
              <w:right w:val="nil"/>
            </w:tcBorders>
            <w:hideMark/>
          </w:tcPr>
          <w:p w14:paraId="4E2CCFD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82E8F8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1D43E8E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2022-05-10</w:t>
            </w:r>
          </w:p>
        </w:tc>
        <w:tc>
          <w:tcPr>
            <w:tcW w:w="1107" w:type="dxa"/>
            <w:tcBorders>
              <w:top w:val="nil"/>
              <w:left w:val="nil"/>
              <w:bottom w:val="nil"/>
              <w:right w:val="nil"/>
            </w:tcBorders>
            <w:shd w:val="clear" w:color="000000" w:fill="FFFFFF"/>
            <w:noWrap/>
            <w:hideMark/>
          </w:tcPr>
          <w:p w14:paraId="514AEA1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2023-04-15</w:t>
            </w:r>
          </w:p>
        </w:tc>
        <w:tc>
          <w:tcPr>
            <w:tcW w:w="1050" w:type="dxa"/>
            <w:tcBorders>
              <w:top w:val="nil"/>
              <w:left w:val="nil"/>
              <w:bottom w:val="nil"/>
              <w:right w:val="nil"/>
            </w:tcBorders>
            <w:shd w:val="clear" w:color="000000" w:fill="FFFFFF"/>
            <w:noWrap/>
            <w:hideMark/>
          </w:tcPr>
          <w:p w14:paraId="42035E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63D0A6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EC58CF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BBD3D9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5EF9DB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483797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0EF60401" w14:textId="77777777" w:rsidTr="00436C0C">
        <w:trPr>
          <w:trHeight w:val="216"/>
          <w:jc w:val="center"/>
        </w:trPr>
        <w:tc>
          <w:tcPr>
            <w:tcW w:w="1400" w:type="dxa"/>
            <w:vMerge/>
            <w:tcBorders>
              <w:top w:val="nil"/>
              <w:left w:val="nil"/>
              <w:bottom w:val="single" w:sz="4" w:space="0" w:color="000000"/>
              <w:right w:val="nil"/>
            </w:tcBorders>
            <w:hideMark/>
          </w:tcPr>
          <w:p w14:paraId="0D52393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6696F0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35D487E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2022-05-11</w:t>
            </w:r>
          </w:p>
        </w:tc>
        <w:tc>
          <w:tcPr>
            <w:tcW w:w="1107" w:type="dxa"/>
            <w:tcBorders>
              <w:top w:val="nil"/>
              <w:left w:val="nil"/>
              <w:bottom w:val="nil"/>
              <w:right w:val="nil"/>
            </w:tcBorders>
            <w:shd w:val="clear" w:color="000000" w:fill="FFFFFF"/>
            <w:noWrap/>
            <w:hideMark/>
          </w:tcPr>
          <w:p w14:paraId="356D88A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2024-01-22</w:t>
            </w:r>
          </w:p>
        </w:tc>
        <w:tc>
          <w:tcPr>
            <w:tcW w:w="1050" w:type="dxa"/>
            <w:tcBorders>
              <w:top w:val="nil"/>
              <w:left w:val="nil"/>
              <w:bottom w:val="nil"/>
              <w:right w:val="nil"/>
            </w:tcBorders>
            <w:shd w:val="clear" w:color="000000" w:fill="FFFFFF"/>
            <w:noWrap/>
            <w:hideMark/>
          </w:tcPr>
          <w:p w14:paraId="46200DD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6BFBA2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455948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230E76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92914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813E99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BC4EF94" w14:textId="77777777" w:rsidTr="00436C0C">
        <w:trPr>
          <w:trHeight w:val="216"/>
          <w:jc w:val="center"/>
        </w:trPr>
        <w:tc>
          <w:tcPr>
            <w:tcW w:w="1400" w:type="dxa"/>
            <w:vMerge/>
            <w:tcBorders>
              <w:top w:val="nil"/>
              <w:left w:val="nil"/>
              <w:bottom w:val="single" w:sz="4" w:space="0" w:color="000000"/>
              <w:right w:val="nil"/>
            </w:tcBorders>
            <w:hideMark/>
          </w:tcPr>
          <w:p w14:paraId="0F04574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495327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5ABE83E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2022-11-23</w:t>
            </w:r>
          </w:p>
        </w:tc>
        <w:tc>
          <w:tcPr>
            <w:tcW w:w="1107" w:type="dxa"/>
            <w:tcBorders>
              <w:top w:val="nil"/>
              <w:left w:val="nil"/>
              <w:bottom w:val="nil"/>
              <w:right w:val="nil"/>
            </w:tcBorders>
            <w:shd w:val="clear" w:color="000000" w:fill="FFFFFF"/>
            <w:noWrap/>
            <w:hideMark/>
          </w:tcPr>
          <w:p w14:paraId="59D7325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2023-12-11</w:t>
            </w:r>
          </w:p>
        </w:tc>
        <w:tc>
          <w:tcPr>
            <w:tcW w:w="1050" w:type="dxa"/>
            <w:tcBorders>
              <w:top w:val="nil"/>
              <w:left w:val="nil"/>
              <w:bottom w:val="nil"/>
              <w:right w:val="nil"/>
            </w:tcBorders>
            <w:shd w:val="clear" w:color="000000" w:fill="FFFFFF"/>
            <w:noWrap/>
            <w:hideMark/>
          </w:tcPr>
          <w:p w14:paraId="2FB35CB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EF8D74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B66E5B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587055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7E53B5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02162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01B1836" w14:textId="77777777" w:rsidTr="00436C0C">
        <w:trPr>
          <w:trHeight w:val="216"/>
          <w:jc w:val="center"/>
        </w:trPr>
        <w:tc>
          <w:tcPr>
            <w:tcW w:w="1400" w:type="dxa"/>
            <w:vMerge/>
            <w:tcBorders>
              <w:top w:val="nil"/>
              <w:left w:val="nil"/>
              <w:bottom w:val="single" w:sz="4" w:space="0" w:color="000000"/>
              <w:right w:val="nil"/>
            </w:tcBorders>
            <w:hideMark/>
          </w:tcPr>
          <w:p w14:paraId="3D27BE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8CFCDF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EG.5.1.1</w:t>
            </w:r>
          </w:p>
        </w:tc>
        <w:tc>
          <w:tcPr>
            <w:tcW w:w="1066" w:type="dxa"/>
            <w:tcBorders>
              <w:top w:val="nil"/>
              <w:left w:val="nil"/>
              <w:bottom w:val="nil"/>
              <w:right w:val="nil"/>
            </w:tcBorders>
            <w:shd w:val="clear" w:color="000000" w:fill="FFFFFF"/>
            <w:noWrap/>
            <w:hideMark/>
          </w:tcPr>
          <w:p w14:paraId="171D2A2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2023-05-16</w:t>
            </w:r>
          </w:p>
        </w:tc>
        <w:tc>
          <w:tcPr>
            <w:tcW w:w="1107" w:type="dxa"/>
            <w:tcBorders>
              <w:top w:val="nil"/>
              <w:left w:val="nil"/>
              <w:bottom w:val="nil"/>
              <w:right w:val="nil"/>
            </w:tcBorders>
            <w:shd w:val="clear" w:color="000000" w:fill="FFFFFF"/>
            <w:noWrap/>
            <w:hideMark/>
          </w:tcPr>
          <w:p w14:paraId="54E65D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249A06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3F2343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DC9D8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37356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AD000E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8BFC5F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0FF6908D" w14:textId="77777777" w:rsidTr="00436C0C">
        <w:trPr>
          <w:trHeight w:val="216"/>
          <w:jc w:val="center"/>
        </w:trPr>
        <w:tc>
          <w:tcPr>
            <w:tcW w:w="1400" w:type="dxa"/>
            <w:vMerge/>
            <w:tcBorders>
              <w:top w:val="nil"/>
              <w:left w:val="nil"/>
              <w:bottom w:val="single" w:sz="4" w:space="0" w:color="000000"/>
              <w:right w:val="nil"/>
            </w:tcBorders>
            <w:hideMark/>
          </w:tcPr>
          <w:p w14:paraId="7A7C83E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5DD9FF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HK.3</w:t>
            </w:r>
          </w:p>
        </w:tc>
        <w:tc>
          <w:tcPr>
            <w:tcW w:w="1066" w:type="dxa"/>
            <w:tcBorders>
              <w:top w:val="nil"/>
              <w:left w:val="nil"/>
              <w:bottom w:val="nil"/>
              <w:right w:val="nil"/>
            </w:tcBorders>
            <w:shd w:val="clear" w:color="000000" w:fill="FFFFFF"/>
            <w:noWrap/>
            <w:hideMark/>
          </w:tcPr>
          <w:p w14:paraId="724EBF9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2023-07-04</w:t>
            </w:r>
          </w:p>
        </w:tc>
        <w:tc>
          <w:tcPr>
            <w:tcW w:w="1107" w:type="dxa"/>
            <w:tcBorders>
              <w:top w:val="nil"/>
              <w:left w:val="nil"/>
              <w:bottom w:val="nil"/>
              <w:right w:val="nil"/>
            </w:tcBorders>
            <w:shd w:val="clear" w:color="000000" w:fill="FFFFFF"/>
            <w:noWrap/>
            <w:hideMark/>
          </w:tcPr>
          <w:p w14:paraId="5218DD2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2024-04-15</w:t>
            </w:r>
          </w:p>
        </w:tc>
        <w:tc>
          <w:tcPr>
            <w:tcW w:w="1050" w:type="dxa"/>
            <w:tcBorders>
              <w:top w:val="nil"/>
              <w:left w:val="nil"/>
              <w:bottom w:val="nil"/>
              <w:right w:val="nil"/>
            </w:tcBorders>
            <w:shd w:val="clear" w:color="000000" w:fill="FFFFFF"/>
            <w:noWrap/>
            <w:hideMark/>
          </w:tcPr>
          <w:p w14:paraId="1EE9A83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4E8226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87C6EA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8AE077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760167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C4A0D8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8EF0FDD" w14:textId="77777777" w:rsidTr="00436C0C">
        <w:trPr>
          <w:trHeight w:val="216"/>
          <w:jc w:val="center"/>
        </w:trPr>
        <w:tc>
          <w:tcPr>
            <w:tcW w:w="1400" w:type="dxa"/>
            <w:vMerge/>
            <w:tcBorders>
              <w:top w:val="nil"/>
              <w:left w:val="nil"/>
              <w:bottom w:val="single" w:sz="4" w:space="0" w:color="000000"/>
              <w:right w:val="nil"/>
            </w:tcBorders>
            <w:hideMark/>
          </w:tcPr>
          <w:p w14:paraId="011418C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B07AD4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708EB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2023-10-24</w:t>
            </w:r>
          </w:p>
        </w:tc>
        <w:tc>
          <w:tcPr>
            <w:tcW w:w="1107" w:type="dxa"/>
            <w:tcBorders>
              <w:top w:val="nil"/>
              <w:left w:val="nil"/>
              <w:bottom w:val="nil"/>
              <w:right w:val="nil"/>
            </w:tcBorders>
            <w:shd w:val="clear" w:color="000000" w:fill="FFFFFF"/>
            <w:noWrap/>
            <w:hideMark/>
          </w:tcPr>
          <w:p w14:paraId="2F6106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2024-04-28</w:t>
            </w:r>
          </w:p>
        </w:tc>
        <w:tc>
          <w:tcPr>
            <w:tcW w:w="1050" w:type="dxa"/>
            <w:tcBorders>
              <w:top w:val="nil"/>
              <w:left w:val="nil"/>
              <w:bottom w:val="nil"/>
              <w:right w:val="nil"/>
            </w:tcBorders>
            <w:shd w:val="clear" w:color="000000" w:fill="FFFFFF"/>
            <w:noWrap/>
            <w:hideMark/>
          </w:tcPr>
          <w:p w14:paraId="383F325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B7A67A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E65E4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DBBE56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7C5D1D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B53CD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486CB63D" w14:textId="77777777" w:rsidTr="00436C0C">
        <w:trPr>
          <w:trHeight w:val="216"/>
          <w:jc w:val="center"/>
        </w:trPr>
        <w:tc>
          <w:tcPr>
            <w:tcW w:w="1400" w:type="dxa"/>
            <w:vMerge/>
            <w:tcBorders>
              <w:top w:val="nil"/>
              <w:left w:val="nil"/>
              <w:bottom w:val="single" w:sz="4" w:space="0" w:color="000000"/>
              <w:right w:val="nil"/>
            </w:tcBorders>
            <w:hideMark/>
          </w:tcPr>
          <w:p w14:paraId="064099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7594BE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37)</w:t>
            </w:r>
          </w:p>
        </w:tc>
        <w:tc>
          <w:tcPr>
            <w:tcW w:w="1066" w:type="dxa"/>
            <w:tcBorders>
              <w:top w:val="nil"/>
              <w:left w:val="nil"/>
              <w:bottom w:val="single" w:sz="4" w:space="0" w:color="auto"/>
              <w:right w:val="nil"/>
            </w:tcBorders>
            <w:shd w:val="clear" w:color="000000" w:fill="FFFFFF"/>
            <w:noWrap/>
            <w:hideMark/>
          </w:tcPr>
          <w:p w14:paraId="37C0BA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2021-02-08</w:t>
            </w:r>
          </w:p>
        </w:tc>
        <w:tc>
          <w:tcPr>
            <w:tcW w:w="1107" w:type="dxa"/>
            <w:tcBorders>
              <w:top w:val="nil"/>
              <w:left w:val="nil"/>
              <w:bottom w:val="single" w:sz="4" w:space="0" w:color="auto"/>
              <w:right w:val="nil"/>
            </w:tcBorders>
            <w:shd w:val="clear" w:color="000000" w:fill="FFFFFF"/>
            <w:noWrap/>
            <w:hideMark/>
          </w:tcPr>
          <w:p w14:paraId="77C4557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2024-02-20</w:t>
            </w:r>
          </w:p>
        </w:tc>
        <w:tc>
          <w:tcPr>
            <w:tcW w:w="1050" w:type="dxa"/>
            <w:tcBorders>
              <w:top w:val="nil"/>
              <w:left w:val="nil"/>
              <w:bottom w:val="single" w:sz="4" w:space="0" w:color="auto"/>
              <w:right w:val="nil"/>
            </w:tcBorders>
            <w:shd w:val="clear" w:color="000000" w:fill="FFFFFF"/>
            <w:noWrap/>
            <w:hideMark/>
          </w:tcPr>
          <w:p w14:paraId="421022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0015F70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5B2048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7965ACF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4CA8ED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07A462B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bl>
    <w:p w14:paraId="2199251A" w14:textId="77777777" w:rsidR="00051702" w:rsidRPr="00A3614E" w:rsidRDefault="00051702" w:rsidP="00051702">
      <w:pPr>
        <w:pStyle w:val="BodyText"/>
        <w:spacing w:line="276" w:lineRule="auto"/>
        <w:ind w:left="0"/>
        <w:contextualSpacing/>
        <w:jc w:val="both"/>
        <w:rPr>
          <w:rFonts w:eastAsiaTheme="minorEastAsia"/>
          <w:b/>
          <w:bCs/>
          <w:color w:val="000000" w:themeColor="text1"/>
          <w:sz w:val="22"/>
          <w:szCs w:val="22"/>
          <w:lang w:eastAsia="zh-CN"/>
        </w:rPr>
      </w:pPr>
    </w:p>
    <w:p w14:paraId="3AA86607" w14:textId="77777777" w:rsidR="00051702" w:rsidRPr="00A3614E" w:rsidRDefault="00051702" w:rsidP="00010D51">
      <w:pPr>
        <w:spacing w:line="276" w:lineRule="auto"/>
        <w:rPr>
          <w:rFonts w:ascii="Times New Roman" w:hAnsi="Times New Roman" w:cs="Times New Roman"/>
          <w:color w:val="000000" w:themeColor="text1"/>
          <w:lang w:eastAsia="ko-KR"/>
        </w:rPr>
        <w:sectPr w:rsidR="00051702" w:rsidRPr="00A3614E" w:rsidSect="00010D51">
          <w:pgSz w:w="12240" w:h="15840"/>
          <w:pgMar w:top="720" w:right="720" w:bottom="720" w:left="720" w:header="720" w:footer="720" w:gutter="0"/>
          <w:lnNumType w:countBy="1" w:restart="newSection"/>
          <w:cols w:space="720"/>
          <w:docGrid w:linePitch="299"/>
        </w:sectPr>
      </w:pPr>
    </w:p>
    <w:p w14:paraId="5DDC2C3B" w14:textId="77777777" w:rsidR="00051702" w:rsidRPr="00A3614E" w:rsidRDefault="00051702" w:rsidP="00051702">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lastRenderedPageBreak/>
        <w:t>Table 2. Descriptive summary of GASID data showing the distribution of raw PANGO lineages in the United States, the United Kingdom, and South Korea.</w:t>
      </w:r>
    </w:p>
    <w:tbl>
      <w:tblPr>
        <w:tblW w:w="10799" w:type="dxa"/>
        <w:jc w:val="center"/>
        <w:tblLayout w:type="fixed"/>
        <w:tblLook w:val="04A0" w:firstRow="1" w:lastRow="0" w:firstColumn="1" w:lastColumn="0" w:noHBand="0" w:noVBand="1"/>
      </w:tblPr>
      <w:tblGrid>
        <w:gridCol w:w="1530"/>
        <w:gridCol w:w="720"/>
        <w:gridCol w:w="1350"/>
        <w:gridCol w:w="7199"/>
      </w:tblGrid>
      <w:tr w:rsidR="00051702" w:rsidRPr="00AB428D" w14:paraId="6BCAD825" w14:textId="77777777" w:rsidTr="00AB428D">
        <w:trPr>
          <w:trHeight w:val="202"/>
          <w:jc w:val="center"/>
        </w:trPr>
        <w:tc>
          <w:tcPr>
            <w:tcW w:w="1530" w:type="dxa"/>
            <w:tcBorders>
              <w:top w:val="single" w:sz="12" w:space="0" w:color="auto"/>
              <w:left w:val="nil"/>
              <w:bottom w:val="single" w:sz="4" w:space="0" w:color="auto"/>
              <w:right w:val="nil"/>
            </w:tcBorders>
            <w:shd w:val="clear" w:color="000000" w:fill="FFFFFF"/>
            <w:noWrap/>
            <w:vAlign w:val="center"/>
            <w:hideMark/>
          </w:tcPr>
          <w:p w14:paraId="6299CD6A"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16A509F"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Year</w:t>
            </w:r>
          </w:p>
        </w:tc>
        <w:tc>
          <w:tcPr>
            <w:tcW w:w="1350" w:type="dxa"/>
            <w:tcBorders>
              <w:top w:val="single" w:sz="12" w:space="0" w:color="auto"/>
              <w:left w:val="nil"/>
              <w:bottom w:val="single" w:sz="4" w:space="0" w:color="auto"/>
              <w:right w:val="nil"/>
            </w:tcBorders>
            <w:shd w:val="clear" w:color="000000" w:fill="FFFFFF"/>
            <w:noWrap/>
            <w:vAlign w:val="center"/>
            <w:hideMark/>
          </w:tcPr>
          <w:p w14:paraId="26A3B9EE"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Number of Cases</w:t>
            </w:r>
          </w:p>
        </w:tc>
        <w:tc>
          <w:tcPr>
            <w:tcW w:w="7199" w:type="dxa"/>
            <w:tcBorders>
              <w:top w:val="single" w:sz="12" w:space="0" w:color="auto"/>
              <w:left w:val="nil"/>
              <w:bottom w:val="single" w:sz="4" w:space="0" w:color="auto"/>
              <w:right w:val="nil"/>
            </w:tcBorders>
            <w:shd w:val="clear" w:color="000000" w:fill="FFFFFF"/>
            <w:noWrap/>
            <w:vAlign w:val="center"/>
            <w:hideMark/>
          </w:tcPr>
          <w:p w14:paraId="7220B4F4" w14:textId="631DDD1E"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Top Five Pango Lineages (Annual Proportional Share)</w:t>
            </w:r>
          </w:p>
        </w:tc>
      </w:tr>
      <w:tr w:rsidR="00051702" w:rsidRPr="00AB428D" w14:paraId="292D7816" w14:textId="77777777" w:rsidTr="00AB428D">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FD2E5A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States</w:t>
            </w:r>
          </w:p>
        </w:tc>
        <w:tc>
          <w:tcPr>
            <w:tcW w:w="720" w:type="dxa"/>
            <w:tcBorders>
              <w:top w:val="nil"/>
              <w:left w:val="nil"/>
              <w:bottom w:val="nil"/>
              <w:right w:val="nil"/>
            </w:tcBorders>
            <w:shd w:val="clear" w:color="000000" w:fill="FFFFFF"/>
            <w:noWrap/>
            <w:vAlign w:val="center"/>
            <w:hideMark/>
          </w:tcPr>
          <w:p w14:paraId="38C1D66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7F4BA607" w14:textId="25B116B7"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18,903,169 </w:t>
            </w:r>
          </w:p>
        </w:tc>
        <w:tc>
          <w:tcPr>
            <w:tcW w:w="7199" w:type="dxa"/>
            <w:tcBorders>
              <w:top w:val="nil"/>
              <w:left w:val="nil"/>
              <w:bottom w:val="nil"/>
              <w:right w:val="nil"/>
            </w:tcBorders>
            <w:shd w:val="clear" w:color="000000" w:fill="FFFFFF"/>
            <w:noWrap/>
            <w:vAlign w:val="center"/>
            <w:hideMark/>
          </w:tcPr>
          <w:p w14:paraId="142D4E9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(1.1%); B.1.1 (1.1%); B.1.595 (1.1%); B.1.369 (1.1%); B.1.243 (1%)</w:t>
            </w:r>
          </w:p>
        </w:tc>
      </w:tr>
      <w:tr w:rsidR="00051702" w:rsidRPr="00AB428D" w14:paraId="3C7BBEC8" w14:textId="77777777" w:rsidTr="00AB428D">
        <w:trPr>
          <w:trHeight w:val="202"/>
          <w:jc w:val="center"/>
        </w:trPr>
        <w:tc>
          <w:tcPr>
            <w:tcW w:w="1530" w:type="dxa"/>
            <w:vMerge/>
            <w:tcBorders>
              <w:top w:val="nil"/>
              <w:left w:val="nil"/>
              <w:bottom w:val="single" w:sz="4" w:space="0" w:color="000000"/>
              <w:right w:val="nil"/>
            </w:tcBorders>
            <w:vAlign w:val="center"/>
            <w:hideMark/>
          </w:tcPr>
          <w:p w14:paraId="5064AD6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415DE26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49C2440E" w14:textId="1F01306C"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196,861,939 </w:t>
            </w:r>
          </w:p>
        </w:tc>
        <w:tc>
          <w:tcPr>
            <w:tcW w:w="7199" w:type="dxa"/>
            <w:tcBorders>
              <w:top w:val="nil"/>
              <w:left w:val="nil"/>
              <w:bottom w:val="nil"/>
              <w:right w:val="nil"/>
            </w:tcBorders>
            <w:shd w:val="clear" w:color="000000" w:fill="FFFFFF"/>
            <w:noWrap/>
            <w:vAlign w:val="center"/>
            <w:hideMark/>
          </w:tcPr>
          <w:p w14:paraId="3CB9BC5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(1.0%); B.1.617.2 (1%); AY.44 (0.9%); B (0.9%); AY.25 (0.9%)</w:t>
            </w:r>
          </w:p>
        </w:tc>
      </w:tr>
      <w:tr w:rsidR="00051702" w:rsidRPr="00AB428D" w14:paraId="64744537" w14:textId="77777777" w:rsidTr="00AB428D">
        <w:trPr>
          <w:trHeight w:val="202"/>
          <w:jc w:val="center"/>
        </w:trPr>
        <w:tc>
          <w:tcPr>
            <w:tcW w:w="1530" w:type="dxa"/>
            <w:vMerge/>
            <w:tcBorders>
              <w:top w:val="nil"/>
              <w:left w:val="nil"/>
              <w:bottom w:val="single" w:sz="4" w:space="0" w:color="000000"/>
              <w:right w:val="nil"/>
            </w:tcBorders>
            <w:vAlign w:val="center"/>
            <w:hideMark/>
          </w:tcPr>
          <w:p w14:paraId="7252E2A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70CF403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59DF8CDE" w14:textId="0AEF4141"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227,680,907 </w:t>
            </w:r>
          </w:p>
        </w:tc>
        <w:tc>
          <w:tcPr>
            <w:tcW w:w="7199" w:type="dxa"/>
            <w:tcBorders>
              <w:top w:val="nil"/>
              <w:left w:val="nil"/>
              <w:bottom w:val="nil"/>
              <w:right w:val="nil"/>
            </w:tcBorders>
            <w:shd w:val="clear" w:color="000000" w:fill="FFFFFF"/>
            <w:noWrap/>
            <w:vAlign w:val="center"/>
            <w:hideMark/>
          </w:tcPr>
          <w:p w14:paraId="702C097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(0.7%); BA.1.1 (0.6%); BA.2.12.1 (0.6%); BA.2.3 (0.6%); BA.2.9 (0.5%)</w:t>
            </w:r>
          </w:p>
        </w:tc>
      </w:tr>
      <w:tr w:rsidR="00051702" w:rsidRPr="00AB428D" w14:paraId="500CDC15" w14:textId="77777777" w:rsidTr="00AB428D">
        <w:trPr>
          <w:trHeight w:val="202"/>
          <w:jc w:val="center"/>
        </w:trPr>
        <w:tc>
          <w:tcPr>
            <w:tcW w:w="1530" w:type="dxa"/>
            <w:vMerge/>
            <w:tcBorders>
              <w:top w:val="nil"/>
              <w:left w:val="nil"/>
              <w:bottom w:val="single" w:sz="4" w:space="0" w:color="000000"/>
              <w:right w:val="nil"/>
            </w:tcBorders>
            <w:vAlign w:val="center"/>
            <w:hideMark/>
          </w:tcPr>
          <w:p w14:paraId="5B903C4D"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47663056"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36592F54" w14:textId="7C984BA7"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71,328,981 </w:t>
            </w:r>
          </w:p>
        </w:tc>
        <w:tc>
          <w:tcPr>
            <w:tcW w:w="7199" w:type="dxa"/>
            <w:tcBorders>
              <w:top w:val="nil"/>
              <w:left w:val="nil"/>
              <w:bottom w:val="nil"/>
              <w:right w:val="nil"/>
            </w:tcBorders>
            <w:shd w:val="clear" w:color="000000" w:fill="FFFFFF"/>
            <w:noWrap/>
            <w:vAlign w:val="center"/>
            <w:hideMark/>
          </w:tcPr>
          <w:p w14:paraId="16798C6D"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(0.5%); XBB.1.5.10 (0.4%); XBB.1 (0.4%); XBB.1.5.15 (0.4%); XBB.1.5.49 (0.4%)</w:t>
            </w:r>
          </w:p>
        </w:tc>
      </w:tr>
      <w:tr w:rsidR="00051702" w:rsidRPr="00AB428D" w14:paraId="07809ED3" w14:textId="77777777" w:rsidTr="00AB428D">
        <w:trPr>
          <w:trHeight w:val="202"/>
          <w:jc w:val="center"/>
        </w:trPr>
        <w:tc>
          <w:tcPr>
            <w:tcW w:w="1530" w:type="dxa"/>
            <w:vMerge/>
            <w:tcBorders>
              <w:top w:val="nil"/>
              <w:left w:val="nil"/>
              <w:bottom w:val="single" w:sz="4" w:space="0" w:color="000000"/>
              <w:right w:val="nil"/>
            </w:tcBorders>
            <w:vAlign w:val="center"/>
            <w:hideMark/>
          </w:tcPr>
          <w:p w14:paraId="1863EB1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4" w:space="0" w:color="auto"/>
              <w:right w:val="nil"/>
            </w:tcBorders>
            <w:shd w:val="clear" w:color="000000" w:fill="FFFFFF"/>
            <w:noWrap/>
            <w:vAlign w:val="center"/>
            <w:hideMark/>
          </w:tcPr>
          <w:p w14:paraId="4C3ECCE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4" w:space="0" w:color="auto"/>
              <w:right w:val="nil"/>
            </w:tcBorders>
            <w:shd w:val="clear" w:color="000000" w:fill="FFFFFF"/>
            <w:noWrap/>
            <w:vAlign w:val="center"/>
            <w:hideMark/>
          </w:tcPr>
          <w:p w14:paraId="2047F4A4" w14:textId="583438AF"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9,457,427 </w:t>
            </w:r>
          </w:p>
        </w:tc>
        <w:tc>
          <w:tcPr>
            <w:tcW w:w="7199" w:type="dxa"/>
            <w:tcBorders>
              <w:top w:val="nil"/>
              <w:left w:val="nil"/>
              <w:bottom w:val="single" w:sz="4" w:space="0" w:color="auto"/>
              <w:right w:val="nil"/>
            </w:tcBorders>
            <w:shd w:val="clear" w:color="000000" w:fill="FFFFFF"/>
            <w:noWrap/>
            <w:vAlign w:val="center"/>
            <w:hideMark/>
          </w:tcPr>
          <w:p w14:paraId="038103E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(1.1%); JN.1.8 (1.1%); JN.1.18 (1%); JN.1.7 (1%); JN.1.4 (1.0%)</w:t>
            </w:r>
          </w:p>
        </w:tc>
      </w:tr>
      <w:tr w:rsidR="00051702" w:rsidRPr="00AB428D" w14:paraId="27948FE5" w14:textId="77777777" w:rsidTr="00AB428D">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6C59C49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Kingdom</w:t>
            </w:r>
          </w:p>
        </w:tc>
        <w:tc>
          <w:tcPr>
            <w:tcW w:w="720" w:type="dxa"/>
            <w:tcBorders>
              <w:top w:val="nil"/>
              <w:left w:val="nil"/>
              <w:bottom w:val="nil"/>
              <w:right w:val="nil"/>
            </w:tcBorders>
            <w:shd w:val="clear" w:color="000000" w:fill="FFFFFF"/>
            <w:noWrap/>
            <w:vAlign w:val="center"/>
            <w:hideMark/>
          </w:tcPr>
          <w:p w14:paraId="4AD6C63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2C7E25A3" w14:textId="766B27DC"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13,728,198 </w:t>
            </w:r>
          </w:p>
        </w:tc>
        <w:tc>
          <w:tcPr>
            <w:tcW w:w="7199" w:type="dxa"/>
            <w:tcBorders>
              <w:top w:val="nil"/>
              <w:left w:val="nil"/>
              <w:bottom w:val="nil"/>
              <w:right w:val="nil"/>
            </w:tcBorders>
            <w:shd w:val="clear" w:color="000000" w:fill="FFFFFF"/>
            <w:noWrap/>
            <w:vAlign w:val="center"/>
            <w:hideMark/>
          </w:tcPr>
          <w:p w14:paraId="7E769DE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B.1.1 (1.2%); B.1 (1.2%); B.1.1.37 (1%); B.1.1.1 (1%); B.1.177 (0.9%)</w:t>
            </w:r>
          </w:p>
        </w:tc>
      </w:tr>
      <w:tr w:rsidR="00051702" w:rsidRPr="00AB428D" w14:paraId="7D9622F2" w14:textId="77777777" w:rsidTr="00AB428D">
        <w:trPr>
          <w:trHeight w:val="202"/>
          <w:jc w:val="center"/>
        </w:trPr>
        <w:tc>
          <w:tcPr>
            <w:tcW w:w="1530" w:type="dxa"/>
            <w:vMerge/>
            <w:tcBorders>
              <w:top w:val="nil"/>
              <w:left w:val="nil"/>
              <w:bottom w:val="single" w:sz="4" w:space="0" w:color="000000"/>
              <w:right w:val="nil"/>
            </w:tcBorders>
            <w:vAlign w:val="center"/>
            <w:hideMark/>
          </w:tcPr>
          <w:p w14:paraId="09610A1A"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6ACD4CFA"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610F023D" w14:textId="799E95AE"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84,393,505 </w:t>
            </w:r>
          </w:p>
        </w:tc>
        <w:tc>
          <w:tcPr>
            <w:tcW w:w="7199" w:type="dxa"/>
            <w:tcBorders>
              <w:top w:val="nil"/>
              <w:left w:val="nil"/>
              <w:bottom w:val="nil"/>
              <w:right w:val="nil"/>
            </w:tcBorders>
            <w:shd w:val="clear" w:color="000000" w:fill="FFFFFF"/>
            <w:noWrap/>
            <w:vAlign w:val="center"/>
            <w:hideMark/>
          </w:tcPr>
          <w:p w14:paraId="17D5BBE6"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AY.4 (1.5%); B.1.617.2 (1.5%); AY.122 (1.5%); AY.5 (1.5%); AY.111 (1.5%)</w:t>
            </w:r>
          </w:p>
        </w:tc>
      </w:tr>
      <w:tr w:rsidR="00051702" w:rsidRPr="00AB428D" w14:paraId="40B5588E" w14:textId="77777777" w:rsidTr="00AB428D">
        <w:trPr>
          <w:trHeight w:val="202"/>
          <w:jc w:val="center"/>
        </w:trPr>
        <w:tc>
          <w:tcPr>
            <w:tcW w:w="1530" w:type="dxa"/>
            <w:vMerge/>
            <w:tcBorders>
              <w:top w:val="nil"/>
              <w:left w:val="nil"/>
              <w:bottom w:val="single" w:sz="4" w:space="0" w:color="000000"/>
              <w:right w:val="nil"/>
            </w:tcBorders>
            <w:vAlign w:val="center"/>
            <w:hideMark/>
          </w:tcPr>
          <w:p w14:paraId="03C7873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189A1E3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6B8625C1" w14:textId="2D2E5132"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79,974,012 </w:t>
            </w:r>
          </w:p>
        </w:tc>
        <w:tc>
          <w:tcPr>
            <w:tcW w:w="7199" w:type="dxa"/>
            <w:tcBorders>
              <w:top w:val="nil"/>
              <w:left w:val="nil"/>
              <w:bottom w:val="nil"/>
              <w:right w:val="nil"/>
            </w:tcBorders>
            <w:shd w:val="clear" w:color="000000" w:fill="FFFFFF"/>
            <w:noWrap/>
            <w:vAlign w:val="center"/>
            <w:hideMark/>
          </w:tcPr>
          <w:p w14:paraId="14634E0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(1.3%); BA.2.3 (1.2%); BA.1.1 (1.2%); BA.2.10 (1.2%); BA.1 (1.2%)</w:t>
            </w:r>
          </w:p>
        </w:tc>
      </w:tr>
      <w:tr w:rsidR="00051702" w:rsidRPr="00AB428D" w14:paraId="204B188E" w14:textId="77777777" w:rsidTr="00AB428D">
        <w:trPr>
          <w:trHeight w:val="202"/>
          <w:jc w:val="center"/>
        </w:trPr>
        <w:tc>
          <w:tcPr>
            <w:tcW w:w="1530" w:type="dxa"/>
            <w:vMerge/>
            <w:tcBorders>
              <w:top w:val="nil"/>
              <w:left w:val="nil"/>
              <w:bottom w:val="single" w:sz="4" w:space="0" w:color="000000"/>
              <w:right w:val="nil"/>
            </w:tcBorders>
            <w:vAlign w:val="center"/>
            <w:hideMark/>
          </w:tcPr>
          <w:p w14:paraId="08131CA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603ED6B5"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65BFC5C1" w14:textId="71BA0815"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8,416,483 </w:t>
            </w:r>
          </w:p>
        </w:tc>
        <w:tc>
          <w:tcPr>
            <w:tcW w:w="7199" w:type="dxa"/>
            <w:tcBorders>
              <w:top w:val="nil"/>
              <w:left w:val="nil"/>
              <w:bottom w:val="nil"/>
              <w:right w:val="nil"/>
            </w:tcBorders>
            <w:shd w:val="clear" w:color="000000" w:fill="FFFFFF"/>
            <w:noWrap/>
            <w:vAlign w:val="center"/>
            <w:hideMark/>
          </w:tcPr>
          <w:p w14:paraId="09125B74"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(0.9%); XBB.1.9.1 (0.7%); CH.1.1.1 (0.7%); XBB.1.5.7 (0.7%); XBB.1.5.18 (0.7%)</w:t>
            </w:r>
          </w:p>
        </w:tc>
      </w:tr>
      <w:tr w:rsidR="00051702" w:rsidRPr="00AB428D" w14:paraId="6AE4CF57" w14:textId="77777777" w:rsidTr="00AB428D">
        <w:trPr>
          <w:trHeight w:val="202"/>
          <w:jc w:val="center"/>
        </w:trPr>
        <w:tc>
          <w:tcPr>
            <w:tcW w:w="1530" w:type="dxa"/>
            <w:vMerge/>
            <w:tcBorders>
              <w:top w:val="nil"/>
              <w:left w:val="nil"/>
              <w:bottom w:val="single" w:sz="8" w:space="0" w:color="auto"/>
              <w:right w:val="nil"/>
            </w:tcBorders>
            <w:vAlign w:val="center"/>
            <w:hideMark/>
          </w:tcPr>
          <w:p w14:paraId="7BF9C7E3"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8" w:space="0" w:color="auto"/>
              <w:right w:val="nil"/>
            </w:tcBorders>
            <w:shd w:val="clear" w:color="000000" w:fill="FFFFFF"/>
            <w:noWrap/>
            <w:vAlign w:val="center"/>
            <w:hideMark/>
          </w:tcPr>
          <w:p w14:paraId="38765A8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8" w:space="0" w:color="auto"/>
              <w:right w:val="nil"/>
            </w:tcBorders>
            <w:shd w:val="clear" w:color="000000" w:fill="FFFFFF"/>
            <w:noWrap/>
            <w:vAlign w:val="center"/>
            <w:hideMark/>
          </w:tcPr>
          <w:p w14:paraId="2F7BF20B" w14:textId="63389019"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934,727 </w:t>
            </w:r>
          </w:p>
        </w:tc>
        <w:tc>
          <w:tcPr>
            <w:tcW w:w="7199" w:type="dxa"/>
            <w:tcBorders>
              <w:top w:val="nil"/>
              <w:left w:val="nil"/>
              <w:bottom w:val="single" w:sz="8" w:space="0" w:color="auto"/>
              <w:right w:val="nil"/>
            </w:tcBorders>
            <w:shd w:val="clear" w:color="000000" w:fill="FFFFFF"/>
            <w:noWrap/>
            <w:vAlign w:val="center"/>
            <w:hideMark/>
          </w:tcPr>
          <w:p w14:paraId="4101534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(2%); JN.1.7 (1.9%); KP.2 (1.7%); KP.3 (1.6%); JN.1.8 (1.5%)</w:t>
            </w:r>
          </w:p>
        </w:tc>
      </w:tr>
      <w:tr w:rsidR="00051702" w:rsidRPr="00AB428D" w14:paraId="77BC4FA6" w14:textId="77777777" w:rsidTr="00AB428D">
        <w:trPr>
          <w:trHeight w:val="202"/>
          <w:jc w:val="center"/>
        </w:trPr>
        <w:tc>
          <w:tcPr>
            <w:tcW w:w="1530" w:type="dxa"/>
            <w:vMerge w:val="restart"/>
            <w:tcBorders>
              <w:top w:val="single" w:sz="8" w:space="0" w:color="auto"/>
              <w:left w:val="nil"/>
              <w:right w:val="nil"/>
            </w:tcBorders>
            <w:shd w:val="clear" w:color="000000" w:fill="FFFFFF"/>
            <w:vAlign w:val="center"/>
            <w:hideMark/>
          </w:tcPr>
          <w:p w14:paraId="66F322CE"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South Korea</w:t>
            </w:r>
          </w:p>
        </w:tc>
        <w:tc>
          <w:tcPr>
            <w:tcW w:w="720" w:type="dxa"/>
            <w:tcBorders>
              <w:top w:val="single" w:sz="8" w:space="0" w:color="auto"/>
              <w:left w:val="nil"/>
              <w:right w:val="nil"/>
            </w:tcBorders>
            <w:shd w:val="clear" w:color="000000" w:fill="FFFFFF"/>
            <w:noWrap/>
            <w:vAlign w:val="center"/>
            <w:hideMark/>
          </w:tcPr>
          <w:p w14:paraId="188B2FC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single" w:sz="8" w:space="0" w:color="auto"/>
              <w:left w:val="nil"/>
              <w:right w:val="nil"/>
            </w:tcBorders>
            <w:shd w:val="clear" w:color="000000" w:fill="FFFFFF"/>
            <w:noWrap/>
            <w:vAlign w:val="center"/>
            <w:hideMark/>
          </w:tcPr>
          <w:p w14:paraId="2EB39658" w14:textId="15827D8D"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5,878 </w:t>
            </w:r>
          </w:p>
        </w:tc>
        <w:tc>
          <w:tcPr>
            <w:tcW w:w="7199" w:type="dxa"/>
            <w:tcBorders>
              <w:top w:val="single" w:sz="8" w:space="0" w:color="auto"/>
              <w:left w:val="nil"/>
              <w:right w:val="nil"/>
            </w:tcBorders>
            <w:shd w:val="clear" w:color="000000" w:fill="FFFFFF"/>
            <w:noWrap/>
            <w:vAlign w:val="center"/>
            <w:hideMark/>
          </w:tcPr>
          <w:p w14:paraId="3A9B6D4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B.1.497 (37.3%); B.1 (9.8%); B.1.1 (8.0%); B.41 (2.9%); A (2.8%)</w:t>
            </w:r>
          </w:p>
        </w:tc>
      </w:tr>
      <w:tr w:rsidR="00051702" w:rsidRPr="00AB428D" w14:paraId="168114FD" w14:textId="77777777" w:rsidTr="00AB428D">
        <w:trPr>
          <w:trHeight w:val="202"/>
          <w:jc w:val="center"/>
        </w:trPr>
        <w:tc>
          <w:tcPr>
            <w:tcW w:w="1530" w:type="dxa"/>
            <w:vMerge/>
            <w:tcBorders>
              <w:top w:val="nil"/>
              <w:left w:val="nil"/>
              <w:right w:val="nil"/>
            </w:tcBorders>
            <w:vAlign w:val="center"/>
            <w:hideMark/>
          </w:tcPr>
          <w:p w14:paraId="0E48941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1166B2F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right w:val="nil"/>
            </w:tcBorders>
            <w:shd w:val="clear" w:color="000000" w:fill="FFFFFF"/>
            <w:noWrap/>
            <w:vAlign w:val="center"/>
            <w:hideMark/>
          </w:tcPr>
          <w:p w14:paraId="2BEB86F1" w14:textId="7658F789"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215,082 </w:t>
            </w:r>
          </w:p>
        </w:tc>
        <w:tc>
          <w:tcPr>
            <w:tcW w:w="7199" w:type="dxa"/>
            <w:tcBorders>
              <w:top w:val="nil"/>
              <w:left w:val="nil"/>
              <w:right w:val="nil"/>
            </w:tcBorders>
            <w:shd w:val="clear" w:color="000000" w:fill="FFFFFF"/>
            <w:noWrap/>
            <w:vAlign w:val="center"/>
            <w:hideMark/>
          </w:tcPr>
          <w:p w14:paraId="05A498A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AY.69 (11.6%); B.1.617.2 (11.6%); AY.122 (9.4%); AY.122.5 (8.0%); B.1.619.1 (6.4%)</w:t>
            </w:r>
          </w:p>
        </w:tc>
      </w:tr>
      <w:tr w:rsidR="00051702" w:rsidRPr="00AB428D" w14:paraId="3D01A889" w14:textId="77777777" w:rsidTr="00AB428D">
        <w:trPr>
          <w:trHeight w:val="202"/>
          <w:jc w:val="center"/>
        </w:trPr>
        <w:tc>
          <w:tcPr>
            <w:tcW w:w="1530" w:type="dxa"/>
            <w:vMerge/>
            <w:tcBorders>
              <w:top w:val="nil"/>
              <w:left w:val="nil"/>
              <w:right w:val="nil"/>
            </w:tcBorders>
            <w:vAlign w:val="center"/>
            <w:hideMark/>
          </w:tcPr>
          <w:p w14:paraId="710EEAF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64595415"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right w:val="nil"/>
            </w:tcBorders>
            <w:shd w:val="clear" w:color="000000" w:fill="FFFFFF"/>
            <w:noWrap/>
            <w:vAlign w:val="center"/>
            <w:hideMark/>
          </w:tcPr>
          <w:p w14:paraId="51FB8CC2" w14:textId="0F08E5B3"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2,827,981 </w:t>
            </w:r>
          </w:p>
        </w:tc>
        <w:tc>
          <w:tcPr>
            <w:tcW w:w="7199" w:type="dxa"/>
            <w:tcBorders>
              <w:top w:val="nil"/>
              <w:left w:val="nil"/>
              <w:right w:val="nil"/>
            </w:tcBorders>
            <w:shd w:val="clear" w:color="000000" w:fill="FFFFFF"/>
            <w:noWrap/>
            <w:vAlign w:val="center"/>
            <w:hideMark/>
          </w:tcPr>
          <w:p w14:paraId="3A53D43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BA.5.2 (2.0%); BA.5.2.1 (2.0%); BA.5.1 (1.8%); BA.2.3 (1.8%); BA.2 (1.7%)</w:t>
            </w:r>
          </w:p>
        </w:tc>
      </w:tr>
      <w:tr w:rsidR="00051702" w:rsidRPr="00AB428D" w14:paraId="00BBC0B8" w14:textId="77777777" w:rsidTr="00AB428D">
        <w:trPr>
          <w:trHeight w:val="202"/>
          <w:jc w:val="center"/>
        </w:trPr>
        <w:tc>
          <w:tcPr>
            <w:tcW w:w="1530" w:type="dxa"/>
            <w:vMerge/>
            <w:tcBorders>
              <w:top w:val="nil"/>
              <w:left w:val="nil"/>
              <w:right w:val="nil"/>
            </w:tcBorders>
            <w:vAlign w:val="center"/>
            <w:hideMark/>
          </w:tcPr>
          <w:p w14:paraId="03AB661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61783D6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right w:val="nil"/>
            </w:tcBorders>
            <w:shd w:val="clear" w:color="000000" w:fill="FFFFFF"/>
            <w:noWrap/>
            <w:vAlign w:val="center"/>
            <w:hideMark/>
          </w:tcPr>
          <w:p w14:paraId="5CD9337F" w14:textId="63CEDCA6"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4,438,592 </w:t>
            </w:r>
          </w:p>
        </w:tc>
        <w:tc>
          <w:tcPr>
            <w:tcW w:w="7199" w:type="dxa"/>
            <w:tcBorders>
              <w:top w:val="nil"/>
              <w:left w:val="nil"/>
              <w:right w:val="nil"/>
            </w:tcBorders>
            <w:shd w:val="clear" w:color="000000" w:fill="FFFFFF"/>
            <w:noWrap/>
            <w:vAlign w:val="center"/>
            <w:hideMark/>
          </w:tcPr>
          <w:p w14:paraId="1399721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(1.2%); XBB.1.16 (1.0%); EG.1.6 (1.0%); EG.1 (1.0%); XBB.1.9.1 (1.0%)</w:t>
            </w:r>
          </w:p>
        </w:tc>
      </w:tr>
      <w:tr w:rsidR="00051702" w:rsidRPr="00AB428D" w14:paraId="0CF444C7" w14:textId="77777777" w:rsidTr="00AB428D">
        <w:trPr>
          <w:trHeight w:val="202"/>
          <w:jc w:val="center"/>
        </w:trPr>
        <w:tc>
          <w:tcPr>
            <w:tcW w:w="1530" w:type="dxa"/>
            <w:vMerge/>
            <w:tcBorders>
              <w:top w:val="nil"/>
              <w:left w:val="nil"/>
              <w:bottom w:val="single" w:sz="12" w:space="0" w:color="auto"/>
              <w:right w:val="nil"/>
            </w:tcBorders>
            <w:vAlign w:val="center"/>
            <w:hideMark/>
          </w:tcPr>
          <w:p w14:paraId="3DDD01D3"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12" w:space="0" w:color="auto"/>
              <w:right w:val="nil"/>
            </w:tcBorders>
            <w:shd w:val="clear" w:color="000000" w:fill="FFFFFF"/>
            <w:noWrap/>
            <w:vAlign w:val="center"/>
            <w:hideMark/>
          </w:tcPr>
          <w:p w14:paraId="629BD13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12" w:space="0" w:color="auto"/>
              <w:right w:val="nil"/>
            </w:tcBorders>
            <w:shd w:val="clear" w:color="000000" w:fill="FFFFFF"/>
            <w:noWrap/>
            <w:vAlign w:val="center"/>
            <w:hideMark/>
          </w:tcPr>
          <w:p w14:paraId="0EB64749" w14:textId="26D12261"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225,726 </w:t>
            </w:r>
          </w:p>
        </w:tc>
        <w:tc>
          <w:tcPr>
            <w:tcW w:w="7199" w:type="dxa"/>
            <w:tcBorders>
              <w:top w:val="nil"/>
              <w:left w:val="nil"/>
              <w:bottom w:val="single" w:sz="12" w:space="0" w:color="auto"/>
              <w:right w:val="nil"/>
            </w:tcBorders>
            <w:shd w:val="clear" w:color="000000" w:fill="FFFFFF"/>
            <w:noWrap/>
            <w:vAlign w:val="center"/>
            <w:hideMark/>
          </w:tcPr>
          <w:p w14:paraId="01D96B4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JN.1.4 (4.2%); JN.1 (4.1%); JN.1.20 (3.9%); JN.1.4.5 (3.8%); JN.1.5 (3.4%)</w:t>
            </w:r>
          </w:p>
        </w:tc>
      </w:tr>
    </w:tbl>
    <w:p w14:paraId="555D7781" w14:textId="77777777" w:rsidR="00051702" w:rsidRPr="00010D51" w:rsidRDefault="00051702" w:rsidP="00010D51">
      <w:pPr>
        <w:spacing w:line="276" w:lineRule="auto"/>
        <w:rPr>
          <w:color w:val="000000" w:themeColor="text1"/>
          <w:lang w:eastAsia="ko-KR"/>
        </w:rPr>
      </w:pPr>
    </w:p>
    <w:sectPr w:rsidR="00051702" w:rsidRPr="00010D51" w:rsidSect="00010D51">
      <w:pgSz w:w="12240" w:h="15840"/>
      <w:pgMar w:top="720" w:right="720" w:bottom="720" w:left="720" w:header="720" w:footer="720" w:gutter="0"/>
      <w:lnNumType w:countBy="1" w:restart="newSectio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C613" w14:textId="77777777" w:rsidR="00270375" w:rsidRDefault="00270375">
      <w:pPr>
        <w:spacing w:after="0"/>
      </w:pPr>
      <w:r>
        <w:separator/>
      </w:r>
    </w:p>
  </w:endnote>
  <w:endnote w:type="continuationSeparator" w:id="0">
    <w:p w14:paraId="7FEC51C0" w14:textId="77777777" w:rsidR="00270375" w:rsidRDefault="00270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F3CB" w14:textId="77777777" w:rsidR="00297272" w:rsidRDefault="00297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560470"/>
      <w:docPartObj>
        <w:docPartGallery w:val="Page Numbers (Bottom of Page)"/>
        <w:docPartUnique/>
      </w:docPartObj>
    </w:sdtPr>
    <w:sdtEndPr>
      <w:rPr>
        <w:noProof/>
      </w:rPr>
    </w:sdtEndPr>
    <w:sdtContent>
      <w:p w14:paraId="1BEEDCBE" w14:textId="4CC3C155" w:rsidR="00AB428D" w:rsidRDefault="00AB4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DE40" w14:textId="77777777" w:rsidR="00297272" w:rsidRDefault="00297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F752" w14:textId="77777777" w:rsidR="00270375" w:rsidRDefault="00270375">
      <w:pPr>
        <w:spacing w:after="0"/>
      </w:pPr>
      <w:r>
        <w:separator/>
      </w:r>
    </w:p>
  </w:footnote>
  <w:footnote w:type="continuationSeparator" w:id="0">
    <w:p w14:paraId="2283D237" w14:textId="77777777" w:rsidR="00270375" w:rsidRDefault="002703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DB08" w14:textId="77777777" w:rsidR="00297272" w:rsidRDefault="00297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9857" w14:textId="77777777" w:rsidR="00E6133D" w:rsidRPr="00297272" w:rsidRDefault="00E6133D" w:rsidP="00297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2D3A" w14:textId="77777777" w:rsidR="00297272" w:rsidRDefault="00297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5"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7"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1"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6191141">
    <w:abstractNumId w:val="3"/>
  </w:num>
  <w:num w:numId="2" w16cid:durableId="1391491802">
    <w:abstractNumId w:val="7"/>
  </w:num>
  <w:num w:numId="3" w16cid:durableId="209802491">
    <w:abstractNumId w:val="18"/>
  </w:num>
  <w:num w:numId="4" w16cid:durableId="713045352">
    <w:abstractNumId w:val="4"/>
  </w:num>
  <w:num w:numId="5" w16cid:durableId="387842681">
    <w:abstractNumId w:val="6"/>
  </w:num>
  <w:num w:numId="6" w16cid:durableId="2057578860">
    <w:abstractNumId w:val="15"/>
  </w:num>
  <w:num w:numId="7" w16cid:durableId="914169778">
    <w:abstractNumId w:val="11"/>
  </w:num>
  <w:num w:numId="8" w16cid:durableId="1840387213">
    <w:abstractNumId w:val="23"/>
  </w:num>
  <w:num w:numId="9" w16cid:durableId="842284517">
    <w:abstractNumId w:val="5"/>
  </w:num>
  <w:num w:numId="10" w16cid:durableId="2114398685">
    <w:abstractNumId w:val="8"/>
  </w:num>
  <w:num w:numId="11" w16cid:durableId="2133552152">
    <w:abstractNumId w:val="19"/>
  </w:num>
  <w:num w:numId="12" w16cid:durableId="1481530932">
    <w:abstractNumId w:val="2"/>
  </w:num>
  <w:num w:numId="13" w16cid:durableId="29302338">
    <w:abstractNumId w:val="0"/>
  </w:num>
  <w:num w:numId="14" w16cid:durableId="2146391294">
    <w:abstractNumId w:val="20"/>
  </w:num>
  <w:num w:numId="15" w16cid:durableId="1509322224">
    <w:abstractNumId w:val="13"/>
  </w:num>
  <w:num w:numId="16" w16cid:durableId="1305158378">
    <w:abstractNumId w:val="9"/>
  </w:num>
  <w:num w:numId="17" w16cid:durableId="1436755736">
    <w:abstractNumId w:val="17"/>
  </w:num>
  <w:num w:numId="18" w16cid:durableId="2072733445">
    <w:abstractNumId w:val="12"/>
  </w:num>
  <w:num w:numId="19" w16cid:durableId="587691582">
    <w:abstractNumId w:val="14"/>
  </w:num>
  <w:num w:numId="20" w16cid:durableId="1055398771">
    <w:abstractNumId w:val="16"/>
  </w:num>
  <w:num w:numId="21" w16cid:durableId="391583243">
    <w:abstractNumId w:val="10"/>
  </w:num>
  <w:num w:numId="22" w16cid:durableId="1003627966">
    <w:abstractNumId w:val="1"/>
  </w:num>
  <w:num w:numId="23" w16cid:durableId="1156608249">
    <w:abstractNumId w:val="22"/>
  </w:num>
  <w:num w:numId="24" w16cid:durableId="15580552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0sTQysjS2MDY3sjRS0lEKTi0uzszPAykwrQUAsCt1pSwAAAA="/>
  </w:docVars>
  <w:rsids>
    <w:rsidRoot w:val="00E6133D"/>
    <w:rsid w:val="0000153A"/>
    <w:rsid w:val="00004672"/>
    <w:rsid w:val="00010D51"/>
    <w:rsid w:val="000206BE"/>
    <w:rsid w:val="000370FB"/>
    <w:rsid w:val="00050166"/>
    <w:rsid w:val="00051702"/>
    <w:rsid w:val="0006263A"/>
    <w:rsid w:val="0006356B"/>
    <w:rsid w:val="00064757"/>
    <w:rsid w:val="000761EF"/>
    <w:rsid w:val="00092F0E"/>
    <w:rsid w:val="00097129"/>
    <w:rsid w:val="000C3044"/>
    <w:rsid w:val="000E3957"/>
    <w:rsid w:val="0010376C"/>
    <w:rsid w:val="00141AC3"/>
    <w:rsid w:val="00190822"/>
    <w:rsid w:val="001A1AF4"/>
    <w:rsid w:val="001B0070"/>
    <w:rsid w:val="001B6D38"/>
    <w:rsid w:val="001B7158"/>
    <w:rsid w:val="001C1E4E"/>
    <w:rsid w:val="00220643"/>
    <w:rsid w:val="002361C0"/>
    <w:rsid w:val="00270375"/>
    <w:rsid w:val="00270945"/>
    <w:rsid w:val="00297272"/>
    <w:rsid w:val="002A7053"/>
    <w:rsid w:val="002B2848"/>
    <w:rsid w:val="002C1563"/>
    <w:rsid w:val="002E6E64"/>
    <w:rsid w:val="003126AD"/>
    <w:rsid w:val="00324628"/>
    <w:rsid w:val="00333F4D"/>
    <w:rsid w:val="0033749C"/>
    <w:rsid w:val="003830A5"/>
    <w:rsid w:val="003A1DB4"/>
    <w:rsid w:val="003B76D3"/>
    <w:rsid w:val="003D2BE0"/>
    <w:rsid w:val="003E408D"/>
    <w:rsid w:val="0040158E"/>
    <w:rsid w:val="00450E2A"/>
    <w:rsid w:val="00456A72"/>
    <w:rsid w:val="004650FE"/>
    <w:rsid w:val="00474D11"/>
    <w:rsid w:val="004768C8"/>
    <w:rsid w:val="00476D4B"/>
    <w:rsid w:val="00477714"/>
    <w:rsid w:val="00483D1D"/>
    <w:rsid w:val="00493574"/>
    <w:rsid w:val="004B135C"/>
    <w:rsid w:val="004C396F"/>
    <w:rsid w:val="004D5D0C"/>
    <w:rsid w:val="0052396A"/>
    <w:rsid w:val="00535D47"/>
    <w:rsid w:val="00546C53"/>
    <w:rsid w:val="0055194C"/>
    <w:rsid w:val="005652AE"/>
    <w:rsid w:val="00595073"/>
    <w:rsid w:val="005A42D0"/>
    <w:rsid w:val="005A78D5"/>
    <w:rsid w:val="005C58AA"/>
    <w:rsid w:val="005C7DD7"/>
    <w:rsid w:val="005D3DA6"/>
    <w:rsid w:val="0061707B"/>
    <w:rsid w:val="00623869"/>
    <w:rsid w:val="00664139"/>
    <w:rsid w:val="006B0F22"/>
    <w:rsid w:val="006B5D26"/>
    <w:rsid w:val="006D70F0"/>
    <w:rsid w:val="00740E86"/>
    <w:rsid w:val="007527BE"/>
    <w:rsid w:val="00765D9C"/>
    <w:rsid w:val="007A024E"/>
    <w:rsid w:val="007A18F0"/>
    <w:rsid w:val="007F1953"/>
    <w:rsid w:val="00813C85"/>
    <w:rsid w:val="00820A97"/>
    <w:rsid w:val="00897349"/>
    <w:rsid w:val="008B5E9F"/>
    <w:rsid w:val="008D615E"/>
    <w:rsid w:val="008E0142"/>
    <w:rsid w:val="008E1562"/>
    <w:rsid w:val="008E6DB8"/>
    <w:rsid w:val="00904BB1"/>
    <w:rsid w:val="00904FBD"/>
    <w:rsid w:val="0091501C"/>
    <w:rsid w:val="00921F43"/>
    <w:rsid w:val="00933BAB"/>
    <w:rsid w:val="00980C22"/>
    <w:rsid w:val="009A0DF7"/>
    <w:rsid w:val="009A3B92"/>
    <w:rsid w:val="009A63EA"/>
    <w:rsid w:val="009F66BE"/>
    <w:rsid w:val="00A04C44"/>
    <w:rsid w:val="00A1401C"/>
    <w:rsid w:val="00A3614E"/>
    <w:rsid w:val="00A500E3"/>
    <w:rsid w:val="00A53343"/>
    <w:rsid w:val="00A635A9"/>
    <w:rsid w:val="00A84DC9"/>
    <w:rsid w:val="00A85CC3"/>
    <w:rsid w:val="00AA3F36"/>
    <w:rsid w:val="00AB428D"/>
    <w:rsid w:val="00AE11BB"/>
    <w:rsid w:val="00AE60EF"/>
    <w:rsid w:val="00AF51C0"/>
    <w:rsid w:val="00AF7B8A"/>
    <w:rsid w:val="00B02454"/>
    <w:rsid w:val="00B05BB8"/>
    <w:rsid w:val="00B2469C"/>
    <w:rsid w:val="00B30924"/>
    <w:rsid w:val="00B4169B"/>
    <w:rsid w:val="00B643BB"/>
    <w:rsid w:val="00B9147E"/>
    <w:rsid w:val="00BC62D3"/>
    <w:rsid w:val="00BE4840"/>
    <w:rsid w:val="00BE6274"/>
    <w:rsid w:val="00C33F07"/>
    <w:rsid w:val="00C60190"/>
    <w:rsid w:val="00C97AF8"/>
    <w:rsid w:val="00CA1C1E"/>
    <w:rsid w:val="00CA7708"/>
    <w:rsid w:val="00CB2D3D"/>
    <w:rsid w:val="00CB5B28"/>
    <w:rsid w:val="00D45A7F"/>
    <w:rsid w:val="00D57293"/>
    <w:rsid w:val="00D75BC5"/>
    <w:rsid w:val="00DE3A31"/>
    <w:rsid w:val="00DF48AE"/>
    <w:rsid w:val="00DF7EA3"/>
    <w:rsid w:val="00E01958"/>
    <w:rsid w:val="00E20F4F"/>
    <w:rsid w:val="00E229F1"/>
    <w:rsid w:val="00E24BE7"/>
    <w:rsid w:val="00E517EB"/>
    <w:rsid w:val="00E521EF"/>
    <w:rsid w:val="00E6133D"/>
    <w:rsid w:val="00E62015"/>
    <w:rsid w:val="00E66397"/>
    <w:rsid w:val="00E90D97"/>
    <w:rsid w:val="00EB5DD5"/>
    <w:rsid w:val="00EB7B8C"/>
    <w:rsid w:val="00F06DEB"/>
    <w:rsid w:val="00F12BB3"/>
    <w:rsid w:val="00F649EE"/>
    <w:rsid w:val="00F839A7"/>
    <w:rsid w:val="00F86C02"/>
    <w:rsid w:val="00FD4802"/>
    <w:rsid w:val="00FF4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D3"/>
  </w:style>
  <w:style w:type="paragraph" w:styleId="Heading1">
    <w:name w:val="heading 1"/>
    <w:basedOn w:val="Normal"/>
    <w:next w:val="Normal"/>
    <w:link w:val="Heading1Char"/>
    <w:uiPriority w:val="9"/>
    <w:qFormat/>
    <w:rsid w:val="00010D51"/>
    <w:pPr>
      <w:keepNext/>
      <w:keepLines/>
      <w:widowControl w:val="0"/>
      <w:autoSpaceDE w:val="0"/>
      <w:autoSpaceDN w:val="0"/>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10D51"/>
    <w:pPr>
      <w:keepNext/>
      <w:keepLines/>
      <w:widowControl w:val="0"/>
      <w:autoSpaceDE w:val="0"/>
      <w:autoSpaceDN w:val="0"/>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0D51"/>
    <w:pPr>
      <w:keepNext/>
      <w:keepLines/>
      <w:widowControl w:val="0"/>
      <w:autoSpaceDE w:val="0"/>
      <w:autoSpaceDN w:val="0"/>
      <w:spacing w:before="160" w:after="80"/>
      <w:outlineLvl w:val="2"/>
    </w:pPr>
    <w:rPr>
      <w:rFonts w:ascii="Times New Roman" w:eastAsiaTheme="majorEastAsia" w:hAnsi="Times New Roman"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0D51"/>
    <w:pPr>
      <w:keepNext/>
      <w:keepLines/>
      <w:widowControl w:val="0"/>
      <w:autoSpaceDE w:val="0"/>
      <w:autoSpaceDN w:val="0"/>
      <w:spacing w:before="80" w:after="40"/>
      <w:outlineLvl w:val="3"/>
    </w:pPr>
    <w:rPr>
      <w:rFonts w:ascii="Times New Roman" w:eastAsiaTheme="majorEastAsia" w:hAnsi="Times New Roman" w:cstheme="majorBidi"/>
      <w:i/>
      <w:iCs/>
      <w:color w:val="365F91" w:themeColor="accent1" w:themeShade="BF"/>
    </w:rPr>
  </w:style>
  <w:style w:type="paragraph" w:styleId="Heading5">
    <w:name w:val="heading 5"/>
    <w:basedOn w:val="Normal"/>
    <w:next w:val="Normal"/>
    <w:link w:val="Heading5Char"/>
    <w:uiPriority w:val="9"/>
    <w:semiHidden/>
    <w:unhideWhenUsed/>
    <w:qFormat/>
    <w:rsid w:val="00010D51"/>
    <w:pPr>
      <w:keepNext/>
      <w:keepLines/>
      <w:widowControl w:val="0"/>
      <w:autoSpaceDE w:val="0"/>
      <w:autoSpaceDN w:val="0"/>
      <w:spacing w:before="80" w:after="40"/>
      <w:outlineLvl w:val="4"/>
    </w:pPr>
    <w:rPr>
      <w:rFonts w:ascii="Times New Roman" w:eastAsiaTheme="majorEastAsia" w:hAnsi="Times New Roman" w:cstheme="majorBidi"/>
      <w:color w:val="365F91" w:themeColor="accent1" w:themeShade="BF"/>
    </w:rPr>
  </w:style>
  <w:style w:type="paragraph" w:styleId="Heading6">
    <w:name w:val="heading 6"/>
    <w:basedOn w:val="Normal"/>
    <w:next w:val="Normal"/>
    <w:link w:val="Heading6Char"/>
    <w:uiPriority w:val="9"/>
    <w:semiHidden/>
    <w:unhideWhenUsed/>
    <w:qFormat/>
    <w:rsid w:val="00010D51"/>
    <w:pPr>
      <w:keepNext/>
      <w:keepLines/>
      <w:widowControl w:val="0"/>
      <w:autoSpaceDE w:val="0"/>
      <w:autoSpaceDN w:val="0"/>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010D51"/>
    <w:pPr>
      <w:keepNext/>
      <w:keepLines/>
      <w:widowControl w:val="0"/>
      <w:autoSpaceDE w:val="0"/>
      <w:autoSpaceDN w:val="0"/>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010D51"/>
    <w:pPr>
      <w:keepNext/>
      <w:keepLines/>
      <w:widowControl w:val="0"/>
      <w:autoSpaceDE w:val="0"/>
      <w:autoSpaceDN w:val="0"/>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010D51"/>
    <w:pPr>
      <w:keepNext/>
      <w:keepLines/>
      <w:widowControl w:val="0"/>
      <w:autoSpaceDE w:val="0"/>
      <w:autoSpaceDN w:val="0"/>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odyText">
    <w:name w:val="Body Text"/>
    <w:basedOn w:val="Normal"/>
    <w:link w:val="BodyTextChar"/>
    <w:uiPriority w:val="1"/>
    <w:qFormat/>
    <w:rsid w:val="00010D51"/>
    <w:pPr>
      <w:widowControl w:val="0"/>
      <w:autoSpaceDE w:val="0"/>
      <w:autoSpaceDN w:val="0"/>
      <w:spacing w:after="0"/>
      <w:ind w:left="117"/>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10D51"/>
    <w:rPr>
      <w:rFonts w:ascii="Times New Roman" w:eastAsia="Times New Roman" w:hAnsi="Times New Roman" w:cs="Times New Roman"/>
      <w:sz w:val="24"/>
      <w:szCs w:val="24"/>
    </w:rPr>
  </w:style>
  <w:style w:type="paragraph" w:styleId="ListParagraph">
    <w:name w:val="List Paragraph"/>
    <w:basedOn w:val="Normal"/>
    <w:uiPriority w:val="34"/>
    <w:qFormat/>
    <w:rsid w:val="00010D51"/>
    <w:pPr>
      <w:widowControl w:val="0"/>
      <w:autoSpaceDE w:val="0"/>
      <w:autoSpaceDN w:val="0"/>
      <w:spacing w:after="0"/>
      <w:ind w:left="720"/>
      <w:contextualSpacing/>
    </w:pPr>
    <w:rPr>
      <w:rFonts w:ascii="Times New Roman" w:eastAsia="Times New Roman" w:hAnsi="Times New Roman" w:cs="Times New Roman"/>
    </w:rPr>
  </w:style>
  <w:style w:type="character" w:styleId="Strong">
    <w:name w:val="Strong"/>
    <w:basedOn w:val="DefaultParagraphFont"/>
    <w:uiPriority w:val="22"/>
    <w:qFormat/>
    <w:rsid w:val="00010D51"/>
    <w:rPr>
      <w:b/>
      <w:bCs/>
    </w:rPr>
  </w:style>
  <w:style w:type="table" w:styleId="TableGrid">
    <w:name w:val="Table Grid"/>
    <w:basedOn w:val="TableNormal"/>
    <w:uiPriority w:val="39"/>
    <w:rsid w:val="00010D51"/>
    <w:pPr>
      <w:spacing w:after="0"/>
    </w:pPr>
    <w:rPr>
      <w:kern w:val="2"/>
      <w:sz w:val="24"/>
      <w:szCs w:val="24"/>
      <w:lang w:eastAsia="ko-KR"/>
      <w14:ligatures w14:val="standardContextual"/>
    </w:rPr>
    <w:tblPr/>
  </w:style>
  <w:style w:type="character" w:customStyle="1" w:styleId="cf01">
    <w:name w:val="cf01"/>
    <w:basedOn w:val="DefaultParagraphFont"/>
    <w:rsid w:val="00010D51"/>
    <w:rPr>
      <w:rFonts w:ascii="Segoe UI" w:hAnsi="Segoe UI" w:cs="Segoe UI" w:hint="default"/>
      <w:sz w:val="18"/>
      <w:szCs w:val="18"/>
    </w:rPr>
  </w:style>
  <w:style w:type="character" w:customStyle="1" w:styleId="citation-69">
    <w:name w:val="citation-69"/>
    <w:basedOn w:val="DefaultParagraphFont"/>
    <w:rsid w:val="00010D51"/>
  </w:style>
  <w:style w:type="character" w:customStyle="1" w:styleId="citation-68">
    <w:name w:val="citation-68"/>
    <w:basedOn w:val="DefaultParagraphFont"/>
    <w:rsid w:val="00010D51"/>
  </w:style>
  <w:style w:type="character" w:customStyle="1" w:styleId="citation-67">
    <w:name w:val="citation-67"/>
    <w:basedOn w:val="DefaultParagraphFont"/>
    <w:rsid w:val="00010D51"/>
  </w:style>
  <w:style w:type="character" w:customStyle="1" w:styleId="citation-66">
    <w:name w:val="citation-66"/>
    <w:basedOn w:val="DefaultParagraphFont"/>
    <w:rsid w:val="00010D51"/>
  </w:style>
  <w:style w:type="character" w:customStyle="1" w:styleId="cf11">
    <w:name w:val="cf11"/>
    <w:basedOn w:val="DefaultParagraphFont"/>
    <w:rsid w:val="00010D51"/>
    <w:rPr>
      <w:rFonts w:ascii="Segoe UI" w:hAnsi="Segoe UI" w:cs="Segoe UI" w:hint="default"/>
      <w:i/>
      <w:iCs/>
      <w:sz w:val="18"/>
      <w:szCs w:val="18"/>
    </w:rPr>
  </w:style>
  <w:style w:type="paragraph" w:customStyle="1" w:styleId="pf0">
    <w:name w:val="pf0"/>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p1">
    <w:name w:val="p1"/>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010D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10D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0D51"/>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0D51"/>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
    <w:semiHidden/>
    <w:rsid w:val="00010D51"/>
    <w:rPr>
      <w:rFonts w:ascii="Times New Roman" w:eastAsiaTheme="majorEastAsia" w:hAnsi="Times New Roman" w:cstheme="majorBidi"/>
      <w:color w:val="365F91" w:themeColor="accent1" w:themeShade="BF"/>
    </w:rPr>
  </w:style>
  <w:style w:type="character" w:customStyle="1" w:styleId="Heading6Char">
    <w:name w:val="Heading 6 Char"/>
    <w:basedOn w:val="DefaultParagraphFont"/>
    <w:link w:val="Heading6"/>
    <w:uiPriority w:val="9"/>
    <w:semiHidden/>
    <w:rsid w:val="00010D5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10D5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10D5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10D51"/>
    <w:rPr>
      <w:rFonts w:ascii="Times New Roman" w:eastAsiaTheme="majorEastAsia" w:hAnsi="Times New Roman" w:cstheme="majorBidi"/>
      <w:color w:val="272727" w:themeColor="text1" w:themeTint="D8"/>
    </w:rPr>
  </w:style>
  <w:style w:type="paragraph" w:styleId="Bibliography">
    <w:name w:val="Bibliography"/>
    <w:basedOn w:val="Normal"/>
    <w:next w:val="Normal"/>
    <w:uiPriority w:val="37"/>
    <w:unhideWhenUsed/>
    <w:rsid w:val="00010D51"/>
    <w:pPr>
      <w:tabs>
        <w:tab w:val="left" w:pos="380"/>
      </w:tabs>
      <w:spacing w:after="240"/>
      <w:ind w:left="384" w:hanging="384"/>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010D51"/>
    <w:pPr>
      <w:widowControl w:val="0"/>
      <w:autoSpaceDE w:val="0"/>
      <w:autoSpaceDN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51"/>
    <w:pPr>
      <w:widowControl w:val="0"/>
      <w:numPr>
        <w:ilvl w:val="1"/>
      </w:numPr>
      <w:autoSpaceDE w:val="0"/>
      <w:autoSpaceDN w:val="0"/>
      <w:spacing w:after="0"/>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5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10D51"/>
    <w:pPr>
      <w:widowControl w:val="0"/>
      <w:autoSpaceDE w:val="0"/>
      <w:autoSpaceDN w:val="0"/>
      <w:spacing w:before="160" w:after="0"/>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010D51"/>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10D51"/>
    <w:rPr>
      <w:i/>
      <w:iCs/>
      <w:color w:val="365F91" w:themeColor="accent1" w:themeShade="BF"/>
    </w:rPr>
  </w:style>
  <w:style w:type="paragraph" w:styleId="IntenseQuote">
    <w:name w:val="Intense Quote"/>
    <w:basedOn w:val="Normal"/>
    <w:next w:val="Normal"/>
    <w:link w:val="IntenseQuoteChar"/>
    <w:uiPriority w:val="30"/>
    <w:qFormat/>
    <w:rsid w:val="00010D51"/>
    <w:pPr>
      <w:widowControl w:val="0"/>
      <w:pBdr>
        <w:top w:val="single" w:sz="4" w:space="10" w:color="365F91" w:themeColor="accent1" w:themeShade="BF"/>
        <w:bottom w:val="single" w:sz="4" w:space="10" w:color="365F91" w:themeColor="accent1" w:themeShade="BF"/>
      </w:pBdr>
      <w:autoSpaceDE w:val="0"/>
      <w:autoSpaceDN w:val="0"/>
      <w:spacing w:before="360" w:after="360"/>
      <w:ind w:left="864" w:right="864"/>
      <w:jc w:val="center"/>
    </w:pPr>
    <w:rPr>
      <w:rFonts w:ascii="Times New Roman" w:eastAsia="Times New Roman" w:hAnsi="Times New Roman" w:cs="Times New Roman"/>
      <w:i/>
      <w:iCs/>
      <w:color w:val="365F91" w:themeColor="accent1" w:themeShade="BF"/>
    </w:rPr>
  </w:style>
  <w:style w:type="character" w:customStyle="1" w:styleId="IntenseQuoteChar">
    <w:name w:val="Intense Quote Char"/>
    <w:basedOn w:val="DefaultParagraphFont"/>
    <w:link w:val="IntenseQuote"/>
    <w:uiPriority w:val="30"/>
    <w:rsid w:val="00010D51"/>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10D51"/>
    <w:rPr>
      <w:b/>
      <w:bCs/>
      <w:smallCaps/>
      <w:color w:val="365F91" w:themeColor="accent1" w:themeShade="BF"/>
      <w:spacing w:val="5"/>
    </w:rPr>
  </w:style>
  <w:style w:type="paragraph" w:styleId="FootnoteText">
    <w:name w:val="footnote text"/>
    <w:basedOn w:val="Normal"/>
    <w:link w:val="FootnoteTextChar"/>
    <w:uiPriority w:val="99"/>
    <w:semiHidden/>
    <w:unhideWhenUsed/>
    <w:rsid w:val="00010D51"/>
    <w:pPr>
      <w:widowControl w:val="0"/>
      <w:autoSpaceDE w:val="0"/>
      <w:autoSpaceDN w:val="0"/>
      <w:spacing w:after="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10D5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10D51"/>
    <w:rPr>
      <w:vertAlign w:val="superscript"/>
    </w:rPr>
  </w:style>
  <w:style w:type="character" w:styleId="PlaceholderText">
    <w:name w:val="Placeholder Text"/>
    <w:basedOn w:val="DefaultParagraphFont"/>
    <w:uiPriority w:val="99"/>
    <w:semiHidden/>
    <w:rsid w:val="00010D51"/>
    <w:rPr>
      <w:color w:val="666666"/>
    </w:rPr>
  </w:style>
  <w:style w:type="character" w:styleId="FollowedHyperlink">
    <w:name w:val="FollowedHyperlink"/>
    <w:basedOn w:val="DefaultParagraphFont"/>
    <w:uiPriority w:val="99"/>
    <w:semiHidden/>
    <w:unhideWhenUsed/>
    <w:rsid w:val="00010D51"/>
    <w:rPr>
      <w:color w:val="800080" w:themeColor="followedHyperlink"/>
      <w:u w:val="single"/>
    </w:rPr>
  </w:style>
  <w:style w:type="character" w:customStyle="1" w:styleId="ui-provider">
    <w:name w:val="ui-provider"/>
    <w:basedOn w:val="DefaultParagraphFont"/>
    <w:rsid w:val="00010D51"/>
  </w:style>
  <w:style w:type="paragraph" w:styleId="Header">
    <w:name w:val="header"/>
    <w:basedOn w:val="Normal"/>
    <w:link w:val="Head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010D51"/>
    <w:rPr>
      <w:rFonts w:ascii="Times New Roman" w:eastAsia="Times New Roman" w:hAnsi="Times New Roman" w:cs="Times New Roman"/>
    </w:rPr>
  </w:style>
  <w:style w:type="paragraph" w:styleId="Footer">
    <w:name w:val="footer"/>
    <w:basedOn w:val="Normal"/>
    <w:link w:val="Foot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FooterChar">
    <w:name w:val="Footer Char"/>
    <w:basedOn w:val="DefaultParagraphFont"/>
    <w:link w:val="Footer"/>
    <w:uiPriority w:val="99"/>
    <w:rsid w:val="00010D51"/>
    <w:rPr>
      <w:rFonts w:ascii="Times New Roman" w:eastAsia="Times New Roman" w:hAnsi="Times New Roman" w:cs="Times New Roman"/>
    </w:rPr>
  </w:style>
  <w:style w:type="paragraph" w:customStyle="1" w:styleId="whitespace-normal">
    <w:name w:val="whitespace-normal"/>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citation-17">
    <w:name w:val="citation-17"/>
    <w:basedOn w:val="DefaultParagraphFont"/>
    <w:rsid w:val="00010D51"/>
  </w:style>
  <w:style w:type="character" w:customStyle="1" w:styleId="citation-16">
    <w:name w:val="citation-16"/>
    <w:basedOn w:val="DefaultParagraphFont"/>
    <w:rsid w:val="00010D51"/>
  </w:style>
  <w:style w:type="character" w:customStyle="1" w:styleId="citation-15">
    <w:name w:val="citation-15"/>
    <w:basedOn w:val="DefaultParagraphFont"/>
    <w:rsid w:val="00010D51"/>
  </w:style>
  <w:style w:type="character" w:styleId="Emphasis">
    <w:name w:val="Emphasis"/>
    <w:basedOn w:val="DefaultParagraphFont"/>
    <w:uiPriority w:val="20"/>
    <w:qFormat/>
    <w:rsid w:val="00010D51"/>
    <w:rPr>
      <w:i/>
      <w:iCs/>
    </w:rPr>
  </w:style>
  <w:style w:type="character" w:customStyle="1" w:styleId="ms-1">
    <w:name w:val="ms-1"/>
    <w:basedOn w:val="DefaultParagraphFont"/>
    <w:rsid w:val="00010D51"/>
  </w:style>
  <w:style w:type="character" w:customStyle="1" w:styleId="max-w-full">
    <w:name w:val="max-w-full"/>
    <w:basedOn w:val="DefaultParagraphFont"/>
    <w:rsid w:val="00010D51"/>
  </w:style>
  <w:style w:type="character" w:customStyle="1" w:styleId="citation-75">
    <w:name w:val="citation-75"/>
    <w:basedOn w:val="DefaultParagraphFont"/>
    <w:rsid w:val="00010D51"/>
  </w:style>
  <w:style w:type="character" w:customStyle="1" w:styleId="citation-74">
    <w:name w:val="citation-74"/>
    <w:basedOn w:val="DefaultParagraphFont"/>
    <w:rsid w:val="00010D51"/>
  </w:style>
  <w:style w:type="character" w:customStyle="1" w:styleId="citation-73">
    <w:name w:val="citation-73"/>
    <w:basedOn w:val="DefaultParagraphFont"/>
    <w:rsid w:val="00010D51"/>
  </w:style>
  <w:style w:type="character" w:customStyle="1" w:styleId="citation-72">
    <w:name w:val="citation-72"/>
    <w:basedOn w:val="DefaultParagraphFont"/>
    <w:rsid w:val="00010D51"/>
  </w:style>
  <w:style w:type="character" w:customStyle="1" w:styleId="citation-71">
    <w:name w:val="citation-71"/>
    <w:basedOn w:val="DefaultParagraphFont"/>
    <w:rsid w:val="00010D51"/>
  </w:style>
  <w:style w:type="character" w:customStyle="1" w:styleId="citation-91">
    <w:name w:val="citation-91"/>
    <w:basedOn w:val="DefaultParagraphFont"/>
    <w:rsid w:val="00010D51"/>
  </w:style>
  <w:style w:type="character" w:customStyle="1" w:styleId="citation-90">
    <w:name w:val="citation-90"/>
    <w:basedOn w:val="DefaultParagraphFont"/>
    <w:rsid w:val="00010D51"/>
  </w:style>
  <w:style w:type="character" w:customStyle="1" w:styleId="citation-89">
    <w:name w:val="citation-89"/>
    <w:basedOn w:val="DefaultParagraphFont"/>
    <w:rsid w:val="00010D51"/>
  </w:style>
  <w:style w:type="character" w:customStyle="1" w:styleId="citation-88">
    <w:name w:val="citation-88"/>
    <w:basedOn w:val="DefaultParagraphFont"/>
    <w:rsid w:val="00010D51"/>
  </w:style>
  <w:style w:type="character" w:customStyle="1" w:styleId="citation-87">
    <w:name w:val="citation-87"/>
    <w:basedOn w:val="DefaultParagraphFont"/>
    <w:rsid w:val="00010D51"/>
  </w:style>
  <w:style w:type="character" w:customStyle="1" w:styleId="citation-86">
    <w:name w:val="citation-86"/>
    <w:basedOn w:val="DefaultParagraphFont"/>
    <w:rsid w:val="00010D51"/>
  </w:style>
  <w:style w:type="character" w:customStyle="1" w:styleId="citation-85">
    <w:name w:val="citation-85"/>
    <w:basedOn w:val="DefaultParagraphFont"/>
    <w:rsid w:val="00010D51"/>
  </w:style>
  <w:style w:type="character" w:customStyle="1" w:styleId="citation-84">
    <w:name w:val="citation-84"/>
    <w:basedOn w:val="DefaultParagraphFont"/>
    <w:rsid w:val="00010D51"/>
  </w:style>
  <w:style w:type="table" w:styleId="PlainTable2">
    <w:name w:val="Plain Table 2"/>
    <w:basedOn w:val="TableNormal"/>
    <w:uiPriority w:val="42"/>
    <w:rsid w:val="00010D51"/>
    <w:pPr>
      <w:spacing w:after="0"/>
    </w:pPr>
    <w:rPr>
      <w:kern w:val="2"/>
      <w:sz w:val="24"/>
      <w:szCs w:val="24"/>
      <w:lang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0D51"/>
    <w:pPr>
      <w:spacing w:after="0"/>
    </w:pPr>
    <w:rPr>
      <w:kern w:val="2"/>
      <w:sz w:val="24"/>
      <w:szCs w:val="24"/>
      <w:lang w:eastAsia="ko-KR"/>
      <w14:ligatures w14:val="standardContextual"/>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xl65">
    <w:name w:val="xl65"/>
    <w:basedOn w:val="Normal"/>
    <w:rsid w:val="00010D51"/>
    <w:pPr>
      <w:pBdr>
        <w:bottom w:val="single" w:sz="8"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66">
    <w:name w:val="xl66"/>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67">
    <w:name w:val="xl67"/>
    <w:basedOn w:val="Normal"/>
    <w:rsid w:val="00010D51"/>
    <w:pPr>
      <w:spacing w:before="100" w:beforeAutospacing="1" w:after="100" w:afterAutospacing="1"/>
    </w:pPr>
    <w:rPr>
      <w:rFonts w:ascii="Times New Roman" w:eastAsia="Times New Roman" w:hAnsi="Times New Roman" w:cs="Times New Roman"/>
      <w:lang w:eastAsia="zh-CN"/>
    </w:rPr>
  </w:style>
  <w:style w:type="paragraph" w:customStyle="1" w:styleId="xl69">
    <w:name w:val="xl69"/>
    <w:basedOn w:val="Normal"/>
    <w:rsid w:val="00010D51"/>
    <w:pPr>
      <w:spacing w:before="100" w:beforeAutospacing="1" w:after="100" w:afterAutospacing="1"/>
      <w:jc w:val="center"/>
    </w:pPr>
    <w:rPr>
      <w:rFonts w:ascii="Times New Roman" w:eastAsia="Times New Roman" w:hAnsi="Times New Roman" w:cs="Times New Roman"/>
      <w:sz w:val="24"/>
      <w:szCs w:val="24"/>
      <w:lang w:eastAsia="zh-CN"/>
    </w:rPr>
  </w:style>
  <w:style w:type="paragraph" w:customStyle="1" w:styleId="xl71">
    <w:name w:val="xl71"/>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2">
    <w:name w:val="xl72"/>
    <w:basedOn w:val="Normal"/>
    <w:rsid w:val="00010D51"/>
    <w:pP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73">
    <w:name w:val="xl73"/>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4">
    <w:name w:val="xl74"/>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5">
    <w:name w:val="xl75"/>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6">
    <w:name w:val="xl76"/>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77">
    <w:name w:val="xl77"/>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8">
    <w:name w:val="xl78"/>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9">
    <w:name w:val="xl79"/>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80">
    <w:name w:val="xl80"/>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81">
    <w:name w:val="xl81"/>
    <w:basedOn w:val="Normal"/>
    <w:rsid w:val="00010D51"/>
    <w:pP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2">
    <w:name w:val="xl82"/>
    <w:basedOn w:val="Normal"/>
    <w:rsid w:val="00010D51"/>
    <w:pPr>
      <w:pBdr>
        <w:top w:val="single" w:sz="8" w:space="0" w:color="auto"/>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b/>
      <w:bCs/>
      <w:lang w:eastAsia="zh-CN"/>
    </w:rPr>
  </w:style>
  <w:style w:type="paragraph" w:customStyle="1" w:styleId="xl83">
    <w:name w:val="xl83"/>
    <w:basedOn w:val="Normal"/>
    <w:rsid w:val="00010D51"/>
    <w:pPr>
      <w:pBdr>
        <w:top w:val="single" w:sz="8" w:space="0" w:color="auto"/>
        <w:bottom w:val="single" w:sz="4" w:space="0" w:color="auto"/>
      </w:pBdr>
      <w:shd w:val="clear" w:color="000000" w:fill="FFFFFF"/>
      <w:spacing w:before="100" w:beforeAutospacing="1" w:after="100" w:afterAutospacing="1"/>
    </w:pPr>
    <w:rPr>
      <w:rFonts w:ascii="Times New Roman" w:eastAsia="Times New Roman" w:hAnsi="Times New Roman" w:cs="Times New Roman"/>
      <w:b/>
      <w:bCs/>
      <w:lang w:eastAsia="zh-CN"/>
    </w:rPr>
  </w:style>
  <w:style w:type="paragraph" w:customStyle="1" w:styleId="xl84">
    <w:name w:val="xl84"/>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5">
    <w:name w:val="xl85"/>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86">
    <w:name w:val="xl8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7">
    <w:name w:val="xl8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88">
    <w:name w:val="xl88"/>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9">
    <w:name w:val="xl89"/>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0">
    <w:name w:val="xl90"/>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1">
    <w:name w:val="xl91"/>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2">
    <w:name w:val="xl92"/>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3">
    <w:name w:val="xl9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94">
    <w:name w:val="xl94"/>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5">
    <w:name w:val="xl95"/>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6">
    <w:name w:val="xl96"/>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7">
    <w:name w:val="xl97"/>
    <w:basedOn w:val="Normal"/>
    <w:rsid w:val="00010D51"/>
    <w:pPr>
      <w:pBdr>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8">
    <w:name w:val="xl98"/>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9">
    <w:name w:val="xl99"/>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0">
    <w:name w:val="xl100"/>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1">
    <w:name w:val="xl101"/>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2">
    <w:name w:val="xl102"/>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3">
    <w:name w:val="xl103"/>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4">
    <w:name w:val="xl104"/>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5">
    <w:name w:val="xl105"/>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relative">
    <w:name w:val="relative"/>
    <w:basedOn w:val="DefaultParagraphFont"/>
    <w:rsid w:val="00010D51"/>
  </w:style>
  <w:style w:type="paragraph" w:customStyle="1" w:styleId="not-prose">
    <w:name w:val="not-prose"/>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xl68">
    <w:name w:val="xl6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0">
    <w:name w:val="xl70"/>
    <w:basedOn w:val="Normal"/>
    <w:rsid w:val="00010D51"/>
    <w:pPr>
      <w:shd w:val="clear" w:color="000000" w:fill="FFFFFF"/>
      <w:spacing w:before="100" w:beforeAutospacing="1" w:after="100" w:afterAutospacing="1"/>
    </w:pPr>
    <w:rPr>
      <w:rFonts w:ascii="Times New Roman" w:eastAsia="Times New Roman" w:hAnsi="Times New Roman" w:cs="Times New Roman"/>
      <w:lang w:eastAsia="zh-CN"/>
    </w:rPr>
  </w:style>
  <w:style w:type="paragraph" w:customStyle="1" w:styleId="xl106">
    <w:name w:val="xl10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7">
    <w:name w:val="xl107"/>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108">
    <w:name w:val="xl108"/>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9">
    <w:name w:val="xl10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0">
    <w:name w:val="xl110"/>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1">
    <w:name w:val="xl111"/>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2">
    <w:name w:val="xl112"/>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3">
    <w:name w:val="xl113"/>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4">
    <w:name w:val="xl114"/>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115">
    <w:name w:val="xl115"/>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6">
    <w:name w:val="xl116"/>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7">
    <w:name w:val="xl11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8">
    <w:name w:val="xl11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9">
    <w:name w:val="xl11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20">
    <w:name w:val="xl120"/>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1">
    <w:name w:val="xl121"/>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2">
    <w:name w:val="xl122"/>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3">
    <w:name w:val="xl123"/>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4">
    <w:name w:val="xl124"/>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5">
    <w:name w:val="xl125"/>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6">
    <w:name w:val="xl126"/>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7">
    <w:name w:val="xl127"/>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8">
    <w:name w:val="xl128"/>
    <w:basedOn w:val="Normal"/>
    <w:rsid w:val="00010D51"/>
    <w:pPr>
      <w:pBdr>
        <w:top w:val="single" w:sz="4" w:space="0" w:color="000000"/>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9">
    <w:name w:val="xl129"/>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0">
    <w:name w:val="xl130"/>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131">
    <w:name w:val="xl131"/>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2">
    <w:name w:val="xl132"/>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3">
    <w:name w:val="xl13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s1">
    <w:name w:val="s1"/>
    <w:basedOn w:val="DefaultParagraphFont"/>
    <w:rsid w:val="00141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2004123316">
      <w:bodyDiv w:val="1"/>
      <w:marLeft w:val="0"/>
      <w:marRight w:val="0"/>
      <w:marTop w:val="0"/>
      <w:marBottom w:val="0"/>
      <w:divBdr>
        <w:top w:val="none" w:sz="0" w:space="0" w:color="auto"/>
        <w:left w:val="none" w:sz="0" w:space="0" w:color="auto"/>
        <w:bottom w:val="none" w:sz="0" w:space="0" w:color="auto"/>
        <w:right w:val="none" w:sz="0" w:space="0" w:color="auto"/>
      </w:divBdr>
      <w:divsChild>
        <w:div w:id="746534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3.xml"/><Relationship Id="rId18"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tif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19</Pages>
  <Words>17226</Words>
  <Characters>100259</Characters>
  <Application>Microsoft Office Word</Application>
  <DocSecurity>0</DocSecurity>
  <Lines>1566</Lines>
  <Paragraphs>357</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Jo,Youngji</cp:lastModifiedBy>
  <cp:revision>62</cp:revision>
  <cp:lastPrinted>2026-02-12T17:39:00Z</cp:lastPrinted>
  <dcterms:created xsi:type="dcterms:W3CDTF">2026-02-07T16:06:00Z</dcterms:created>
  <dcterms:modified xsi:type="dcterms:W3CDTF">2026-02-12T18:09:00Z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115d9d6a-f377-42fa-ac5e-2b6e34cfe640</vt:lpwstr>
  </property>
  <property fmtid="{D5CDD505-2E9C-101B-9397-08002B2CF9AE}" pid="3" name="ZOTERO_PREF_1">
    <vt:lpwstr>&lt;data data-version="3" zotero-version="8.0"&gt;&lt;session id="YKAL81w0"/&gt;&lt;style id="http://www.zotero.org/styles/nlm-citation-sequence"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