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1395E" w14:textId="77777777" w:rsidR="00A66764" w:rsidRPr="009F313E" w:rsidRDefault="00A66764" w:rsidP="00A66764">
      <w:pPr>
        <w:spacing w:line="276" w:lineRule="auto"/>
        <w:rPr>
          <w:rFonts w:ascii="Times New Roman" w:eastAsia="Malgun Gothic" w:hAnsi="Times New Roman" w:cs="Times New Roman"/>
          <w:lang w:eastAsia="ko-KR"/>
        </w:rPr>
      </w:pPr>
      <w:r w:rsidRPr="009F313E">
        <w:rPr>
          <w:rFonts w:ascii="Times New Roman" w:eastAsia="Malgun Gothic" w:hAnsi="Times New Roman" w:cs="Times New Roman"/>
          <w:b/>
          <w:bCs/>
          <w:lang w:eastAsia="ko-KR"/>
        </w:rPr>
        <w:t>Dynamic Interactions of COVID-19 Incidences, Mobility, and Policy in Seoul: A VAR Model Approach</w:t>
      </w:r>
    </w:p>
    <w:p w14:paraId="2B129D32" w14:textId="77777777" w:rsidR="00A66764" w:rsidRPr="009F313E" w:rsidRDefault="00A66764" w:rsidP="00A66764">
      <w:pPr>
        <w:spacing w:line="276" w:lineRule="auto"/>
        <w:rPr>
          <w:rFonts w:ascii="Times New Roman" w:eastAsia="Malgun Gothic" w:hAnsi="Times New Roman" w:cs="Times New Roman"/>
          <w:lang w:eastAsia="ko-KR"/>
        </w:rPr>
      </w:pPr>
      <w:r w:rsidRPr="009F313E">
        <w:rPr>
          <w:rFonts w:ascii="Times New Roman" w:eastAsia="Malgun Gothic" w:hAnsi="Times New Roman" w:cs="Times New Roman" w:hint="eastAsia"/>
          <w:b/>
          <w:bCs/>
          <w:lang w:eastAsia="ko-KR"/>
        </w:rPr>
        <w:t>Authors (TBD):</w:t>
      </w:r>
      <w:r w:rsidRPr="009F313E">
        <w:rPr>
          <w:rFonts w:ascii="Times New Roman" w:eastAsia="Malgun Gothic" w:hAnsi="Times New Roman" w:cs="Times New Roman" w:hint="eastAsia"/>
          <w:lang w:eastAsia="ko-KR"/>
        </w:rPr>
        <w:t xml:space="preserve"> </w:t>
      </w:r>
      <w:proofErr w:type="spellStart"/>
      <w:r w:rsidRPr="009F313E">
        <w:rPr>
          <w:rFonts w:ascii="Times New Roman" w:eastAsia="Malgun Gothic" w:hAnsi="Times New Roman" w:cs="Times New Roman" w:hint="eastAsia"/>
          <w:lang w:eastAsia="ko-KR"/>
        </w:rPr>
        <w:t>Zeyu</w:t>
      </w:r>
      <w:proofErr w:type="spellEnd"/>
      <w:r w:rsidRPr="009F313E">
        <w:rPr>
          <w:rFonts w:ascii="Times New Roman" w:eastAsia="Malgun Gothic" w:hAnsi="Times New Roman" w:cs="Times New Roman" w:hint="eastAsia"/>
          <w:lang w:eastAsia="ko-KR"/>
        </w:rPr>
        <w:t xml:space="preserve"> Hu, </w:t>
      </w:r>
      <w:proofErr w:type="spellStart"/>
      <w:r w:rsidRPr="009F313E">
        <w:rPr>
          <w:rFonts w:ascii="Times New Roman" w:eastAsia="Malgun Gothic" w:hAnsi="Times New Roman" w:cs="Times New Roman" w:hint="eastAsia"/>
          <w:lang w:eastAsia="ko-KR"/>
        </w:rPr>
        <w:t>Youngji</w:t>
      </w:r>
      <w:proofErr w:type="spellEnd"/>
      <w:r w:rsidRPr="009F313E">
        <w:rPr>
          <w:rFonts w:ascii="Times New Roman" w:eastAsia="Malgun Gothic" w:hAnsi="Times New Roman" w:cs="Times New Roman" w:hint="eastAsia"/>
          <w:lang w:eastAsia="ko-KR"/>
        </w:rPr>
        <w:t xml:space="preserve"> Jo*</w:t>
      </w:r>
    </w:p>
    <w:p w14:paraId="04255D09" w14:textId="77777777" w:rsidR="00A66764" w:rsidRPr="009F313E" w:rsidRDefault="00A66764" w:rsidP="00A66764">
      <w:pPr>
        <w:spacing w:line="276" w:lineRule="auto"/>
        <w:rPr>
          <w:rFonts w:ascii="Times New Roman" w:eastAsia="Malgun Gothic" w:hAnsi="Times New Roman" w:cs="Times New Roman"/>
          <w:lang w:eastAsia="ko-KR"/>
        </w:rPr>
      </w:pPr>
    </w:p>
    <w:p w14:paraId="286EDBE4" w14:textId="77777777" w:rsidR="00A66764" w:rsidRPr="009F313E" w:rsidRDefault="00A66764" w:rsidP="00A66764">
      <w:pPr>
        <w:spacing w:line="276" w:lineRule="auto"/>
        <w:rPr>
          <w:rFonts w:ascii="Times New Roman" w:eastAsia="Malgun Gothic" w:hAnsi="Times New Roman" w:cs="Times New Roman"/>
        </w:rPr>
      </w:pPr>
      <w:r w:rsidRPr="009F313E">
        <w:rPr>
          <w:rFonts w:ascii="Times New Roman" w:eastAsia="Malgun Gothic" w:hAnsi="Times New Roman" w:cs="Times New Roman" w:hint="eastAsia"/>
          <w:lang w:eastAsia="ko-KR"/>
        </w:rPr>
        <w:t>Corresponding authors:</w:t>
      </w:r>
    </w:p>
    <w:p w14:paraId="3FF68774" w14:textId="77777777" w:rsidR="00A66764" w:rsidRPr="009F313E" w:rsidRDefault="00A66764" w:rsidP="00A66764">
      <w:pPr>
        <w:spacing w:line="276" w:lineRule="auto"/>
        <w:rPr>
          <w:rFonts w:ascii="Times New Roman" w:eastAsia="Malgun Gothic" w:hAnsi="Times New Roman" w:cs="Times New Roman"/>
          <w:lang w:eastAsia="ko-KR"/>
        </w:rPr>
      </w:pPr>
      <w:proofErr w:type="spellStart"/>
      <w:r w:rsidRPr="009F313E">
        <w:rPr>
          <w:rFonts w:ascii="Times New Roman" w:eastAsia="Malgun Gothic" w:hAnsi="Times New Roman" w:cs="Times New Roman" w:hint="eastAsia"/>
          <w:lang w:eastAsia="ko-KR"/>
        </w:rPr>
        <w:t>Youngji</w:t>
      </w:r>
      <w:proofErr w:type="spellEnd"/>
      <w:r w:rsidRPr="009F313E">
        <w:rPr>
          <w:rFonts w:ascii="Times New Roman" w:eastAsia="Malgun Gothic" w:hAnsi="Times New Roman" w:cs="Times New Roman" w:hint="eastAsia"/>
          <w:lang w:eastAsia="ko-KR"/>
        </w:rPr>
        <w:t xml:space="preserve"> Jo: </w:t>
      </w:r>
      <w:hyperlink r:id="rId7" w:history="1">
        <w:r w:rsidRPr="009F313E">
          <w:rPr>
            <w:rStyle w:val="af"/>
            <w:rFonts w:ascii="Times New Roman" w:eastAsia="Malgun Gothic" w:hAnsi="Times New Roman" w:cs="Times New Roman" w:hint="eastAsia"/>
            <w:lang w:eastAsia="ko-KR"/>
          </w:rPr>
          <w:t>jo@uchc.edu</w:t>
        </w:r>
      </w:hyperlink>
    </w:p>
    <w:p w14:paraId="09104EB3" w14:textId="77777777" w:rsidR="007D5442" w:rsidRDefault="007D5442">
      <w:pPr>
        <w:rPr>
          <w:rFonts w:ascii="Times New Roman" w:eastAsia="宋体" w:hAnsi="Times New Roman" w:cs="Times New Roman"/>
          <w:kern w:val="0"/>
          <w:sz w:val="24"/>
          <w14:ligatures w14:val="none"/>
        </w:rPr>
      </w:pPr>
    </w:p>
    <w:p w14:paraId="5295559A" w14:textId="77777777" w:rsidR="00A66764" w:rsidRPr="009F313E" w:rsidRDefault="00A66764" w:rsidP="00A66764">
      <w:pPr>
        <w:spacing w:line="276" w:lineRule="auto"/>
        <w:rPr>
          <w:rFonts w:ascii="Times New Roman" w:hAnsi="Times New Roman" w:cs="Times New Roman"/>
          <w:b/>
          <w:bCs/>
        </w:rPr>
      </w:pPr>
      <w:r w:rsidRPr="009F313E">
        <w:rPr>
          <w:rFonts w:ascii="Times New Roman" w:hAnsi="Times New Roman" w:cs="Times New Roman"/>
          <w:b/>
          <w:bCs/>
        </w:rPr>
        <w:t xml:space="preserve">Introduction </w:t>
      </w:r>
    </w:p>
    <w:p w14:paraId="1E40F4F8" w14:textId="77777777" w:rsidR="00A66764" w:rsidRPr="00A66764" w:rsidRDefault="00A66764">
      <w:pPr>
        <w:rPr>
          <w:rFonts w:ascii="Times New Roman" w:eastAsia="宋体" w:hAnsi="Times New Roman" w:cs="Times New Roman"/>
          <w:kern w:val="0"/>
          <w:sz w:val="24"/>
          <w14:ligatures w14:val="none"/>
        </w:rPr>
      </w:pPr>
    </w:p>
    <w:p w14:paraId="03B1776C" w14:textId="4B4E600D" w:rsidR="00C6321F" w:rsidRPr="00C6321F" w:rsidRDefault="0046697C" w:rsidP="00C6321F">
      <w:pPr>
        <w:rPr>
          <w:rFonts w:ascii="Times New Roman" w:eastAsia="宋体" w:hAnsi="Times New Roman" w:cs="Times New Roman"/>
          <w:kern w:val="0"/>
          <w:sz w:val="24"/>
          <w14:ligatures w14:val="none"/>
        </w:rPr>
      </w:pPr>
      <w:r w:rsidRPr="00DE0CFA">
        <w:rPr>
          <w:rFonts w:ascii="Times New Roman" w:eastAsia="宋体" w:hAnsi="Times New Roman" w:cs="Times New Roman"/>
          <w:kern w:val="0"/>
          <w:sz w:val="24"/>
          <w14:ligatures w14:val="none"/>
        </w:rPr>
        <w:t>The Covid-19 pandemic has introduced unprecedented challenges to public health systems globally, particularly in densely populated urban areas where social interactions and mobility facilitate rapid virus transmission</w:t>
      </w:r>
      <w:r w:rsidR="001A559B">
        <w:rPr>
          <w:rFonts w:ascii="Times New Roman" w:eastAsia="宋体" w:hAnsi="Times New Roman" w:cs="Times New Roman" w:hint="eastAsia"/>
          <w:kern w:val="0"/>
          <w:sz w:val="24"/>
          <w14:ligatures w14:val="none"/>
        </w:rPr>
        <w:t xml:space="preserve"> </w:t>
      </w:r>
      <w:r w:rsidR="001A559B">
        <w:rPr>
          <w:rFonts w:ascii="Times New Roman" w:eastAsia="宋体" w:hAnsi="Times New Roman" w:cs="Times New Roman"/>
          <w:kern w:val="0"/>
          <w:sz w:val="24"/>
          <w14:ligatures w14:val="none"/>
        </w:rPr>
        <w:fldChar w:fldCharType="begin"/>
      </w:r>
      <w:r w:rsidR="001A559B">
        <w:rPr>
          <w:rFonts w:ascii="Times New Roman" w:eastAsia="宋体" w:hAnsi="Times New Roman" w:cs="Times New Roman"/>
          <w:kern w:val="0"/>
          <w:sz w:val="24"/>
          <w14:ligatures w14:val="none"/>
        </w:rPr>
        <w:instrText xml:space="preserve"> ADDIN ZOTERO_ITEM CSL_CITATION {"citationID":"q4zndCqL","properties":{"formattedCitation":"[1]","plainCitation":"[1]","noteIndex":0},"citationItems":[{"id":62,"uris":["http://zotero.org/users/15424527/items/9TKV54LS"],"itemData":{"id":62,"type":"article-journal","abstract":"As the COVID-19 pandemic moved beyond the initial heavily impacted and urbanized Northeast region of the United States, hotspots of cases in other urban areas ensued across the country in early 2020. In South Carolina, the spatial and temporal patterns were different, initially concentrating in small towns within metro counties, then diffusing to centralized urban areas and rural areas. When mitigation restrictions were relaxed, hotspots reappeared in the major cities. This paper examines the county-scale spatial and temporal patterns of confirmed cases of COVID-19 for South Carolina from March 1st—September 5th, 2020. We first describe the initial diffusion of the new confirmed cases per week across the state, which remained under 2,000 cases until Memorial Day weekend (epi week 23) then dramatically increased, peaking in mid-July (epi week 29), and slowly declining thereafter. Second, we found significant differences in cases and deaths between urban and rural counties, partially related to the timing of the number of confirmed cases and deaths and the implementation of state and local mitigations. Third, we found that the case rates and mortality rates positively correlated with pre-existing social vulnerability. There was also a negative correlation between mortality rates and county resilience patterns, as expected, suggesting that counties with higher levels of inherent resilience had fewer deaths per 100,000 population.","container-title":"PLOS ONE","DOI":"10.1371/journal.pone.0246548","ISSN":"1932-6203","issue":"2","journalAbbreviation":"PLOS ONE","language":"en","note":"publisher: Public Library of Science","page":"e0246548","source":"PLoS Journals","title":"Urban-rural differences in COVID-19 exposures and outcomes in the South: A preliminary analysis of South Carolina","title-short":"Urban-rural differences in COVID-19 exposures and outcomes in the South","volume":"16","author":[{"family":"Huang","given":"Qian"},{"family":"Jackson","given":"Sarah"},{"family":"Derakhshan","given":"Sahar"},{"family":"Lee","given":"Logan"},{"family":"Pham","given":"Erika"},{"family":"Jackson","given":"Amber"},{"family":"Cutter","given":"Susan L."}],"issued":{"date-parts":[["2021",2,3]]}}}],"schema":"https://github.com/citation-style-language/schema/raw/master/csl-citation.json"} </w:instrText>
      </w:r>
      <w:r w:rsidR="001A559B">
        <w:rPr>
          <w:rFonts w:ascii="Times New Roman" w:eastAsia="宋体" w:hAnsi="Times New Roman" w:cs="Times New Roman"/>
          <w:kern w:val="0"/>
          <w:sz w:val="24"/>
          <w14:ligatures w14:val="none"/>
        </w:rPr>
        <w:fldChar w:fldCharType="separate"/>
      </w:r>
      <w:r w:rsidR="001A559B">
        <w:rPr>
          <w:rFonts w:ascii="Times New Roman" w:eastAsia="宋体" w:hAnsi="Times New Roman" w:cs="Times New Roman"/>
          <w:noProof/>
          <w:kern w:val="0"/>
          <w:sz w:val="24"/>
          <w14:ligatures w14:val="none"/>
        </w:rPr>
        <w:t>[1]</w:t>
      </w:r>
      <w:r w:rsidR="001A559B">
        <w:rPr>
          <w:rFonts w:ascii="Times New Roman" w:eastAsia="宋体" w:hAnsi="Times New Roman" w:cs="Times New Roman"/>
          <w:kern w:val="0"/>
          <w:sz w:val="24"/>
          <w14:ligatures w14:val="none"/>
        </w:rPr>
        <w:fldChar w:fldCharType="end"/>
      </w:r>
      <w:r w:rsidR="00BE2840">
        <w:rPr>
          <w:rFonts w:ascii="Times New Roman" w:eastAsia="宋体" w:hAnsi="Times New Roman" w:cs="Times New Roman"/>
          <w:kern w:val="0"/>
          <w:sz w:val="24"/>
          <w14:ligatures w14:val="none"/>
        </w:rPr>
        <w:fldChar w:fldCharType="begin"/>
      </w:r>
      <w:r w:rsidR="00BE2840">
        <w:rPr>
          <w:rFonts w:ascii="Times New Roman" w:eastAsia="宋体" w:hAnsi="Times New Roman" w:cs="Times New Roman"/>
          <w:kern w:val="0"/>
          <w:sz w:val="24"/>
          <w14:ligatures w14:val="none"/>
        </w:rPr>
        <w:instrText xml:space="preserve"> ADDIN ZOTERO_ITEM CSL_CITATION {"citationID":"JL4JTiHz","properties":{"formattedCitation":"[2]","plainCitation":"[2]","noteIndex":0},"citationItems":[{"id":66,"uris":["http://zotero.org/users/15424527/items/IZ7DE5HN"],"itemData":{"id":66,"type":"article-journal","abstract":"Although there is increasing awareness of disparities in COVID-19 infection risk among vulnerable communities, the effect of behavioral interventions at the scale of individual neighborhoods has not been fully studied. We develop a method to quantify neighborhood activity behaviors at high spatial and temporal resolutions and test whether, and to what extent, behavioral responses to social-distancing policies vary with socioeconomic and demographic characteristics. We define exposure density (Exρ) as a measure of both the localized volume of activity in a defined area and the proportion of activity occurring in distinct land-use types. Using detailed neighborhood data for New York City, we quantify neighborhood exposure density using anonymized smartphone geolocation data over a 3-mo period covering more than 12 million unique devices and rasterize granular land-use information to contextualize observed activity. Next, we analyze disparities in community social distancing by estimating variations in neighborhood activity by land-use type before and after a mandated stay-at-home order. Finally, we evaluate the effects of localized demographic, socioeconomic, and built-environment density characteristics on infection rates and deaths in order to identify disparities in health outcomes related to exposure risk. Our findings demonstrate distinct behavioral patterns across neighborhoods after the stay-at-home order and that these variations in exposure density had a direct and measurable impact on the risk of infection. Notably, we find that an additional 10% reduction in exposure density city-wide could have saved between 1,849 and 4,068 lives during the study period, predominantly in lower-income and minority communities.","container-title":"Proceedings of the National Academy of Sciences","DOI":"10.1073/pnas.2021258118","issue":"13","note":"publisher: Proceedings of the National Academy of Sciences","page":"e2021258118","source":"pnas.org (Atypon)","title":"Exposure density and neighborhood disparities in COVID-19 infection risk","volume":"118","author":[{"family":"Hong","given":"Boyeong"},{"family":"Bonczak","given":"Bartosz J."},{"family":"Gupta","given":"Arpit"},{"family":"Thorpe","given":"Lorna E."},{"family":"Kontokosta","given":"Constantine E."}],"issued":{"date-parts":[["2021",3,30]]}}}],"schema":"https://github.com/citation-style-language/schema/raw/master/csl-citation.json"} </w:instrText>
      </w:r>
      <w:r w:rsidR="00BE2840">
        <w:rPr>
          <w:rFonts w:ascii="Times New Roman" w:eastAsia="宋体" w:hAnsi="Times New Roman" w:cs="Times New Roman"/>
          <w:kern w:val="0"/>
          <w:sz w:val="24"/>
          <w14:ligatures w14:val="none"/>
        </w:rPr>
        <w:fldChar w:fldCharType="separate"/>
      </w:r>
      <w:r w:rsidR="00BE2840">
        <w:rPr>
          <w:rFonts w:ascii="Times New Roman" w:eastAsia="宋体" w:hAnsi="Times New Roman" w:cs="Times New Roman"/>
          <w:noProof/>
          <w:kern w:val="0"/>
          <w:sz w:val="24"/>
          <w14:ligatures w14:val="none"/>
        </w:rPr>
        <w:t>[2]</w:t>
      </w:r>
      <w:r w:rsidR="00BE2840">
        <w:rPr>
          <w:rFonts w:ascii="Times New Roman" w:eastAsia="宋体" w:hAnsi="Times New Roman" w:cs="Times New Roman"/>
          <w:kern w:val="0"/>
          <w:sz w:val="24"/>
          <w14:ligatures w14:val="none"/>
        </w:rPr>
        <w:fldChar w:fldCharType="end"/>
      </w:r>
      <w:r w:rsidR="001A559B">
        <w:rPr>
          <w:rFonts w:ascii="Times New Roman" w:eastAsia="宋体" w:hAnsi="Times New Roman" w:cs="Times New Roman"/>
          <w:kern w:val="0"/>
          <w:sz w:val="24"/>
          <w14:ligatures w14:val="none"/>
        </w:rPr>
        <w:t>.</w:t>
      </w:r>
      <w:r w:rsidR="001A559B" w:rsidRPr="001A559B">
        <w:rPr>
          <w:rFonts w:ascii="Times New Roman" w:eastAsia="宋体" w:hAnsi="Times New Roman" w:cs="Times New Roman"/>
          <w:kern w:val="0"/>
          <w:sz w:val="24"/>
          <w14:ligatures w14:val="none"/>
        </w:rPr>
        <w:t xml:space="preserve"> </w:t>
      </w:r>
      <w:r w:rsidR="001A559B" w:rsidRPr="00DE0CFA">
        <w:rPr>
          <w:rFonts w:ascii="Times New Roman" w:eastAsia="宋体" w:hAnsi="Times New Roman" w:cs="Times New Roman"/>
          <w:kern w:val="0"/>
          <w:sz w:val="24"/>
          <w14:ligatures w14:val="none"/>
        </w:rPr>
        <w:t>Governments responded with various stringent policy measures aimed at controlling the spread, such as lockdowns, restrictions on movement, and mandates on public behavior</w:t>
      </w:r>
      <w:r w:rsidR="001A559B">
        <w:rPr>
          <w:rFonts w:ascii="Times New Roman" w:eastAsia="宋体" w:hAnsi="Times New Roman" w:cs="Times New Roman"/>
          <w:kern w:val="0"/>
          <w:sz w:val="24"/>
          <w14:ligatures w14:val="none"/>
        </w:rPr>
        <w:t xml:space="preserve"> </w:t>
      </w:r>
      <w:r w:rsidR="001A559B">
        <w:rPr>
          <w:rFonts w:ascii="Times New Roman" w:eastAsia="宋体" w:hAnsi="Times New Roman" w:cs="Times New Roman"/>
          <w:kern w:val="0"/>
          <w:sz w:val="24"/>
          <w14:ligatures w14:val="none"/>
        </w:rPr>
        <w:fldChar w:fldCharType="begin"/>
      </w:r>
      <w:r w:rsidR="00BE2840">
        <w:rPr>
          <w:rFonts w:ascii="Times New Roman" w:eastAsia="宋体" w:hAnsi="Times New Roman" w:cs="Times New Roman"/>
          <w:kern w:val="0"/>
          <w:sz w:val="24"/>
          <w14:ligatures w14:val="none"/>
        </w:rPr>
        <w:instrText xml:space="preserve"> ADDIN ZOTERO_ITEM CSL_CITATION {"citationID":"OCs4V4Xw","properties":{"formattedCitation":"[3]","plainCitation":"[3]","noteIndex":0},"citationItems":[{"id":1,"uris":["http://zotero.org/users/15424527/items/XUCGGQAZ"],"itemData":{"id":1,"type":"article-journal","abstract":"Social distancing remains an important strategy to combat the COVID-19 pandemic in the United States. However, the impacts of specific state-level policies on mobility and subsequent COVID-19 case trajectories have not been completely quantified. Using anonymized and aggregated mobility data from opted-in Google users, we found that state-level emergency declarations resulted in a 9.9% reduction in time spent away from places of residence. Implementation of one or more social distancing policies resulted in an additional 24.5% reduction in mobility the following week, and subsequent shelter-in-place mandates yielded an additional 29.0% reduction. Decreases in mobility were associated with substantial reductions in case growth two to four weeks later. For example, a 10% reduction in mobility was associated with a 17.5% reduction in case growth two weeks later. Given the continued reliance on social distancing policies to limit the spread of COVID-19, these results may be helpful to public health officials trying to balance infection control with the economic and social consequences of these policies.","container-title":"Nature Communications","DOI":"10.1038/s41467-021-23404-5","ISSN":"2041-1723","issue":"1","journalAbbreviation":"Nat Commun","language":"en","license":"2021 The Author(s)","note":"publisher: Nature Publishing Group","page":"3118","source":"www.nature.com","title":"Impacts of social distancing policies on mobility and COVID-19 case growth in the US","volume":"12","author":[{"family":"Wellenius","given":"Gregory A."},{"family":"Vispute","given":"Swapnil"},{"family":"Espinosa","given":"Valeria"},{"family":"Fabrikant","given":"Alex"},{"family":"Tsai","given":"Thomas C."},{"family":"Hennessy","given":"Jonathan"},{"family":"Dai","given":"Andrew"},{"family":"Williams","given":"Brian"},{"family":"Gadepalli","given":"Krishna"},{"family":"Boulanger","given":"Adam"},{"family":"Pearce","given":"Adam"},{"family":"Kamath","given":"Chaitanya"},{"family":"Schlosberg","given":"Arran"},{"family":"Bendebury","given":"Catherine"},{"family":"Mandayam","given":"Chinmoy"},{"family":"Stanton","given":"Charlotte"},{"family":"Bavadekar","given":"Shailesh"},{"family":"Pluntke","given":"Christopher"},{"family":"Desfontaines","given":"Damien"},{"family":"Jacobson","given":"Benjamin H."},{"family":"Armstrong","given":"Zan"},{"family":"Gipson","given":"Bryant"},{"family":"Wilson","given":"Royce"},{"family":"Widdowson","given":"Andrew"},{"family":"Chou","given":"Katherine"},{"family":"Oplinger","given":"Andrew"},{"family":"Shekel","given":"Tomer"},{"family":"Jha","given":"Ashish K."},{"family":"Gabrilovich","given":"Evgeniy"}],"issued":{"date-parts":[["2021",5,25]]}}}],"schema":"https://github.com/citation-style-language/schema/raw/master/csl-citation.json"} </w:instrText>
      </w:r>
      <w:r w:rsidR="001A559B">
        <w:rPr>
          <w:rFonts w:ascii="Times New Roman" w:eastAsia="宋体" w:hAnsi="Times New Roman" w:cs="Times New Roman"/>
          <w:kern w:val="0"/>
          <w:sz w:val="24"/>
          <w14:ligatures w14:val="none"/>
        </w:rPr>
        <w:fldChar w:fldCharType="separate"/>
      </w:r>
      <w:r w:rsidR="00BE2840">
        <w:rPr>
          <w:rFonts w:ascii="Times New Roman" w:eastAsia="宋体" w:hAnsi="Times New Roman" w:cs="Times New Roman"/>
          <w:noProof/>
          <w:kern w:val="0"/>
          <w:sz w:val="24"/>
          <w14:ligatures w14:val="none"/>
        </w:rPr>
        <w:t>[3]</w:t>
      </w:r>
      <w:r w:rsidR="001A559B">
        <w:rPr>
          <w:rFonts w:ascii="Times New Roman" w:eastAsia="宋体" w:hAnsi="Times New Roman" w:cs="Times New Roman"/>
          <w:kern w:val="0"/>
          <w:sz w:val="24"/>
          <w14:ligatures w14:val="none"/>
        </w:rPr>
        <w:fldChar w:fldCharType="end"/>
      </w:r>
      <w:r w:rsidR="001A559B">
        <w:rPr>
          <w:rFonts w:ascii="Times New Roman" w:eastAsia="宋体" w:hAnsi="Times New Roman" w:cs="Times New Roman"/>
          <w:kern w:val="0"/>
          <w:sz w:val="24"/>
          <w14:ligatures w14:val="none"/>
        </w:rPr>
        <w:fldChar w:fldCharType="begin"/>
      </w:r>
      <w:r w:rsidR="00BE2840">
        <w:rPr>
          <w:rFonts w:ascii="Times New Roman" w:eastAsia="宋体" w:hAnsi="Times New Roman" w:cs="Times New Roman"/>
          <w:kern w:val="0"/>
          <w:sz w:val="24"/>
          <w14:ligatures w14:val="none"/>
        </w:rPr>
        <w:instrText xml:space="preserve"> ADDIN ZOTERO_ITEM CSL_CITATION {"citationID":"NOO6Moq5","properties":{"formattedCitation":"[4]","plainCitation":"[4]","noteIndex":0},"citationItems":[{"id":5,"uris":["http://zotero.org/users/15424527/items/6QBAEHST"],"itemData":{"id":5,"type":"article-journal","abstract":"This paper investigates the dynamic impact of social distancing policy on coronavirus disease (COVID-19) infection control, mobility of people, and consumption expenditures in the Republic of Korea. We employ structural and threshold vector autoregressive (VAR) models using big-data-driven mobility data, credit card expenditure, and a social distancing index. We find that the social distancing policy significantly reduces the spread of COVID-19, but there exists a significant, growing trade-off between infection control and economic activity over time. When the level of stringency in social distancing is already high, its marginal effect on mobility is estimated to be smaller than when social distancing stringency is low. The effect of social distancing also becomes secondary after vaccination. Increased vaccination is found to significantly reduce the critical cases while it increases visitors and consumption expenditures. The results also show that the effect of social distancing policy on mobility reduction is strongest among the population of age under 20 and the weakest among the population of age over 60.","container-title":"Journal of Economic Dynamics and Control","DOI":"10.1016/j.jedc.2023.104642","ISSN":"0165-1889","journalAbbreviation":"Journal of Economic Dynamics and Control","page":"104642","source":"ScienceDirect","title":"Impacts of social distancing policy and vaccination during the COVID-19 pandemic in the Republic of Korea","volume":"150","author":[{"family":"Kim","given":"Kijin"},{"family":"Kim","given":"Soyoung"},{"family":"Lee","given":"Donghyun"},{"family":"Park","given":"Cyn-Young"}],"issued":{"date-parts":[["2023",5,1]]}}}],"schema":"https://github.com/citation-style-language/schema/raw/master/csl-citation.json"} </w:instrText>
      </w:r>
      <w:r w:rsidR="001A559B">
        <w:rPr>
          <w:rFonts w:ascii="Times New Roman" w:eastAsia="宋体" w:hAnsi="Times New Roman" w:cs="Times New Roman"/>
          <w:kern w:val="0"/>
          <w:sz w:val="24"/>
          <w14:ligatures w14:val="none"/>
        </w:rPr>
        <w:fldChar w:fldCharType="separate"/>
      </w:r>
      <w:r w:rsidR="00BE2840">
        <w:rPr>
          <w:rFonts w:ascii="Times New Roman" w:eastAsia="宋体" w:hAnsi="Times New Roman" w:cs="Times New Roman"/>
          <w:noProof/>
          <w:kern w:val="0"/>
          <w:sz w:val="24"/>
          <w14:ligatures w14:val="none"/>
        </w:rPr>
        <w:t>[4]</w:t>
      </w:r>
      <w:r w:rsidR="001A559B">
        <w:rPr>
          <w:rFonts w:ascii="Times New Roman" w:eastAsia="宋体" w:hAnsi="Times New Roman" w:cs="Times New Roman"/>
          <w:kern w:val="0"/>
          <w:sz w:val="24"/>
          <w14:ligatures w14:val="none"/>
        </w:rPr>
        <w:fldChar w:fldCharType="end"/>
      </w:r>
      <w:r w:rsidR="001A559B">
        <w:rPr>
          <w:rFonts w:ascii="Times New Roman" w:eastAsia="宋体" w:hAnsi="Times New Roman" w:cs="Times New Roman"/>
          <w:kern w:val="0"/>
          <w:sz w:val="24"/>
          <w14:ligatures w14:val="none"/>
        </w:rPr>
        <w:fldChar w:fldCharType="begin"/>
      </w:r>
      <w:r w:rsidR="00BE2840">
        <w:rPr>
          <w:rFonts w:ascii="Times New Roman" w:eastAsia="宋体" w:hAnsi="Times New Roman" w:cs="Times New Roman"/>
          <w:kern w:val="0"/>
          <w:sz w:val="24"/>
          <w14:ligatures w14:val="none"/>
        </w:rPr>
        <w:instrText xml:space="preserve"> ADDIN ZOTERO_ITEM CSL_CITATION {"citationID":"mmPVTfYi","properties":{"formattedCitation":"[5]","plainCitation":"[5]","noteIndex":0},"citationItems":[{"id":8,"uris":["http://zotero.org/users/15424527/items/33XRGZL7"],"itemData":{"id":8,"type":"article-journal","abstract":"COVID-19 has prompted unprecedented government action around the world. We introduce the Oxford COVID-19 Government Response Tracker (OxCGRT), a dataset that addresses the need for continuously updated, readily usable and comparable information on policy measures. From 1 January 2020, the data capture government policies related to closure and containment, health and economic policy for more than 180 countries, plus several countries’ subnational jurisdictions. Policy responses are recorded on ordinal or continuous scales for 19 policy areas, capturing variation in degree of response. We present two motivating applications of the data, highlighting patterns in the timing of policy adoption and subsequent policy easing and reimposition, and illustrating how the data can be combined with behavioural and epidemiological indicators. This database enables researchers and policymakers to explore the empirical effects of policy responses on the spread of COVID-19 cases and deaths, as well as on economic and social welfare.","container-title":"Nature Human Behaviour","DOI":"10.1038/s41562-021-01079-8","ISSN":"2397-3374","issue":"4","journalAbbreviation":"Nat Hum Behav","language":"en","license":"2021 The Author(s), under exclusive licence to Springer Nature Limited part of Springer Nature","note":"publisher: Nature Publishing Group","page":"529-538","source":"www.nature.com","title":"A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schema":"https://github.com/citation-style-language/schema/raw/master/csl-citation.json"} </w:instrText>
      </w:r>
      <w:r w:rsidR="001A559B">
        <w:rPr>
          <w:rFonts w:ascii="Times New Roman" w:eastAsia="宋体" w:hAnsi="Times New Roman" w:cs="Times New Roman"/>
          <w:kern w:val="0"/>
          <w:sz w:val="24"/>
          <w14:ligatures w14:val="none"/>
        </w:rPr>
        <w:fldChar w:fldCharType="separate"/>
      </w:r>
      <w:r w:rsidR="00BE2840">
        <w:rPr>
          <w:rFonts w:ascii="Times New Roman" w:eastAsia="宋体" w:hAnsi="Times New Roman" w:cs="Times New Roman"/>
          <w:noProof/>
          <w:kern w:val="0"/>
          <w:sz w:val="24"/>
          <w14:ligatures w14:val="none"/>
        </w:rPr>
        <w:t>[5]</w:t>
      </w:r>
      <w:r w:rsidR="001A559B">
        <w:rPr>
          <w:rFonts w:ascii="Times New Roman" w:eastAsia="宋体" w:hAnsi="Times New Roman" w:cs="Times New Roman"/>
          <w:kern w:val="0"/>
          <w:sz w:val="24"/>
          <w14:ligatures w14:val="none"/>
        </w:rPr>
        <w:fldChar w:fldCharType="end"/>
      </w:r>
      <w:r w:rsidRPr="00DE0CFA">
        <w:rPr>
          <w:rFonts w:ascii="Times New Roman" w:eastAsia="宋体" w:hAnsi="Times New Roman" w:cs="Times New Roman"/>
          <w:kern w:val="0"/>
          <w:sz w:val="24"/>
          <w14:ligatures w14:val="none"/>
        </w:rPr>
        <w:t xml:space="preserve">. </w:t>
      </w:r>
      <w:r w:rsidR="00C6321F" w:rsidRPr="00DE0CFA">
        <w:rPr>
          <w:rFonts w:ascii="Times New Roman" w:eastAsia="宋体" w:hAnsi="Times New Roman" w:cs="Times New Roman"/>
          <w:kern w:val="0"/>
          <w:sz w:val="24"/>
          <w14:ligatures w14:val="none"/>
        </w:rPr>
        <w:t xml:space="preserve">These policies interact with population mobility and </w:t>
      </w:r>
      <w:r w:rsidR="00C6321F" w:rsidRPr="00DE0CFA">
        <w:rPr>
          <w:rFonts w:ascii="Times New Roman" w:eastAsia="宋体" w:hAnsi="Times New Roman" w:cs="Times New Roman" w:hint="eastAsia"/>
          <w:kern w:val="0"/>
          <w:sz w:val="24"/>
          <w14:ligatures w14:val="none"/>
        </w:rPr>
        <w:t>incidences</w:t>
      </w:r>
      <w:r w:rsidR="00C6321F" w:rsidRPr="00DE0CFA">
        <w:rPr>
          <w:rFonts w:ascii="Times New Roman" w:eastAsia="宋体" w:hAnsi="Times New Roman" w:cs="Times New Roman"/>
          <w:kern w:val="0"/>
          <w:sz w:val="24"/>
          <w14:ligatures w14:val="none"/>
        </w:rPr>
        <w:t xml:space="preserve"> in a complex manner, particularly in large cities where high population density, intricate social structures, and diverse economic activities further exacerbate this complexity. T</w:t>
      </w:r>
      <w:r w:rsidR="00C6321F" w:rsidRPr="00C6321F">
        <w:rPr>
          <w:rFonts w:ascii="Times New Roman" w:eastAsia="宋体" w:hAnsi="Times New Roman" w:cs="Times New Roman"/>
          <w:kern w:val="0"/>
          <w:sz w:val="24"/>
          <w14:ligatures w14:val="none"/>
        </w:rPr>
        <w:t xml:space="preserve">he relationship between policy intensity, population mobility, and infection rates is not static but dynamically evolves over time. </w:t>
      </w:r>
      <w:r w:rsidR="00124F68" w:rsidRPr="00DE0CFA">
        <w:rPr>
          <w:rFonts w:ascii="Times New Roman" w:eastAsia="宋体" w:hAnsi="Times New Roman" w:cs="Times New Roman"/>
          <w:kern w:val="0"/>
          <w:sz w:val="24"/>
          <w14:ligatures w14:val="none"/>
        </w:rPr>
        <w:t>Policy adjustments are often accompanied by changes in mobility, which in turn can trigger fluctuations in infection rates, further influencing subsequent policy decisions</w:t>
      </w:r>
      <w:r w:rsidR="00BE2840">
        <w:rPr>
          <w:rFonts w:ascii="Times New Roman" w:eastAsia="宋体" w:hAnsi="Times New Roman" w:cs="Times New Roman" w:hint="eastAsia"/>
          <w:kern w:val="0"/>
          <w:sz w:val="24"/>
          <w14:ligatures w14:val="none"/>
        </w:rPr>
        <w:t xml:space="preserve"> </w:t>
      </w:r>
      <w:r w:rsidR="00BE2840">
        <w:rPr>
          <w:rFonts w:ascii="Times New Roman" w:eastAsia="宋体" w:hAnsi="Times New Roman" w:cs="Times New Roman"/>
          <w:kern w:val="0"/>
          <w:sz w:val="24"/>
          <w14:ligatures w14:val="none"/>
        </w:rPr>
        <w:fldChar w:fldCharType="begin"/>
      </w:r>
      <w:r w:rsidR="00BE2840">
        <w:rPr>
          <w:rFonts w:ascii="Times New Roman" w:eastAsia="宋体" w:hAnsi="Times New Roman" w:cs="Times New Roman"/>
          <w:kern w:val="0"/>
          <w:sz w:val="24"/>
          <w14:ligatures w14:val="none"/>
        </w:rPr>
        <w:instrText xml:space="preserve"> ADDIN ZOTERO_ITEM CSL_CITATION {"citationID":"iJN8VdIh","properties":{"formattedCitation":"[6]","plainCitation":"[6]","noteIndex":0},"citationItems":[{"id":68,"uris":["http://zotero.org/users/15424527/items/GTAJYN2B"],"itemData":{"id":68,"type":"article-journal","abstract":"The outbreak of the severe acute respiratory syndrome coronavirus 2 started in Wuhan, China, towards the end of 2019 and spread worldwide. The rapid spread of the disease can be attributed to many factors including its high infectiousness and the high rate of human mobility around the world. Although travel/movement restrictions and other non-pharmaceutical interventions aimed at controlling the disease spread were put in place during the early stages of the pandemic, these interventions did not stop COVID-19 spread. To better understand the impact of human mobility on the spread of COVID-19 between regions, we propose a hybrid gravity-metapopulation model of COVID-19. Our modeling framework has the flexibility of determining mobility between regions based on the distances between the regions or using data from mobile devices. In addition, our model explicitly incorporates time-dependent human mobility into the disease transmission rate, and has the potential to incorporate other factors that affect disease transmission such as facemasks, physical distancing, contact rates, etc. An important feature of this modeling framework is its ability to independently assess the contribution of each factor to disease transmission. Using a Bayesian hierarchical modeling framework, we calibrate our model to the weekly reported cases of COVID-19 in thirteen local health areas in Metro Vancouver, British Columbia (BC), Canada, from July 2020 to January 2021. We consider two main scenarios in our model calibration: using a fixed distance matrix and time-dependent weekly mobility matrices. We found that the distance matrix provides a better fit to the data, whilst the mobility matrices have the ability to explain the variance in transmission between regions. This result shows that the mobility data provides more information in terms of disease transmission than the distances between the regions.","container-title":"PLOS Computational Biology","DOI":"10.1371/journal.pcbi.1011123","ISSN":"1553-7358","issue":"5","journalAbbreviation":"PLOS Computational Biology","language":"en","note":"publisher: Public Library of Science","page":"e1011123","source":"PLoS Journals","title":"Understanding the impact of mobility on COVID-19 spread: A hybrid gravity-metapopulation model of COVID-19","title-short":"Understanding the impact of mobility on COVID-19 spread","volume":"19","author":[{"family":"Iyaniwura","given":"Sarafa A."},{"family":"Ringa","given":"Notice"},{"family":"Adu","given":"Prince A."},{"family":"Mak","given":"Sunny"},{"family":"Janjua","given":"Naveed Z."},{"family":"Irvine","given":"Michael A."},{"family":"Otterstatter","given":"Michael"}],"issued":{"date-parts":[["2023",5,12]]}}}],"schema":"https://github.com/citation-style-language/schema/raw/master/csl-citation.json"} </w:instrText>
      </w:r>
      <w:r w:rsidR="00BE2840">
        <w:rPr>
          <w:rFonts w:ascii="Times New Roman" w:eastAsia="宋体" w:hAnsi="Times New Roman" w:cs="Times New Roman"/>
          <w:kern w:val="0"/>
          <w:sz w:val="24"/>
          <w14:ligatures w14:val="none"/>
        </w:rPr>
        <w:fldChar w:fldCharType="separate"/>
      </w:r>
      <w:r w:rsidR="00BE2840">
        <w:rPr>
          <w:rFonts w:ascii="Times New Roman" w:eastAsia="宋体" w:hAnsi="Times New Roman" w:cs="Times New Roman"/>
          <w:noProof/>
          <w:kern w:val="0"/>
          <w:sz w:val="24"/>
          <w14:ligatures w14:val="none"/>
        </w:rPr>
        <w:t>[6]</w:t>
      </w:r>
      <w:r w:rsidR="00BE2840">
        <w:rPr>
          <w:rFonts w:ascii="Times New Roman" w:eastAsia="宋体" w:hAnsi="Times New Roman" w:cs="Times New Roman"/>
          <w:kern w:val="0"/>
          <w:sz w:val="24"/>
          <w14:ligatures w14:val="none"/>
        </w:rPr>
        <w:fldChar w:fldCharType="end"/>
      </w:r>
      <w:r w:rsidR="00C6321F" w:rsidRPr="00C6321F">
        <w:rPr>
          <w:rFonts w:ascii="Times New Roman" w:eastAsia="宋体" w:hAnsi="Times New Roman" w:cs="Times New Roman"/>
          <w:kern w:val="0"/>
          <w:sz w:val="24"/>
          <w14:ligatures w14:val="none"/>
        </w:rPr>
        <w:t>. Therefore, understanding how these factors interact and how they change across time is crucial for analyzing the dynamics of pandemic management.</w:t>
      </w:r>
    </w:p>
    <w:p w14:paraId="4FE836AE" w14:textId="4A3F15C4" w:rsidR="0046697C" w:rsidRPr="00DE0CFA" w:rsidRDefault="0046697C">
      <w:pPr>
        <w:rPr>
          <w:rFonts w:ascii="Times New Roman" w:eastAsia="宋体" w:hAnsi="Times New Roman" w:cs="Times New Roman"/>
          <w:kern w:val="0"/>
          <w:sz w:val="24"/>
          <w14:ligatures w14:val="none"/>
        </w:rPr>
      </w:pPr>
    </w:p>
    <w:p w14:paraId="1558ADDF" w14:textId="3AC1A7C2" w:rsidR="00DE0CFA" w:rsidRPr="00DE0CFA" w:rsidRDefault="00501B3D" w:rsidP="00501B3D">
      <w:pPr>
        <w:rPr>
          <w:rFonts w:ascii="Times New Roman" w:eastAsia="宋体" w:hAnsi="Times New Roman" w:cs="Times New Roman"/>
          <w:kern w:val="0"/>
          <w:sz w:val="24"/>
          <w14:ligatures w14:val="none"/>
        </w:rPr>
      </w:pPr>
      <w:r w:rsidRPr="00501B3D">
        <w:rPr>
          <w:rFonts w:ascii="Times New Roman" w:eastAsia="宋体" w:hAnsi="Times New Roman" w:cs="Times New Roman"/>
          <w:kern w:val="0"/>
          <w:sz w:val="24"/>
          <w14:ligatures w14:val="none"/>
        </w:rPr>
        <w:t xml:space="preserve">Although </w:t>
      </w:r>
      <w:r w:rsidRPr="00DE0CFA">
        <w:rPr>
          <w:rFonts w:ascii="Times New Roman" w:eastAsia="宋体" w:hAnsi="Times New Roman" w:cs="Times New Roman" w:hint="eastAsia"/>
          <w:kern w:val="0"/>
          <w:sz w:val="24"/>
          <w14:ligatures w14:val="none"/>
        </w:rPr>
        <w:t>many</w:t>
      </w:r>
      <w:r w:rsidRPr="00DE0CFA">
        <w:rPr>
          <w:rFonts w:ascii="Times New Roman" w:eastAsia="宋体" w:hAnsi="Times New Roman" w:cs="Times New Roman"/>
          <w:kern w:val="0"/>
          <w:sz w:val="24"/>
          <w14:ligatures w14:val="none"/>
        </w:rPr>
        <w:t xml:space="preserve"> </w:t>
      </w:r>
      <w:r w:rsidRPr="00501B3D">
        <w:rPr>
          <w:rFonts w:ascii="Times New Roman" w:eastAsia="宋体" w:hAnsi="Times New Roman" w:cs="Times New Roman"/>
          <w:kern w:val="0"/>
          <w:sz w:val="24"/>
          <w14:ligatures w14:val="none"/>
        </w:rPr>
        <w:t xml:space="preserve">studies have begun to explore the dynamic relationships between policy, mobility, and </w:t>
      </w:r>
      <w:r w:rsidRPr="00DE0CFA">
        <w:rPr>
          <w:rFonts w:ascii="Times New Roman" w:eastAsia="宋体" w:hAnsi="Times New Roman" w:cs="Times New Roman"/>
          <w:kern w:val="0"/>
          <w:sz w:val="24"/>
          <w14:ligatures w14:val="none"/>
        </w:rPr>
        <w:t>COVID-19 incidences</w:t>
      </w:r>
      <w:r w:rsidRPr="00501B3D">
        <w:rPr>
          <w:rFonts w:ascii="Times New Roman" w:eastAsia="宋体" w:hAnsi="Times New Roman" w:cs="Times New Roman"/>
          <w:kern w:val="0"/>
          <w:sz w:val="24"/>
          <w14:ligatures w14:val="none"/>
        </w:rPr>
        <w:t xml:space="preserve"> during the pandemic, there remain significant gaps. </w:t>
      </w:r>
      <w:r w:rsidRPr="00DE0CFA">
        <w:rPr>
          <w:rFonts w:ascii="Times New Roman" w:eastAsia="宋体" w:hAnsi="Times New Roman" w:cs="Times New Roman" w:hint="eastAsia"/>
          <w:kern w:val="0"/>
          <w:sz w:val="24"/>
          <w14:ligatures w14:val="none"/>
        </w:rPr>
        <w:t>Much</w:t>
      </w:r>
      <w:r w:rsidRPr="00DE0CFA">
        <w:rPr>
          <w:rFonts w:ascii="Times New Roman" w:eastAsia="宋体" w:hAnsi="Times New Roman" w:cs="Times New Roman"/>
          <w:kern w:val="0"/>
          <w:sz w:val="24"/>
          <w14:ligatures w14:val="none"/>
        </w:rPr>
        <w:t xml:space="preserve"> of the </w:t>
      </w:r>
      <w:r w:rsidRPr="00501B3D">
        <w:rPr>
          <w:rFonts w:ascii="Times New Roman" w:eastAsia="宋体" w:hAnsi="Times New Roman" w:cs="Times New Roman"/>
          <w:kern w:val="0"/>
          <w:sz w:val="24"/>
          <w14:ligatures w14:val="none"/>
        </w:rPr>
        <w:t xml:space="preserve">research primarily focused on the direct impact of policies on </w:t>
      </w:r>
      <w:r w:rsidRPr="00DE0CFA">
        <w:rPr>
          <w:rFonts w:ascii="Times New Roman" w:eastAsia="宋体" w:hAnsi="Times New Roman" w:cs="Times New Roman"/>
          <w:kern w:val="0"/>
          <w:sz w:val="24"/>
          <w14:ligatures w14:val="none"/>
        </w:rPr>
        <w:t xml:space="preserve">mobility </w:t>
      </w:r>
      <w:r w:rsidRPr="00DE0CFA">
        <w:rPr>
          <w:rFonts w:ascii="Times New Roman" w:eastAsia="宋体" w:hAnsi="Times New Roman" w:cs="Times New Roman"/>
          <w:kern w:val="0"/>
          <w:sz w:val="24"/>
          <w14:ligatures w14:val="none"/>
        </w:rPr>
        <w:fldChar w:fldCharType="begin"/>
      </w:r>
      <w:r w:rsidR="00BE2840">
        <w:rPr>
          <w:rFonts w:ascii="Times New Roman" w:eastAsia="宋体" w:hAnsi="Times New Roman" w:cs="Times New Roman"/>
          <w:kern w:val="0"/>
          <w:sz w:val="24"/>
          <w14:ligatures w14:val="none"/>
        </w:rPr>
        <w:instrText xml:space="preserve"> ADDIN ZOTERO_ITEM CSL_CITATION {"citationID":"mQaxl1vF","properties":{"formattedCitation":"[7], [8]","plainCitation":"[7], [8]","noteIndex":0},"citationItems":[{"id":53,"uris":["http://zotero.org/users/15424527/items/6ZZ7ZWQR"],"itemData":{"id":53,"type":"article-journal","abstract":"We construct a new measure of the aggressiveness of COVID-19 policies in 75 Canadian and American cities and estimate the effect of these policies on mobility patterns in each city. Using a new dataset of five municipal COVID-19 policy indicators for each of our 75 cities, combined with 11 provincial/state policy indicators, we estimate a daily measure of the “aggressiveness” of the provincial/state and municipal COVID-19 policy mix in each city. We then estimate the effects of these policies on subsequent mobility behaviour using dynamic time series models. We find strong evidence of policy effects on subsequent mobility behaviour, but few overall differences between Canadian and American cities. We discuss the significance of our findings both for COVID-19 policy research and for other comparative urban policy research in multilevel policy environments.","container-title":"Canadian Public Policy","DOI":"10.3138/cpp.2020-062","ISSN":"0317-0861","issue":"S2","note":"publisher: University of Toronto Press","page":"S127-S144","source":"utpjournals.press (Atypon)","title":"Do COVID-19 Policies Affect Mobility Behaviour? Evidence from 75 Canadian and American Cities","title-short":"Do COVID-19 Policies Affect Mobility Behaviour?","volume":"46","author":[{"family":"Armstrong","given":"David A."},{"family":"Lebo","given":"Matthew J."},{"family":"Lucas","given":"Jack"}],"issued":{"date-parts":[["2020",8]]}}},{"id":51,"uris":["http://zotero.org/users/15424527/items/YKP6DMGJ"],"itemData":{"id":51,"type":"article-journal","abstract":"Background In response to the COVID-19 pandemic, most countries have introduced non-pharmaceutical interventions, such as stay-at-home orders, to reduce person-to-person contact and break trains of transmission. The aim of this systematic review was to assess the effect of different public health restrictions on mobility across different countries and cultures. The University of Bern COVID-19 Living Evidence database of COVID-19 and SARS-COV-2 publications was searched for retrospective or prospective studies evaluating the impact of COVID-19 public health restrictions on Google Mobility. Titles and abstracts were independently screened by two authors. Information from included studies was extracted by one researcher and double checked by another. Risk of bias of included articles was assessed using the Newcastle Ottowa Scale. Given the heterogeneous nature of the designs used, a narrative synthesis was undertaken. From the search, 1672 references were identified, of which 14 were included in the narrative synthesis. All studies reported data from the first wave of the pandemic, with Google Mobility Scores included from January to August 2020, with most studies analysing data during the first two months of the pandemic. Seven studies were assessed as having a moderate risk of bias and seven as a low risk of bias. Countries that introduced more stringent public health restrictions experienced greater reductions in mobility, through increased time at home and reductions in visits to shops, workplaces and use of public transport. Stay-at-home orders were the most effective of the individual strategies, whereas mask mandates had little effect of mobility. Conclusions Public health restrictions, particularly stay-at-home orders have significantly impacted on transmission prevention behaviours. Further research is required to understand how to effectively address pandemic fatigue and to support the safe return back to normal day-to-day behaviours.","container-title":"PLOS ONE","DOI":"10.1371/journal.pone.0260919","ISSN":"1932-6203","issue":"12","journalAbbreviation":"PLOS ONE","language":"en","note":"publisher: Public Library of Science","page":"e0260919","source":"PLoS Journals","title":"The effect of different COVID-19 public health restrictions on mobility: A systematic review","title-short":"The effect of different COVID-19 public health restrictions on mobility","volume":"16","author":[{"family":"Tully","given":"Mark A."},{"family":"McMaw","given":"Laura"},{"family":"Adlakha","given":"Deepti"},{"family":"Blair","given":"Neale"},{"family":"McAneney","given":"Jonny"},{"family":"McAneney","given":"Helen"},{"family":"Carmichael","given":"Christina"},{"family":"Cunningham","given":"Conor"},{"family":"Armstrong","given":"Nicola C."},{"family":"Smith","given":"Lee"}],"issued":{"date-parts":[["2021",12,8]]}}}],"schema":"https://github.com/citation-style-language/schema/raw/master/csl-citation.json"} </w:instrText>
      </w:r>
      <w:r w:rsidRPr="00DE0CFA">
        <w:rPr>
          <w:rFonts w:ascii="Times New Roman" w:eastAsia="宋体" w:hAnsi="Times New Roman" w:cs="Times New Roman"/>
          <w:kern w:val="0"/>
          <w:sz w:val="24"/>
          <w14:ligatures w14:val="none"/>
        </w:rPr>
        <w:fldChar w:fldCharType="separate"/>
      </w:r>
      <w:r w:rsidR="00BE2840">
        <w:rPr>
          <w:rFonts w:ascii="Times New Roman" w:eastAsia="宋体" w:hAnsi="Times New Roman" w:cs="Times New Roman"/>
          <w:kern w:val="0"/>
          <w:sz w:val="24"/>
          <w14:ligatures w14:val="none"/>
        </w:rPr>
        <w:t>[7], [8]</w:t>
      </w:r>
      <w:r w:rsidRPr="00DE0CFA">
        <w:rPr>
          <w:rFonts w:ascii="Times New Roman" w:eastAsia="宋体" w:hAnsi="Times New Roman" w:cs="Times New Roman"/>
          <w:kern w:val="0"/>
          <w:sz w:val="24"/>
          <w14:ligatures w14:val="none"/>
        </w:rPr>
        <w:fldChar w:fldCharType="end"/>
      </w:r>
      <w:r w:rsidRPr="00501B3D">
        <w:rPr>
          <w:rFonts w:ascii="Times New Roman" w:eastAsia="宋体" w:hAnsi="Times New Roman" w:cs="Times New Roman"/>
          <w:kern w:val="0"/>
          <w:sz w:val="24"/>
          <w14:ligatures w14:val="none"/>
        </w:rPr>
        <w:t xml:space="preserve"> or mobility</w:t>
      </w:r>
      <w:r w:rsidRPr="00DE0CFA">
        <w:rPr>
          <w:rFonts w:ascii="Times New Roman" w:eastAsia="宋体" w:hAnsi="Times New Roman" w:cs="Times New Roman" w:hint="eastAsia"/>
          <w:kern w:val="0"/>
          <w:sz w:val="24"/>
          <w14:ligatures w14:val="none"/>
        </w:rPr>
        <w:t xml:space="preserve"> </w:t>
      </w:r>
      <w:r w:rsidRPr="00DE0CFA">
        <w:rPr>
          <w:rFonts w:ascii="Times New Roman" w:eastAsia="宋体" w:hAnsi="Times New Roman" w:cs="Times New Roman"/>
          <w:kern w:val="0"/>
          <w:sz w:val="24"/>
          <w14:ligatures w14:val="none"/>
        </w:rPr>
        <w:t xml:space="preserve">on incidences </w:t>
      </w:r>
      <w:r w:rsidRPr="00DE0CFA">
        <w:rPr>
          <w:rFonts w:ascii="Times New Roman" w:eastAsia="宋体" w:hAnsi="Times New Roman" w:cs="Times New Roman"/>
          <w:kern w:val="0"/>
          <w:sz w:val="24"/>
          <w14:ligatures w14:val="none"/>
        </w:rPr>
        <w:fldChar w:fldCharType="begin"/>
      </w:r>
      <w:r w:rsidR="00BE2840">
        <w:rPr>
          <w:rFonts w:ascii="Times New Roman" w:eastAsia="宋体" w:hAnsi="Times New Roman" w:cs="Times New Roman"/>
          <w:kern w:val="0"/>
          <w:sz w:val="24"/>
          <w14:ligatures w14:val="none"/>
        </w:rPr>
        <w:instrText xml:space="preserve"> ADDIN ZOTERO_ITEM CSL_CITATION {"citationID":"llvLJBhT","properties":{"formattedCitation":"[9], [10], [11]","plainCitation":"[9], [10], [11]","noteIndex":0},"citationItems":[{"id":43,"uris":["http://zotero.org/users/15424527/items/L3DPLCIG"],"itemData":{"id":43,"type":"article-journal","abstract":"In light of the outbreak of COVID-19, analyzing and measuring human mobility has become increasingly important. A wide range of studies have explored spatiotemporal trends over time, examined associations with other variables, evaluated non-pharmacologic interventions (NPIs), and predicted or simulated COVID-19 spread using mobility data. Despite the benefits of publicly available mobility data, a key question remains unanswered: are models using mobility data performing equitably across demographic groups? We hypothesize that bias in the mobility data used to train the predictive models might lead to unfairly less accurate predictions for certain demographic groups. To test our hypothesis, we applied two mobility-based COVID infection prediction models at the county level in the United States using SafeGraph data, and correlated model performance with sociodemographic traits. Findings revealed that there is a systematic bias in models’ performance toward certain demographic characteristics. Specifically, the models tend to favor large, highly educated, wealthy, young, and urban counties. We hypothesize that the mobility data currently used by many predictive models tends to capture less information about older, poorer, less educated and people from rural regions, which in turn negatively impacts the accuracy of the COVID-19 prediction in these areas. Ultimately, this study points to the need of improved data collection and sampling approaches that allow for an accurate representation of the mobility patterns across demographic groups.","container-title":"PLOS ONE","DOI":"10.1371/journal.pone.0292090","ISSN":"1932-6203","issue":"10","journalAbbreviation":"PLOS ONE","language":"en","note":"publisher: Public Library of Science","page":"e0292090","source":"PLoS Journals","title":"A fairness assessment of mobility-based COVID-19 case prediction models","volume":"18","author":[{"family":"Erfani","given":"Abdolmajid"},{"family":"Frias-Martinez","given":"Vanessa"}],"issued":{"date-parts":[["2023",10,18]]}}},{"id":49,"uris":["http://zotero.org/users/15424527/items/34H6C94X"],"itemData":{"id":49,"type":"article-journal","abstract":"Policymakers everywhere are working to determine the set of restrictions that will effectively contain the spread of COVID-19 without excessively stifling economic activity. We show that publicly available data on human mobility—collected by Google, Facebook, and other providers—can be used to evaluate the effectiveness of non-pharmaceutical interventions (NPIs) and forecast the spread of COVID-19. This approach uses simple and transparent statistical models to estimate the effect of NPIs on mobility, and basic machine learning methods to generate 10-day forecasts of COVID-19 cases. An advantage of the approach is that it involves minimal assumptions about disease dynamics, and requires only publicly-available data. We evaluate this approach using local and regional data from China, France, Italy, South Korea, and the United States, as well as national data from 80 countries around the world. We find that NPIs are associated with significant reductions in human mobility, and that changes in mobility can be used to forecast COVID-19 infections.","container-title":"Scientific Reports","DOI":"10.1038/s41598-021-92892-8","ISSN":"2045-2322","issue":"1","journalAbbreviation":"Sci Rep","language":"en","license":"2021 The Author(s)","note":"publisher: Nature Publishing Group","page":"13531","source":"www.nature.com","title":"Public mobility data enables COVID-19 forecasting and management at local and global scales","volume":"11","author":[{"family":"Ilin","given":"Cornelia"},{"family":"Annan-Phan","given":"Sébastien"},{"family":"Tai","given":"Xiao Hui"},{"family":"Mehra","given":"Shikhar"},{"family":"Hsiang","given":"Solomon"},{"family":"Blumenstock","given":"Joshua E."}],"issued":{"date-parts":[["2021",6,29]]}}},{"id":47,"uris":["http://zotero.org/users/15424527/items/RR3KPACA"],"itemData":{"id":47,"type":"article-journal","abstract":"The outbreak of the severe acute respiratory syndrome coronavirus 2 started in Wuhan, China, towards the end of 2019 and spread worldwide. The rapid spread of the disease can be attributed to many factors including its high infectiousness and the high rate of human mobility around the world. Although travel/movement restrictions and other non-pharmaceutical interventions aimed at controlling the disease spread were put in place during the early stages of the pandemic, these interventions did not stop COVID-19 spread. To better understand the impact of human mobility on the spread of COVID-19 between regions, we propose a hybrid gravity-metapopulation model of COVID-19. Our modeling framework has the flexibility of determining mobility between regions based on the distances between the regions or using data from mobile devices. In addition, our model explicitly incorporates time-dependent human mobility into the disease transmission rate, and has the potential to incorporate other factors that affect disease transmission such as facemasks, physical distancing, contact rates, etc. An important feature of this modeling framework is its ability to independently assess the contribution of each factor to disease transmission. Using a Bayesian hierarchical modeling framework, we calibrate our model to the weekly reported cases of COVID-19 in thirteen local health areas in Metro Vancouver, British Columbia (BC), Canada, from July 2020 to January 2021. We consider two main scenarios in our model calibration: using a fixed distance matrix and time-dependent weekly mobility matrices. We found that the distance matrix provides a better fit to the data, whilst the mobility matrices have the ability to explain the variance in transmission between regions. This result shows that the mobility data provides more information in terms of disease transmission than the distances between the regions.","container-title":"PLOS Computational Biology","DOI":"10.1371/journal.pcbi.1011123","ISSN":"1553-7358","issue":"5","journalAbbreviation":"PLOS Computational Biology","language":"en","note":"publisher: Public Library of Science","page":"e1011123","source":"PLoS Journals","title":"Understanding the impact of mobility on COVID-19 spread: A hybrid gravity-metapopulation model of COVID-19","title-short":"Understanding the impact of mobility on COVID-19 spread","volume":"19","author":[{"family":"Iyaniwura","given":"Sarafa A."},{"family":"Ringa","given":"Notice"},{"family":"Adu","given":"Prince A."},{"family":"Mak","given":"Sunny"},{"family":"Janjua","given":"Naveed Z."},{"family":"Irvine","given":"Michael A."},{"family":"Otterstatter","given":"Michael"}],"issued":{"date-parts":[["2023",5,12]]}}}],"schema":"https://github.com/citation-style-language/schema/raw/master/csl-citation.json"} </w:instrText>
      </w:r>
      <w:r w:rsidRPr="00DE0CFA">
        <w:rPr>
          <w:rFonts w:ascii="Times New Roman" w:eastAsia="宋体" w:hAnsi="Times New Roman" w:cs="Times New Roman"/>
          <w:kern w:val="0"/>
          <w:sz w:val="24"/>
          <w14:ligatures w14:val="none"/>
        </w:rPr>
        <w:fldChar w:fldCharType="separate"/>
      </w:r>
      <w:r w:rsidR="00BE2840">
        <w:rPr>
          <w:rFonts w:ascii="Times New Roman" w:eastAsia="宋体" w:hAnsi="Times New Roman" w:cs="Times New Roman"/>
          <w:kern w:val="0"/>
          <w:sz w:val="24"/>
          <w14:ligatures w14:val="none"/>
        </w:rPr>
        <w:t>[9], [10], [11]</w:t>
      </w:r>
      <w:r w:rsidRPr="00DE0CFA">
        <w:rPr>
          <w:rFonts w:ascii="Times New Roman" w:eastAsia="宋体" w:hAnsi="Times New Roman" w:cs="Times New Roman"/>
          <w:kern w:val="0"/>
          <w:sz w:val="24"/>
          <w14:ligatures w14:val="none"/>
        </w:rPr>
        <w:fldChar w:fldCharType="end"/>
      </w:r>
      <w:r w:rsidR="006D1D19" w:rsidRPr="00DE0CFA">
        <w:rPr>
          <w:rFonts w:ascii="Times New Roman" w:eastAsia="宋体" w:hAnsi="Times New Roman" w:cs="Times New Roman"/>
          <w:kern w:val="0"/>
          <w:sz w:val="24"/>
          <w14:ligatures w14:val="none"/>
        </w:rPr>
        <w:t>,</w:t>
      </w:r>
      <w:r w:rsidR="006D1D19" w:rsidRPr="00DE0CFA">
        <w:rPr>
          <w:rFonts w:ascii="Times New Roman" w:eastAsia="宋体" w:hAnsi="Times New Roman" w:cs="Times New Roman"/>
          <w:kern w:val="0"/>
          <w:sz w:val="24"/>
          <w14:ligatures w14:val="none"/>
        </w:rPr>
        <w:fldChar w:fldCharType="begin"/>
      </w:r>
      <w:r w:rsidR="00BE2840">
        <w:rPr>
          <w:rFonts w:ascii="Times New Roman" w:eastAsia="宋体" w:hAnsi="Times New Roman" w:cs="Times New Roman"/>
          <w:kern w:val="0"/>
          <w:sz w:val="24"/>
          <w14:ligatures w14:val="none"/>
        </w:rPr>
        <w:instrText xml:space="preserve"> ADDIN ZOTERO_ITEM CSL_CITATION {"citationID":"CqaIEUE1","properties":{"formattedCitation":"[12]","plainCitation":"[12]","noteIndex":0},"citationItems":[{"id":55,"uris":["http://zotero.org/users/15424527/items/E4TEJMVH"],"itemData":{"id":55,"type":"article-journal","abstract":"Following a pandemic disease outbreak, people travel to areas with low infection risk, but at the same time the epidemiological situation worsens as mobility flows to those areas increase. These feedback effects from epidemiological conditions to inflows and from inflows to subsequent infections are underexplored to date. This study investigates the two-way relationship between mobility flows and COVID-19 cases in a context of unrestricted mobility without COVID-19 vaccines. To this end, we merge data on COVID-19 cases in Spain during the summer of 2020 at the province level with mobility records based on mobile position tracking. Using a control function approach, we find that a 1% increase in arrivals translates into a 3.5% increase in cases in the following week and 5.6% ten days later. A simulation exercise shows the cases would have dropped by around 64% if the Second State of Alarm had been implemented earlier.","container-title":"Economic Modelling","DOI":"10.1016/j.econmod.2022.106083","ISSN":"0264-9993","journalAbbreviation":"Economic Modelling","page":"106083","source":"ScienceDirect","title":"Investigating the two-way relationship between mobility flows and COVID-19 cases","volume":"118","author":[{"family":"Boto-García","given":"David"}],"issued":{"date-parts":[["2023",1,1]]}}}],"schema":"https://github.com/citation-style-language/schema/raw/master/csl-citation.json"} </w:instrText>
      </w:r>
      <w:r w:rsidR="006D1D19" w:rsidRPr="00DE0CFA">
        <w:rPr>
          <w:rFonts w:ascii="Times New Roman" w:eastAsia="宋体" w:hAnsi="Times New Roman" w:cs="Times New Roman"/>
          <w:kern w:val="0"/>
          <w:sz w:val="24"/>
          <w14:ligatures w14:val="none"/>
        </w:rPr>
        <w:fldChar w:fldCharType="separate"/>
      </w:r>
      <w:r w:rsidR="00BE2840">
        <w:rPr>
          <w:rFonts w:ascii="Times New Roman" w:eastAsia="宋体" w:hAnsi="Times New Roman" w:cs="Times New Roman"/>
          <w:kern w:val="0"/>
          <w:sz w:val="24"/>
          <w14:ligatures w14:val="none"/>
        </w:rPr>
        <w:t>[12]</w:t>
      </w:r>
      <w:r w:rsidR="006D1D19" w:rsidRPr="00DE0CFA">
        <w:rPr>
          <w:rFonts w:ascii="Times New Roman" w:eastAsia="宋体" w:hAnsi="Times New Roman" w:cs="Times New Roman"/>
          <w:kern w:val="0"/>
          <w:sz w:val="24"/>
          <w14:ligatures w14:val="none"/>
        </w:rPr>
        <w:fldChar w:fldCharType="end"/>
      </w:r>
      <w:r w:rsidRPr="00DE0CFA">
        <w:rPr>
          <w:rFonts w:ascii="Times New Roman" w:eastAsia="宋体" w:hAnsi="Times New Roman" w:cs="Times New Roman"/>
          <w:kern w:val="0"/>
          <w:sz w:val="24"/>
          <w14:ligatures w14:val="none"/>
        </w:rPr>
        <w:t>. While these studies provide valuable insights into these pairwise interactions, they often analyze these variables in isolation, without examining the comprehensive interplay between policy, mobility, and infection rates as a dynamic and interconnected system.</w:t>
      </w:r>
      <w:r w:rsidR="006D1D19" w:rsidRPr="00DE0CFA">
        <w:rPr>
          <w:rFonts w:ascii="Times New Roman" w:eastAsia="宋体" w:hAnsi="Times New Roman" w:cs="Times New Roman" w:hint="eastAsia"/>
          <w:kern w:val="0"/>
          <w:sz w:val="24"/>
          <w14:ligatures w14:val="none"/>
        </w:rPr>
        <w:t xml:space="preserve"> </w:t>
      </w:r>
    </w:p>
    <w:p w14:paraId="7908E19A" w14:textId="77777777" w:rsidR="00DE0CFA" w:rsidRDefault="00DE0CFA" w:rsidP="00DE0CFA">
      <w:pPr>
        <w:rPr>
          <w:rFonts w:ascii="Times New Roman" w:eastAsia="宋体" w:hAnsi="Times New Roman" w:cs="Times New Roman"/>
          <w:kern w:val="0"/>
          <w:sz w:val="24"/>
          <w14:ligatures w14:val="none"/>
        </w:rPr>
      </w:pPr>
    </w:p>
    <w:p w14:paraId="2419BC5D" w14:textId="39352C99" w:rsidR="00584052" w:rsidRDefault="00E859E3" w:rsidP="00E859E3">
      <w:pPr>
        <w:rPr>
          <w:rFonts w:ascii="Times New Roman" w:eastAsia="宋体" w:hAnsi="Times New Roman" w:cs="Times New Roman"/>
          <w:kern w:val="0"/>
          <w:sz w:val="24"/>
          <w14:ligatures w14:val="none"/>
        </w:rPr>
      </w:pPr>
      <w:r w:rsidRPr="00E859E3">
        <w:rPr>
          <w:rFonts w:ascii="Times New Roman" w:eastAsia="宋体" w:hAnsi="Times New Roman" w:cs="Times New Roman"/>
          <w:kern w:val="0"/>
          <w:sz w:val="24"/>
          <w14:ligatures w14:val="none"/>
        </w:rPr>
        <w:t xml:space="preserve">While numerous studies have made substantial contributions to our understanding of the dynamic interactions between policy, mobility, and COVID-19 incidences using VAR models, certain questions remain open. For instance, </w:t>
      </w:r>
      <w:proofErr w:type="spellStart"/>
      <w:r w:rsidRPr="00E859E3">
        <w:rPr>
          <w:rFonts w:ascii="Times New Roman" w:eastAsia="宋体" w:hAnsi="Times New Roman" w:cs="Times New Roman"/>
          <w:kern w:val="0"/>
          <w:sz w:val="24"/>
          <w14:ligatures w14:val="none"/>
        </w:rPr>
        <w:t>d’Albis</w:t>
      </w:r>
      <w:proofErr w:type="spellEnd"/>
      <w:r w:rsidRPr="00E859E3">
        <w:rPr>
          <w:rFonts w:ascii="Times New Roman" w:eastAsia="宋体" w:hAnsi="Times New Roman" w:cs="Times New Roman"/>
          <w:kern w:val="0"/>
          <w:sz w:val="24"/>
          <w14:ligatures w14:val="none"/>
        </w:rPr>
        <w:t xml:space="preserve"> et al. provided valuable insights into the bidirectional relationship between COVID-19 incidences and mobility in France</w:t>
      </w:r>
      <w:r>
        <w:rPr>
          <w:rFonts w:ascii="Times New Roman" w:eastAsia="宋体" w:hAnsi="Times New Roman" w:cs="Times New Roman"/>
          <w:kern w:val="0"/>
          <w:sz w:val="24"/>
          <w14:ligatures w14:val="none"/>
        </w:rPr>
        <w:fldChar w:fldCharType="begin"/>
      </w:r>
      <w:r>
        <w:rPr>
          <w:rFonts w:ascii="Times New Roman" w:eastAsia="宋体" w:hAnsi="Times New Roman" w:cs="Times New Roman"/>
          <w:kern w:val="0"/>
          <w:sz w:val="24"/>
          <w14:ligatures w14:val="none"/>
        </w:rPr>
        <w:instrText xml:space="preserve"> ADDIN ZOTERO_ITEM CSL_CITATION {"citationID":"rmfl2SzD","properties":{"formattedCitation":"[13]","plainCitation":"[13]","noteIndex":0},"citationItems":[{"id":58,"uris":["http://zotero.org/users/15424527/items/YW6VFQIR"],"itemData":{"id":58,"type":"article-journal","abstract":"This paper disentangles the relationship between COVID-19 propagation and mobility. In a theoretical model allowing mobility to be endogenously determined by the COVID-19 prevalence rate, we show that an exogenous epidemic shock has an immediate effect on mobility whereas an exogenous mobility shock influences epidemic variables with a delay. In the long run, exogenous disease contagiousness and mobility jointly shape epidemiological outcomes. The short-run theoretical result allows us to recover, empirically, the causal impacts of mobility and COVID-19 hospitalisations on each other in France. We find that hospitalisations are highly sensitive to mobility whereas mobility is little influenced by hospitalisations. In France, it seems therefore that voluntary social distancing would not have been effective to control the epidemic, in the absence of social distancing mandates.","container-title":"Economic Theory","DOI":"10.1007/s00199-023-01510-3","ISSN":"1432-0479","issue":"1","journalAbbreviation":"Econ Theory","language":"en","page":"261-282","source":"Springer Link","title":"Covid-19 and mobility: determinant or consequence?","title-short":"Covid-19 and mobility","volume":"77","author":[{"family":"Albis","given":"Hippolyte","non-dropping-particle":"d’"},{"family":"Augeraud-Véron","given":"Emmanuelle"},{"family":"Coulibaly","given":"Dramane"},{"family":"Desbordes","given":"Rodolphe"}],"issued":{"date-parts":[["2024",2,1]]}}}],"schema":"https://github.com/citation-style-language/schema/raw/master/csl-citation.json"} </w:instrText>
      </w:r>
      <w:r>
        <w:rPr>
          <w:rFonts w:ascii="Times New Roman" w:eastAsia="宋体" w:hAnsi="Times New Roman" w:cs="Times New Roman"/>
          <w:kern w:val="0"/>
          <w:sz w:val="24"/>
          <w14:ligatures w14:val="none"/>
        </w:rPr>
        <w:fldChar w:fldCharType="separate"/>
      </w:r>
      <w:r>
        <w:rPr>
          <w:rFonts w:ascii="Times New Roman" w:eastAsia="宋体" w:hAnsi="Times New Roman" w:cs="Times New Roman"/>
          <w:noProof/>
          <w:kern w:val="0"/>
          <w:sz w:val="24"/>
          <w14:ligatures w14:val="none"/>
        </w:rPr>
        <w:t>[13]</w:t>
      </w:r>
      <w:r>
        <w:rPr>
          <w:rFonts w:ascii="Times New Roman" w:eastAsia="宋体" w:hAnsi="Times New Roman" w:cs="Times New Roman"/>
          <w:kern w:val="0"/>
          <w:sz w:val="24"/>
          <w14:ligatures w14:val="none"/>
        </w:rPr>
        <w:fldChar w:fldCharType="end"/>
      </w:r>
      <w:r w:rsidRPr="00E859E3">
        <w:rPr>
          <w:rFonts w:ascii="Times New Roman" w:eastAsia="宋体" w:hAnsi="Times New Roman" w:cs="Times New Roman"/>
          <w:kern w:val="0"/>
          <w:sz w:val="24"/>
          <w14:ligatures w14:val="none"/>
        </w:rPr>
        <w:t xml:space="preserve">, yet their analysis did not incorporate policy measures as an independent variable, leaving a gap in understanding how formal interventions might alter this relationship. </w:t>
      </w:r>
      <w:proofErr w:type="spellStart"/>
      <w:r w:rsidRPr="00E859E3">
        <w:rPr>
          <w:rFonts w:ascii="Times New Roman" w:eastAsia="宋体" w:hAnsi="Times New Roman" w:cs="Times New Roman"/>
          <w:kern w:val="0"/>
          <w:sz w:val="24"/>
          <w14:ligatures w14:val="none"/>
        </w:rPr>
        <w:t>Gianino</w:t>
      </w:r>
      <w:proofErr w:type="spellEnd"/>
      <w:r w:rsidRPr="00E859E3">
        <w:rPr>
          <w:rFonts w:ascii="Times New Roman" w:eastAsia="宋体" w:hAnsi="Times New Roman" w:cs="Times New Roman"/>
          <w:kern w:val="0"/>
          <w:sz w:val="24"/>
          <w14:ligatures w14:val="none"/>
        </w:rPr>
        <w:t xml:space="preserve"> et al. used a VAR model and Granger causality tests to evaluate public health measures across four European countries, highlighting the context-dependent effects of policies like workplace closures on COVID-19 incidences</w:t>
      </w:r>
      <w:r>
        <w:rPr>
          <w:rFonts w:ascii="Times New Roman" w:eastAsia="宋体" w:hAnsi="Times New Roman" w:cs="Times New Roman"/>
          <w:kern w:val="0"/>
          <w:sz w:val="24"/>
          <w14:ligatures w14:val="none"/>
        </w:rPr>
        <w:t xml:space="preserve"> </w:t>
      </w:r>
      <w:r>
        <w:rPr>
          <w:rFonts w:ascii="Times New Roman" w:eastAsia="宋体" w:hAnsi="Times New Roman" w:cs="Times New Roman"/>
          <w:kern w:val="0"/>
          <w:sz w:val="24"/>
          <w14:ligatures w14:val="none"/>
        </w:rPr>
        <w:fldChar w:fldCharType="begin"/>
      </w:r>
      <w:r>
        <w:rPr>
          <w:rFonts w:ascii="Times New Roman" w:eastAsia="宋体" w:hAnsi="Times New Roman" w:cs="Times New Roman"/>
          <w:kern w:val="0"/>
          <w:sz w:val="24"/>
          <w14:ligatures w14:val="none"/>
        </w:rPr>
        <w:instrText xml:space="preserve"> ADDIN ZOTERO_ITEM CSL_CITATION {"citationID":"ZNuY1I7m","properties":{"formattedCitation":"[14]","plainCitation":"[14]","noteIndex":0},"citationItems":[{"id":60,"uris":["http://zotero.org/users/15424527/items/NID4JF76"],"itemData":{"id":60,"type":"article-journal","abstract":"&lt;p&gt;On March 11, 2020, the World Health Organization (WHO) has officially declared the novel coronavirus outbreak a pandemic. The national governments deployed a series of severe control measures and a set of public health policies in order to stop the spread of COVID-19 pandemic. The aim of this study is to investigate the correlation between specific interventions and incident cases during the second wave in multiple and specific countries. The observational study was based on data from the Oxford COVID-19 Government Response Tracker (OxCGRT) source retrieved from October 1st, 2020 to January 10, 2021. Thirteen specific indicators related to measures adopted were considered. Four European countries were taken into account: Italy, German, Spain and UK. A vector autoregression (VAR) model and the Granger Causality test were performed to allow for an assessment of any possible effect induced by each control measure against the overall pandemic growth. Wald test was conducted to compute &lt;italic&gt;p&lt;/italic&gt;-values. No correlation between the applied measures and incident cases in the four countries was shown by the Granger causality test. Only closings of workplaces (C2) and limits on private gatherings showed (C4) a significant correlation with incident cases in UK and restrictions on internal movement between cities/regions in Germany. The Granger causality also tested that C2 and C4 forecasted the decrease of incident cases after a time lag of 6–30 days in UK and Germany, respectively. Policy makers must analyze the context in which policies are set because of effectiveness of interventions can be influenced by local context and, especially, by socio-economic and demographic characteristics, and make a proper communication to support the resilience of the population capable of guaranteeing adherence to the interventions implemented.&lt;/p&gt;","container-title":"Frontiers in Public Health","DOI":"10.3389/fpubh.2021.700811","ISSN":"2296-2565","journalAbbreviation":"Front. Public Health","language":"English","note":"publisher: Frontiers","source":"Frontiers","title":"Evaluation of the Strategies to Control COVID-19 Pandemic in Four European Countries","URL":"https://www.frontiersin.org/journals/public-health/articles/10.3389/fpubh.2021.700811/full","volume":"9","author":[{"family":"Gianino","given":"Maria Michela"},{"family":"Nurchis","given":"Mario Cesare"},{"family":"Politano","given":"Gianfranco"},{"family":"Rousset","given":"Stefano"},{"family":"Damiani","given":"Gianfranco"}],"accessed":{"date-parts":[["2024",10,22]]},"issued":{"date-parts":[["2021",10,5]]}}}],"schema":"https://github.com/citation-style-language/schema/raw/master/csl-citation.json"} </w:instrText>
      </w:r>
      <w:r>
        <w:rPr>
          <w:rFonts w:ascii="Times New Roman" w:eastAsia="宋体" w:hAnsi="Times New Roman" w:cs="Times New Roman"/>
          <w:kern w:val="0"/>
          <w:sz w:val="24"/>
          <w14:ligatures w14:val="none"/>
        </w:rPr>
        <w:fldChar w:fldCharType="separate"/>
      </w:r>
      <w:r>
        <w:rPr>
          <w:rFonts w:ascii="Times New Roman" w:eastAsia="宋体" w:hAnsi="Times New Roman" w:cs="Times New Roman"/>
          <w:noProof/>
          <w:kern w:val="0"/>
          <w:sz w:val="24"/>
          <w14:ligatures w14:val="none"/>
        </w:rPr>
        <w:t>[14]</w:t>
      </w:r>
      <w:r>
        <w:rPr>
          <w:rFonts w:ascii="Times New Roman" w:eastAsia="宋体" w:hAnsi="Times New Roman" w:cs="Times New Roman"/>
          <w:kern w:val="0"/>
          <w:sz w:val="24"/>
          <w14:ligatures w14:val="none"/>
        </w:rPr>
        <w:fldChar w:fldCharType="end"/>
      </w:r>
      <w:r w:rsidRPr="00E859E3">
        <w:rPr>
          <w:rFonts w:ascii="Times New Roman" w:eastAsia="宋体" w:hAnsi="Times New Roman" w:cs="Times New Roman"/>
          <w:kern w:val="0"/>
          <w:sz w:val="24"/>
          <w14:ligatures w14:val="none"/>
        </w:rPr>
        <w:t>. This nuanced approach underscores the need for localized analysis but suggests further exploration of broader policy impacts might be warranted.</w:t>
      </w:r>
      <w:r>
        <w:rPr>
          <w:rFonts w:ascii="Times New Roman" w:eastAsia="宋体" w:hAnsi="Times New Roman" w:cs="Times New Roman" w:hint="eastAsia"/>
          <w:kern w:val="0"/>
          <w:sz w:val="24"/>
          <w14:ligatures w14:val="none"/>
        </w:rPr>
        <w:t xml:space="preserve"> </w:t>
      </w:r>
      <w:r w:rsidRPr="00E859E3">
        <w:rPr>
          <w:rFonts w:ascii="Times New Roman" w:eastAsia="宋体" w:hAnsi="Times New Roman" w:cs="Times New Roman"/>
          <w:kern w:val="0"/>
          <w:sz w:val="24"/>
          <w14:ligatures w14:val="none"/>
        </w:rPr>
        <w:t xml:space="preserve">Similarly, </w:t>
      </w:r>
      <w:proofErr w:type="spellStart"/>
      <w:r w:rsidRPr="00E859E3">
        <w:rPr>
          <w:rFonts w:ascii="Times New Roman" w:eastAsia="宋体" w:hAnsi="Times New Roman" w:cs="Times New Roman"/>
          <w:kern w:val="0"/>
          <w:sz w:val="24"/>
          <w14:ligatures w14:val="none"/>
        </w:rPr>
        <w:t>Cameh</w:t>
      </w:r>
      <w:r>
        <w:rPr>
          <w:rFonts w:ascii="Times New Roman" w:eastAsia="宋体" w:hAnsi="Times New Roman" w:cs="Times New Roman" w:hint="eastAsia"/>
          <w:kern w:val="0"/>
          <w:sz w:val="24"/>
          <w14:ligatures w14:val="none"/>
        </w:rPr>
        <w:t>l</w:t>
      </w:r>
      <w:proofErr w:type="spellEnd"/>
      <w:r w:rsidRPr="00E859E3">
        <w:rPr>
          <w:rFonts w:ascii="Times New Roman" w:eastAsia="宋体" w:hAnsi="Times New Roman" w:cs="Times New Roman"/>
          <w:kern w:val="0"/>
          <w:sz w:val="24"/>
          <w14:ligatures w14:val="none"/>
        </w:rPr>
        <w:t xml:space="preserve"> </w:t>
      </w:r>
      <w:r w:rsidRPr="00E859E3">
        <w:rPr>
          <w:rFonts w:ascii="Times New Roman" w:eastAsia="宋体" w:hAnsi="Times New Roman" w:cs="Times New Roman"/>
          <w:kern w:val="0"/>
          <w:sz w:val="24"/>
          <w14:ligatures w14:val="none"/>
        </w:rPr>
        <w:lastRenderedPageBreak/>
        <w:t>and Rieth effectively employed a Panel Vector Autoregression (PVAR) model to assess the macro-level impact of COVID-19, economic mobility, and containment policies across 44 countries, offering valuable cross-country perspectives on restrictive measures</w:t>
      </w:r>
      <w:r>
        <w:rPr>
          <w:rFonts w:ascii="Times New Roman" w:eastAsia="宋体" w:hAnsi="Times New Roman" w:cs="Times New Roman"/>
          <w:kern w:val="0"/>
          <w:sz w:val="24"/>
          <w14:ligatures w14:val="none"/>
        </w:rPr>
        <w:t xml:space="preserve"> </w:t>
      </w:r>
      <w:r>
        <w:rPr>
          <w:rFonts w:ascii="Times New Roman" w:eastAsia="宋体" w:hAnsi="Times New Roman" w:cs="Times New Roman"/>
          <w:kern w:val="0"/>
          <w:sz w:val="24"/>
          <w14:ligatures w14:val="none"/>
        </w:rPr>
        <w:fldChar w:fldCharType="begin"/>
      </w:r>
      <w:r>
        <w:rPr>
          <w:rFonts w:ascii="Times New Roman" w:eastAsia="宋体" w:hAnsi="Times New Roman" w:cs="Times New Roman"/>
          <w:kern w:val="0"/>
          <w:sz w:val="24"/>
          <w14:ligatures w14:val="none"/>
        </w:rPr>
        <w:instrText xml:space="preserve"> ADDIN ZOTERO_ITEM CSL_CITATION {"citationID":"CB8d7Qvj","properties":{"formattedCitation":"[15]","plainCitation":"[15]","noteIndex":0},"citationItems":[{"id":70,"uris":["http://zotero.org/users/15424527/items/WKEQCHES"],"itemData":{"id":70,"type":"article-journal","abstract":"We study the dynamic interaction between COVID-19, economic mobility, and containment policy. We use Bayesian panel structural vector autoregressions with daily data for 44 countries, identified through traditional and narrative sign restrictions. We find that incidence shocks and containment shocks have large and persistent effects on mobility, morbidity, and mortality that last for one to two months. These shocks are the main drivers of the pandemic, explaining between 20 and 60 percent of the average and historical variability in mobility, cases, and deaths worldwide. The policy trade-off associated to nonpharmaceutical interventions is 1 pp less economic mobility per day for 8 percent fewer deaths after 3 months.","container-title":"American Economic Journal: Macroeconomics","DOI":"10.1257/mac.20210071","ISSN":"1945-7707","issue":"4","language":"en","page":"217-248","source":"www.aeaweb.org","title":"Disentangling COVID-19, Economic Mobility, and Containment Policy Shocks","volume":"15","author":[{"family":"Camehl","given":"Annika"},{"family":"Rieth","given":"Malte"}],"issued":{"date-parts":[["2023",10]]}}}],"schema":"https://github.com/citation-style-language/schema/raw/master/csl-citation.json"} </w:instrText>
      </w:r>
      <w:r>
        <w:rPr>
          <w:rFonts w:ascii="Times New Roman" w:eastAsia="宋体" w:hAnsi="Times New Roman" w:cs="Times New Roman"/>
          <w:kern w:val="0"/>
          <w:sz w:val="24"/>
          <w14:ligatures w14:val="none"/>
        </w:rPr>
        <w:fldChar w:fldCharType="separate"/>
      </w:r>
      <w:r>
        <w:rPr>
          <w:rFonts w:ascii="Times New Roman" w:eastAsia="宋体" w:hAnsi="Times New Roman" w:cs="Times New Roman"/>
          <w:noProof/>
          <w:kern w:val="0"/>
          <w:sz w:val="24"/>
          <w14:ligatures w14:val="none"/>
        </w:rPr>
        <w:t>[15]</w:t>
      </w:r>
      <w:r>
        <w:rPr>
          <w:rFonts w:ascii="Times New Roman" w:eastAsia="宋体" w:hAnsi="Times New Roman" w:cs="Times New Roman"/>
          <w:kern w:val="0"/>
          <w:sz w:val="24"/>
          <w14:ligatures w14:val="none"/>
        </w:rPr>
        <w:fldChar w:fldCharType="end"/>
      </w:r>
      <w:r w:rsidRPr="00E859E3">
        <w:rPr>
          <w:rFonts w:ascii="Times New Roman" w:eastAsia="宋体" w:hAnsi="Times New Roman" w:cs="Times New Roman"/>
          <w:kern w:val="0"/>
          <w:sz w:val="24"/>
          <w14:ligatures w14:val="none"/>
        </w:rPr>
        <w:t>. However, their focus on macro-level data limits insight into region- or sector-specific policy effects that might be relevant within individual urban contexts. Kim et al. innovatively applied SVAR and TVAR models in South Korea to capture the non-linear responses to social distancing and vaccination, treating vaccination as a fixed threshold to reveal its immediate impact</w:t>
      </w:r>
      <w:r>
        <w:rPr>
          <w:rFonts w:ascii="Times New Roman" w:eastAsia="宋体" w:hAnsi="Times New Roman" w:cs="Times New Roman"/>
          <w:kern w:val="0"/>
          <w:sz w:val="24"/>
          <w14:ligatures w14:val="none"/>
        </w:rPr>
        <w:t xml:space="preserve"> </w:t>
      </w:r>
      <w:r w:rsidR="005F1627">
        <w:rPr>
          <w:rFonts w:ascii="Times New Roman" w:eastAsia="宋体" w:hAnsi="Times New Roman" w:cs="Times New Roman"/>
          <w:kern w:val="0"/>
          <w:sz w:val="24"/>
          <w14:ligatures w14:val="none"/>
        </w:rPr>
        <w:fldChar w:fldCharType="begin"/>
      </w:r>
      <w:r w:rsidR="005F1627">
        <w:rPr>
          <w:rFonts w:ascii="Times New Roman" w:eastAsia="宋体" w:hAnsi="Times New Roman" w:cs="Times New Roman"/>
          <w:kern w:val="0"/>
          <w:sz w:val="24"/>
          <w14:ligatures w14:val="none"/>
        </w:rPr>
        <w:instrText xml:space="preserve"> ADDIN ZOTERO_ITEM CSL_CITATION {"citationID":"LSsytCSQ","properties":{"formattedCitation":"[4]","plainCitation":"[4]","noteIndex":0},"citationItems":[{"id":5,"uris":["http://zotero.org/users/15424527/items/6QBAEHST"],"itemData":{"id":5,"type":"article-journal","abstract":"This paper investigates the dynamic impact of social distancing policy on coronavirus disease (COVID-19) infection control, mobility of people, and consumption expenditures in the Republic of Korea. We employ structural and threshold vector autoregressive (VAR) models using big-data-driven mobility data, credit card expenditure, and a social distancing index. We find that the social distancing policy significantly reduces the spread of COVID-19, but there exists a significant, growing trade-off between infection control and economic activity over time. When the level of stringency in social distancing is already high, its marginal effect on mobility is estimated to be smaller than when social distancing stringency is low. The effect of social distancing also becomes secondary after vaccination. Increased vaccination is found to significantly reduce the critical cases while it increases visitors and consumption expenditures. The results also show that the effect of social distancing policy on mobility reduction is strongest among the population of age under 20 and the weakest among the population of age over 60.","container-title":"Journal of Economic Dynamics and Control","DOI":"10.1016/j.jedc.2023.104642","ISSN":"0165-1889","journalAbbreviation":"Journal of Economic Dynamics and Control","page":"104642","source":"ScienceDirect","title":"Impacts of social distancing policy and vaccination during the COVID-19 pandemic in the Republic of Korea","volume":"150","author":[{"family":"Kim","given":"Kijin"},{"family":"Kim","given":"Soyoung"},{"family":"Lee","given":"Donghyun"},{"family":"Park","given":"Cyn-Young"}],"issued":{"date-parts":[["2023",5,1]]}}}],"schema":"https://github.com/citation-style-language/schema/raw/master/csl-citation.json"} </w:instrText>
      </w:r>
      <w:r w:rsidR="005F1627">
        <w:rPr>
          <w:rFonts w:ascii="Times New Roman" w:eastAsia="宋体" w:hAnsi="Times New Roman" w:cs="Times New Roman"/>
          <w:kern w:val="0"/>
          <w:sz w:val="24"/>
          <w14:ligatures w14:val="none"/>
        </w:rPr>
        <w:fldChar w:fldCharType="separate"/>
      </w:r>
      <w:r w:rsidR="005F1627">
        <w:rPr>
          <w:rFonts w:ascii="Times New Roman" w:eastAsia="宋体" w:hAnsi="Times New Roman" w:cs="Times New Roman"/>
          <w:noProof/>
          <w:kern w:val="0"/>
          <w:sz w:val="24"/>
          <w14:ligatures w14:val="none"/>
        </w:rPr>
        <w:t>[4]</w:t>
      </w:r>
      <w:r w:rsidR="005F1627">
        <w:rPr>
          <w:rFonts w:ascii="Times New Roman" w:eastAsia="宋体" w:hAnsi="Times New Roman" w:cs="Times New Roman"/>
          <w:kern w:val="0"/>
          <w:sz w:val="24"/>
          <w14:ligatures w14:val="none"/>
        </w:rPr>
        <w:fldChar w:fldCharType="end"/>
      </w:r>
      <w:r w:rsidRPr="00E859E3">
        <w:rPr>
          <w:rFonts w:ascii="Times New Roman" w:eastAsia="宋体" w:hAnsi="Times New Roman" w:cs="Times New Roman"/>
          <w:kern w:val="0"/>
          <w:sz w:val="24"/>
          <w14:ligatures w14:val="none"/>
        </w:rPr>
        <w:t>. Their study opens the door for further research on the dynamic progression of vaccination effects over time.</w:t>
      </w:r>
      <w:r>
        <w:rPr>
          <w:rFonts w:ascii="Times New Roman" w:eastAsia="宋体" w:hAnsi="Times New Roman" w:cs="Times New Roman" w:hint="eastAsia"/>
          <w:kern w:val="0"/>
          <w:sz w:val="24"/>
          <w14:ligatures w14:val="none"/>
        </w:rPr>
        <w:t xml:space="preserve"> </w:t>
      </w:r>
      <w:r w:rsidRPr="00E859E3">
        <w:rPr>
          <w:rFonts w:ascii="Times New Roman" w:eastAsia="宋体" w:hAnsi="Times New Roman" w:cs="Times New Roman"/>
          <w:kern w:val="0"/>
          <w:sz w:val="24"/>
          <w14:ligatures w14:val="none"/>
        </w:rPr>
        <w:t>Each of these studies adds significant value to the field and provides critical building blocks. However, questions remain about how uniform policies affect different districts within a single city and how vaccination might dynamically interact with policy and mobility trends over time—areas that our study aims to explore in greater detail.</w:t>
      </w:r>
    </w:p>
    <w:p w14:paraId="2A426656" w14:textId="77777777" w:rsidR="00E859E3" w:rsidRPr="00584052" w:rsidRDefault="00E859E3" w:rsidP="00E859E3">
      <w:pPr>
        <w:rPr>
          <w:rFonts w:ascii="Times New Roman" w:eastAsia="宋体" w:hAnsi="Times New Roman" w:cs="Times New Roman"/>
          <w:kern w:val="0"/>
          <w:sz w:val="24"/>
          <w14:ligatures w14:val="none"/>
        </w:rPr>
      </w:pPr>
    </w:p>
    <w:p w14:paraId="0160314A" w14:textId="01E60D84" w:rsidR="00DE0CFA" w:rsidRDefault="00DE0CFA" w:rsidP="00501B3D">
      <w:pPr>
        <w:rPr>
          <w:rFonts w:ascii="Times New Roman" w:eastAsia="宋体" w:hAnsi="Times New Roman" w:cs="Times New Roman"/>
          <w:kern w:val="0"/>
          <w:sz w:val="24"/>
          <w14:ligatures w14:val="none"/>
        </w:rPr>
      </w:pPr>
      <w:r>
        <w:rPr>
          <w:rFonts w:ascii="Times New Roman" w:eastAsia="宋体" w:hAnsi="Times New Roman" w:cs="Times New Roman"/>
          <w:kern w:val="0"/>
          <w:sz w:val="24"/>
          <w14:ligatures w14:val="none"/>
        </w:rPr>
        <w:t>T</w:t>
      </w:r>
      <w:r w:rsidRPr="00DE0CFA">
        <w:rPr>
          <w:rFonts w:ascii="Times New Roman" w:eastAsia="宋体" w:hAnsi="Times New Roman" w:cs="Times New Roman"/>
          <w:kern w:val="0"/>
          <w:sz w:val="24"/>
          <w14:ligatures w14:val="none"/>
        </w:rPr>
        <w:t>he objective of our study is to examine the dynamic relationships between COVID-19 incidences, mobility, policy interventions, and vaccination rates in Seoul during the period of social distancing from June 2020 to November 2021. By utilizing a VARX model with vaccination rates as an exogenous variable and high-frequency weekly data, we analyze these interactions both citywide and at the district level. This dual-level approach enables us to uncover temporal patterns and causal links that might be missed in more static analyses, while also highlighting the heterogeneity in policy responses across different districts. The inclusion of vaccination rates allows us to better understand how these external factors dynamically influence the evolution of the pandemic. Policy adjustments, spikes in incidences, and vaccination campaigns exhibit varying effects over time, shaping mobility and infection rates differently in each area of the city. In a fast-changing urban environment like Seoul, such temporal and spatial analysis is essential. By comparing the overall citywide dynamics with district-specific responses, our study provides critical insights into how public health measures and vaccination efforts interact to influence the pandemic trajectory across diverse local contexts.</w:t>
      </w:r>
    </w:p>
    <w:p w14:paraId="51792538" w14:textId="77777777" w:rsidR="001A559B" w:rsidRDefault="001A559B" w:rsidP="00501B3D">
      <w:pPr>
        <w:rPr>
          <w:rFonts w:ascii="Times New Roman" w:eastAsia="宋体" w:hAnsi="Times New Roman" w:cs="Times New Roman"/>
          <w:kern w:val="0"/>
          <w:sz w:val="24"/>
          <w14:ligatures w14:val="none"/>
        </w:rPr>
      </w:pPr>
    </w:p>
    <w:p w14:paraId="1B5DA042" w14:textId="040757A4" w:rsidR="00B575B3" w:rsidRDefault="00A66764" w:rsidP="00A66764">
      <w:pPr>
        <w:spacing w:line="276" w:lineRule="auto"/>
        <w:rPr>
          <w:rFonts w:ascii="Times New Roman" w:hAnsi="Times New Roman" w:cs="Times New Roman"/>
        </w:rPr>
      </w:pPr>
      <w:r w:rsidRPr="009F313E">
        <w:rPr>
          <w:rFonts w:ascii="Times New Roman" w:eastAsia="Malgun Gothic" w:hAnsi="Times New Roman" w:cs="Times New Roman" w:hint="eastAsia"/>
          <w:b/>
          <w:bCs/>
        </w:rPr>
        <w:t>D</w:t>
      </w:r>
      <w:r w:rsidRPr="009F313E">
        <w:rPr>
          <w:rFonts w:ascii="Times New Roman" w:hAnsi="Times New Roman" w:cs="Times New Roman" w:hint="eastAsia"/>
          <w:b/>
          <w:bCs/>
        </w:rPr>
        <w:t>ata</w:t>
      </w:r>
      <w:r w:rsidR="00A422EF">
        <w:rPr>
          <w:rFonts w:ascii="Times New Roman" w:hAnsi="Times New Roman" w:cs="Times New Roman" w:hint="eastAsia"/>
          <w:b/>
          <w:bCs/>
        </w:rPr>
        <w:t xml:space="preserve"> sources</w:t>
      </w:r>
      <w:r w:rsidR="00A422EF">
        <w:rPr>
          <w:rFonts w:ascii="Times New Roman" w:hAnsi="Times New Roman" w:cs="Times New Roman"/>
          <w:b/>
          <w:bCs/>
        </w:rPr>
        <w:t xml:space="preserve">. </w:t>
      </w:r>
      <w:r w:rsidR="00A422EF">
        <w:rPr>
          <w:rFonts w:ascii="Times New Roman" w:hAnsi="Times New Roman" w:cs="Times New Roman"/>
        </w:rPr>
        <w:t xml:space="preserve">We used </w:t>
      </w:r>
      <w:r w:rsidR="00B575B3">
        <w:rPr>
          <w:rFonts w:ascii="Times New Roman" w:hAnsi="Times New Roman" w:cs="Times New Roman" w:hint="eastAsia"/>
        </w:rPr>
        <w:t>four</w:t>
      </w:r>
      <w:r w:rsidR="00B575B3">
        <w:rPr>
          <w:rFonts w:ascii="Times New Roman" w:hAnsi="Times New Roman" w:cs="Times New Roman"/>
        </w:rPr>
        <w:t xml:space="preserve"> </w:t>
      </w:r>
      <w:r w:rsidR="00A422EF">
        <w:rPr>
          <w:rFonts w:ascii="Times New Roman" w:hAnsi="Times New Roman" w:cs="Times New Roman"/>
        </w:rPr>
        <w:t xml:space="preserve">sets of data sources including district specific reported weekly COVID-19 cases from the Korea Disease Control and Prevention Agency, </w:t>
      </w:r>
      <w:r w:rsidR="00A422EF">
        <w:rPr>
          <w:rFonts w:ascii="Times New Roman" w:hAnsi="Times New Roman" w:cs="Times New Roman"/>
        </w:rPr>
        <w:t>weekly human mobility data based on mobile phone records from SK Telecom</w:t>
      </w:r>
      <w:r w:rsidR="00B575B3">
        <w:rPr>
          <w:rFonts w:ascii="Times New Roman" w:hAnsi="Times New Roman" w:cs="Times New Roman"/>
        </w:rPr>
        <w:t>,</w:t>
      </w:r>
      <w:r w:rsidR="00A422EF">
        <w:rPr>
          <w:rFonts w:ascii="Times New Roman" w:hAnsi="Times New Roman" w:cs="Times New Roman"/>
        </w:rPr>
        <w:t xml:space="preserve"> policy data from </w:t>
      </w:r>
      <w:r w:rsidR="00A422EF">
        <w:rPr>
          <w:rFonts w:ascii="Times New Roman" w:hAnsi="Times New Roman" w:cs="Times New Roman"/>
        </w:rPr>
        <w:t>Korea Disease Control and Prevention Agency</w:t>
      </w:r>
      <w:r w:rsidR="00B575B3">
        <w:rPr>
          <w:rFonts w:ascii="Times New Roman" w:hAnsi="Times New Roman" w:cs="Times New Roman"/>
        </w:rPr>
        <w:t xml:space="preserve">, and vaccination rate data from </w:t>
      </w:r>
      <w:r w:rsidR="00B575B3" w:rsidRPr="00B575B3">
        <w:rPr>
          <w:rFonts w:ascii="Times New Roman" w:hAnsi="Times New Roman" w:cs="Times New Roman"/>
          <w:highlight w:val="yellow"/>
        </w:rPr>
        <w:t>XXXXXXXX</w:t>
      </w:r>
      <w:r w:rsidR="00A422EF">
        <w:rPr>
          <w:rFonts w:ascii="Times New Roman" w:hAnsi="Times New Roman" w:cs="Times New Roman"/>
        </w:rPr>
        <w:t xml:space="preserve">. All datasets were available between June 28, 2020, and November 1, 2021. </w:t>
      </w:r>
      <w:r w:rsidR="00A422EF" w:rsidRPr="00A422EF">
        <w:t xml:space="preserve"> </w:t>
      </w:r>
      <w:r w:rsidR="00A422EF" w:rsidRPr="00A422EF">
        <w:rPr>
          <w:rFonts w:ascii="Times New Roman" w:hAnsi="Times New Roman" w:cs="Times New Roman"/>
        </w:rPr>
        <w:t>SK Telecom is the telecommunications company with the highest number of subscribers in South Korea.</w:t>
      </w:r>
      <w:r w:rsidR="00A422EF">
        <w:rPr>
          <w:rFonts w:ascii="Times New Roman" w:hAnsi="Times New Roman" w:cs="Times New Roman"/>
        </w:rPr>
        <w:t xml:space="preserve"> </w:t>
      </w:r>
      <w:r w:rsidR="00A422EF" w:rsidRPr="00A422EF">
        <w:rPr>
          <w:rFonts w:ascii="Times New Roman" w:hAnsi="Times New Roman" w:cs="Times New Roman"/>
        </w:rPr>
        <w:t>Human mobility data were based on the frequency of daily movements inside and outside the areas (administrative neighborhoods “dong”), which were defined based on whether participants visited other areas outside their resident areas for at least 30 mins.</w:t>
      </w:r>
      <w:r w:rsidR="00A422EF">
        <w:rPr>
          <w:rFonts w:ascii="Times New Roman" w:hAnsi="Times New Roman" w:cs="Times New Roman"/>
        </w:rPr>
        <w:t xml:space="preserve"> </w:t>
      </w:r>
      <w:r w:rsidR="00A422EF" w:rsidRPr="00A422EF">
        <w:rPr>
          <w:rFonts w:ascii="Times New Roman" w:hAnsi="Times New Roman" w:cs="Times New Roman"/>
        </w:rPr>
        <w:t>Seoul metropolitan city consists of 25 autonomous districts (“</w:t>
      </w:r>
      <w:proofErr w:type="spellStart"/>
      <w:r w:rsidR="00A422EF" w:rsidRPr="00A422EF">
        <w:rPr>
          <w:rFonts w:ascii="Times New Roman" w:hAnsi="Times New Roman" w:cs="Times New Roman"/>
        </w:rPr>
        <w:t>gu</w:t>
      </w:r>
      <w:proofErr w:type="spellEnd"/>
      <w:r w:rsidR="00A422EF" w:rsidRPr="00A422EF">
        <w:rPr>
          <w:rFonts w:ascii="Times New Roman" w:hAnsi="Times New Roman" w:cs="Times New Roman"/>
        </w:rPr>
        <w:t xml:space="preserve">”) and 426 administrative neighborhoods (“dong”). </w:t>
      </w:r>
      <w:proofErr w:type="gramStart"/>
      <w:r w:rsidR="00A422EF" w:rsidRPr="00A422EF">
        <w:rPr>
          <w:rFonts w:ascii="Times New Roman" w:hAnsi="Times New Roman" w:cs="Times New Roman"/>
        </w:rPr>
        <w:t>In order to</w:t>
      </w:r>
      <w:proofErr w:type="gramEnd"/>
      <w:r w:rsidR="00A422EF" w:rsidRPr="00A422EF">
        <w:rPr>
          <w:rFonts w:ascii="Times New Roman" w:hAnsi="Times New Roman" w:cs="Times New Roman"/>
        </w:rPr>
        <w:t xml:space="preserve"> align the mobility and </w:t>
      </w:r>
      <w:r w:rsidR="00A422EF">
        <w:rPr>
          <w:rFonts w:ascii="Times New Roman" w:hAnsi="Times New Roman" w:cs="Times New Roman"/>
        </w:rPr>
        <w:t>incidence</w:t>
      </w:r>
      <w:r w:rsidR="00A422EF" w:rsidRPr="00A422EF">
        <w:rPr>
          <w:rFonts w:ascii="Times New Roman" w:hAnsi="Times New Roman" w:cs="Times New Roman"/>
        </w:rPr>
        <w:t xml:space="preserve"> data, we aggregated the mobility data from dong to </w:t>
      </w:r>
      <w:proofErr w:type="spellStart"/>
      <w:r w:rsidR="00A422EF" w:rsidRPr="00A422EF">
        <w:rPr>
          <w:rFonts w:ascii="Times New Roman" w:hAnsi="Times New Roman" w:cs="Times New Roman"/>
        </w:rPr>
        <w:t>gu</w:t>
      </w:r>
      <w:proofErr w:type="spellEnd"/>
      <w:r w:rsidR="00A422EF" w:rsidRPr="00A422EF">
        <w:rPr>
          <w:rFonts w:ascii="Times New Roman" w:hAnsi="Times New Roman" w:cs="Times New Roman"/>
        </w:rPr>
        <w:t xml:space="preserve"> level.</w:t>
      </w:r>
      <w:r w:rsidR="00A422EF">
        <w:rPr>
          <w:rFonts w:ascii="Times New Roman" w:hAnsi="Times New Roman" w:cs="Times New Roman"/>
        </w:rPr>
        <w:t xml:space="preserve"> </w:t>
      </w:r>
      <w:r w:rsidR="00B575B3" w:rsidRPr="00B575B3">
        <w:rPr>
          <w:rFonts w:ascii="Times New Roman" w:hAnsi="Times New Roman" w:cs="Times New Roman"/>
        </w:rPr>
        <w:t xml:space="preserve">The policy data included three distinct levels between June 28, 2020, and November 6, 2020; five levels from November 6, 2020, to July 11, 2021; and four levels </w:t>
      </w:r>
      <w:r w:rsidR="00B575B3" w:rsidRPr="00B575B3">
        <w:rPr>
          <w:rFonts w:ascii="Times New Roman" w:hAnsi="Times New Roman" w:cs="Times New Roman"/>
        </w:rPr>
        <w:lastRenderedPageBreak/>
        <w:t xml:space="preserve">from July 12, 2021, to November 1, 2021. We standardized </w:t>
      </w:r>
      <w:r w:rsidR="00B575B3">
        <w:rPr>
          <w:rFonts w:ascii="Times New Roman" w:hAnsi="Times New Roman" w:cs="Times New Roman" w:hint="eastAsia"/>
        </w:rPr>
        <w:t>policy</w:t>
      </w:r>
      <w:r w:rsidR="00B575B3">
        <w:rPr>
          <w:rFonts w:ascii="Times New Roman" w:hAnsi="Times New Roman" w:cs="Times New Roman"/>
        </w:rPr>
        <w:t xml:space="preserve"> </w:t>
      </w:r>
      <w:r w:rsidR="00B575B3" w:rsidRPr="00B575B3">
        <w:rPr>
          <w:rFonts w:ascii="Times New Roman" w:hAnsi="Times New Roman" w:cs="Times New Roman"/>
        </w:rPr>
        <w:t>data for consistency across time periods.</w:t>
      </w:r>
      <w:r w:rsidR="00B575B3">
        <w:rPr>
          <w:rFonts w:ascii="Times New Roman" w:hAnsi="Times New Roman" w:cs="Times New Roman"/>
        </w:rPr>
        <w:t xml:space="preserve"> </w:t>
      </w:r>
      <w:r w:rsidR="00B575B3" w:rsidRPr="00B575B3">
        <w:rPr>
          <w:rFonts w:ascii="Times New Roman" w:hAnsi="Times New Roman" w:cs="Times New Roman"/>
        </w:rPr>
        <w:t>Given that Seoul’s policies were uniformly implemented citywide, the policy data were consistent across both city-level and district-level analyses.</w:t>
      </w:r>
      <w:r w:rsidR="00B575B3">
        <w:rPr>
          <w:rFonts w:ascii="Times New Roman" w:hAnsi="Times New Roman" w:cs="Times New Roman"/>
        </w:rPr>
        <w:t xml:space="preserve"> </w:t>
      </w:r>
      <w:r w:rsidR="00B575B3" w:rsidRPr="00B575B3">
        <w:rPr>
          <w:rFonts w:ascii="Times New Roman" w:hAnsi="Times New Roman" w:cs="Times New Roman"/>
          <w:highlight w:val="yellow"/>
        </w:rPr>
        <w:t>Vaccination data ……</w:t>
      </w:r>
    </w:p>
    <w:p w14:paraId="4FD09CFF" w14:textId="05BBB377" w:rsidR="00A66764" w:rsidRDefault="00B41B57" w:rsidP="00A66764">
      <w:pPr>
        <w:spacing w:line="276" w:lineRule="auto"/>
        <w:rPr>
          <w:rFonts w:ascii="Times New Roman" w:eastAsia="Malgun Gothic" w:hAnsi="Times New Roman" w:cs="Times New Roman"/>
        </w:rPr>
      </w:pPr>
      <w:r>
        <w:rPr>
          <w:rFonts w:ascii="Times New Roman" w:eastAsia="Malgun Gothic" w:hAnsi="Times New Roman" w:cs="Times New Roman"/>
          <w:noProof/>
        </w:rPr>
        <w:drawing>
          <wp:inline distT="0" distB="0" distL="0" distR="0" wp14:anchorId="0CE0A19E" wp14:editId="0A114A83">
            <wp:extent cx="5274310" cy="3439795"/>
            <wp:effectExtent l="0" t="0" r="0" b="1905"/>
            <wp:docPr id="45849160"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9160" name="图片 3"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39795"/>
                    </a:xfrm>
                    <a:prstGeom prst="rect">
                      <a:avLst/>
                    </a:prstGeom>
                  </pic:spPr>
                </pic:pic>
              </a:graphicData>
            </a:graphic>
          </wp:inline>
        </w:drawing>
      </w:r>
    </w:p>
    <w:p w14:paraId="1123C864" w14:textId="77777777" w:rsidR="00A66764" w:rsidRPr="007671FA" w:rsidRDefault="00A66764" w:rsidP="00A66764">
      <w:pPr>
        <w:spacing w:line="276" w:lineRule="auto"/>
        <w:rPr>
          <w:rFonts w:ascii="Times New Roman" w:hAnsi="Times New Roman" w:cs="Times New Roman"/>
          <w:b/>
          <w:bCs/>
        </w:rPr>
      </w:pPr>
      <w:r w:rsidRPr="009F313E">
        <w:rPr>
          <w:rFonts w:ascii="Times New Roman" w:hAnsi="Times New Roman" w:cs="Times New Roman"/>
          <w:b/>
          <w:bCs/>
        </w:rPr>
        <w:t>Methodology</w:t>
      </w:r>
    </w:p>
    <w:p w14:paraId="24CB716E" w14:textId="77777777" w:rsidR="00A66764" w:rsidRPr="007E6EC0" w:rsidRDefault="00A66764" w:rsidP="00A66764">
      <w:pPr>
        <w:spacing w:line="276" w:lineRule="auto"/>
        <w:rPr>
          <w:rFonts w:ascii="Times New Roman" w:eastAsia="Malgun Gothic" w:hAnsi="Times New Roman" w:cs="Times New Roman" w:hint="eastAsia"/>
          <w:b/>
          <w:bCs/>
          <w:sz w:val="18"/>
          <w:szCs w:val="18"/>
        </w:rPr>
      </w:pPr>
      <w:r w:rsidRPr="007E6EC0">
        <w:rPr>
          <w:rFonts w:ascii="Times New Roman" w:eastAsia="Malgun Gothic" w:hAnsi="Times New Roman" w:cs="Times New Roman"/>
          <w:b/>
          <w:bCs/>
          <w:sz w:val="18"/>
          <w:szCs w:val="18"/>
          <w:lang w:eastAsia="ko-KR"/>
        </w:rPr>
        <w:t>Model Overview</w:t>
      </w:r>
      <w:r w:rsidRPr="007E6EC0">
        <w:rPr>
          <w:rFonts w:ascii="Times New Roman" w:eastAsia="Malgun Gothic" w:hAnsi="Times New Roman" w:cs="Times New Roman"/>
          <w:b/>
          <w:bCs/>
          <w:sz w:val="18"/>
          <w:szCs w:val="18"/>
        </w:rPr>
        <w:t>.</w:t>
      </w:r>
    </w:p>
    <w:p w14:paraId="2BCB5F48" w14:textId="77777777" w:rsidR="00A66764" w:rsidRDefault="00A66764" w:rsidP="00A66764">
      <w:pPr>
        <w:spacing w:line="276" w:lineRule="auto"/>
        <w:rPr>
          <w:rFonts w:ascii="Times New Roman" w:eastAsia="Malgun Gothic" w:hAnsi="Times New Roman" w:cs="Times New Roman"/>
        </w:rPr>
      </w:pPr>
      <w:r w:rsidRPr="001432E6">
        <w:rPr>
          <w:rFonts w:ascii="Times New Roman" w:eastAsia="Malgun Gothic" w:hAnsi="Times New Roman" w:cs="Times New Roman"/>
          <w:lang w:eastAsia="ko-KR"/>
        </w:rPr>
        <w:t>In this study, we employed the Vector Autoregression with Exogenous variables (VARX) model to analyze the interdependencies among multiple time series variables, focusing on how COVID-19 incidences, mobility patterns, and policy interventions influence each other over time in Seoul, while accounting for the effect of vaccination rates as an external factor. The VARX model allows us to capture the dynamic relationships between these variables by considering their mutual influences, as well as the impact of vaccination as an exogenous variable that may affect but is not influenced by the endogenous variables in the system.</w:t>
      </w:r>
    </w:p>
    <w:p w14:paraId="3BBA5F8E" w14:textId="77777777" w:rsidR="009F660D" w:rsidRDefault="009F660D" w:rsidP="00A66764">
      <w:pPr>
        <w:spacing w:line="276" w:lineRule="auto"/>
        <w:rPr>
          <w:rFonts w:ascii="Times New Roman" w:eastAsia="Malgun Gothic" w:hAnsi="Times New Roman" w:cs="Times New Roman"/>
        </w:rPr>
      </w:pPr>
    </w:p>
    <w:p w14:paraId="66FA6E98" w14:textId="162FD79A" w:rsidR="009F660D" w:rsidRDefault="009F660D" w:rsidP="00A66764">
      <w:pPr>
        <w:spacing w:line="276" w:lineRule="auto"/>
        <w:rPr>
          <w:rFonts w:ascii="Times New Roman" w:eastAsia="Malgun Gothic" w:hAnsi="Times New Roman" w:cs="Times New Roman" w:hint="eastAsia"/>
        </w:rPr>
      </w:pPr>
      <w:r w:rsidRPr="009F660D">
        <w:rPr>
          <w:rFonts w:ascii="Times New Roman" w:eastAsia="Malgun Gothic" w:hAnsi="Times New Roman" w:cs="Times New Roman"/>
        </w:rPr>
        <w:t>To comprehensively explore these relationships, we constructed a total of 26 models—one for the city as a whole and one for each of Seoul's 25 districts. This approach enables us to analyze both the overarching trends across Seoul and the localized variations within individual districts, providing a multi-level understanding of the interactions among incidences, mobility, and policy interventions.</w:t>
      </w:r>
    </w:p>
    <w:p w14:paraId="34130A39" w14:textId="77777777" w:rsidR="00A66764" w:rsidRPr="009F313E" w:rsidRDefault="00A66764" w:rsidP="00A66764">
      <w:pPr>
        <w:spacing w:line="276" w:lineRule="auto"/>
        <w:rPr>
          <w:rFonts w:ascii="Times New Roman" w:eastAsia="Malgun Gothic" w:hAnsi="Times New Roman" w:cs="Times New Roman"/>
          <w:b/>
          <w:bCs/>
        </w:rPr>
      </w:pPr>
    </w:p>
    <w:p w14:paraId="3FAB9481" w14:textId="6E692607" w:rsidR="009F660D" w:rsidRPr="009F660D" w:rsidRDefault="00A66764" w:rsidP="009F660D">
      <w:pPr>
        <w:spacing w:line="276" w:lineRule="auto"/>
        <w:rPr>
          <w:rFonts w:ascii="Times New Roman" w:eastAsia="Malgun Gothic" w:hAnsi="Times New Roman" w:cs="Times New Roman" w:hint="eastAsia"/>
          <w:b/>
          <w:bCs/>
          <w:sz w:val="18"/>
          <w:szCs w:val="18"/>
        </w:rPr>
      </w:pPr>
      <w:r w:rsidRPr="007E6EC0">
        <w:rPr>
          <w:rFonts w:ascii="Times New Roman" w:eastAsia="Malgun Gothic" w:hAnsi="Times New Roman" w:cs="Times New Roman"/>
          <w:b/>
          <w:bCs/>
          <w:sz w:val="18"/>
          <w:szCs w:val="18"/>
          <w:lang w:eastAsia="ko-KR"/>
        </w:rPr>
        <w:t xml:space="preserve">Lag Selection. </w:t>
      </w:r>
    </w:p>
    <w:p w14:paraId="346CF1E1" w14:textId="77777777" w:rsidR="009F660D" w:rsidRDefault="009F660D" w:rsidP="009F660D">
      <w:pPr>
        <w:spacing w:line="276" w:lineRule="auto"/>
        <w:rPr>
          <w:rFonts w:ascii="Times New Roman" w:eastAsia="Malgun Gothic" w:hAnsi="Times New Roman" w:cs="Times New Roman"/>
        </w:rPr>
      </w:pPr>
      <w:r w:rsidRPr="009F660D">
        <w:rPr>
          <w:rFonts w:ascii="Times New Roman" w:eastAsia="Malgun Gothic" w:hAnsi="Times New Roman" w:cs="Times New Roman"/>
          <w:lang w:eastAsia="ko-KR"/>
        </w:rPr>
        <w:t xml:space="preserve">For lag selection in the citywide model, we considered four key criteria: Akaike Information Criterion (AIC), Hannan-Quinn Criterion (HQ), Schwarz Criterion (SC), and Final Prediction Error (FPE). The Schwarz Criterion, also known as the Bayesian Information Criterion (BIC), was </w:t>
      </w:r>
      <w:r w:rsidRPr="009F660D">
        <w:rPr>
          <w:rFonts w:ascii="Times New Roman" w:eastAsia="Malgun Gothic" w:hAnsi="Times New Roman" w:cs="Times New Roman"/>
          <w:lang w:eastAsia="ko-KR"/>
        </w:rPr>
        <w:lastRenderedPageBreak/>
        <w:t>ultimately selected as it effectively balances model complexity and goodness of fit. Based on this criterion, we chose a 2-week lag, which appropriately accounts for the dynamics between the endogenous variables (COVID-19 incidences, mobility patterns, and policy interventions) while incorporating the effect of the exogenous variable (vaccination rates). This decision aligns with practical considerations in pandemic studies, where policy effects often manifest over relatively short periods.</w:t>
      </w:r>
    </w:p>
    <w:p w14:paraId="49357EED" w14:textId="77777777" w:rsidR="009F660D" w:rsidRPr="009F660D" w:rsidRDefault="009F660D" w:rsidP="009F660D">
      <w:pPr>
        <w:spacing w:line="276" w:lineRule="auto"/>
        <w:rPr>
          <w:rFonts w:ascii="Times New Roman" w:eastAsia="Malgun Gothic" w:hAnsi="Times New Roman" w:cs="Times New Roman" w:hint="eastAsia"/>
        </w:rPr>
      </w:pPr>
    </w:p>
    <w:p w14:paraId="5288167C" w14:textId="77777777" w:rsidR="009F660D" w:rsidRPr="009F660D" w:rsidRDefault="009F660D" w:rsidP="009F660D">
      <w:pPr>
        <w:spacing w:line="276" w:lineRule="auto"/>
        <w:rPr>
          <w:rFonts w:ascii="Times New Roman" w:eastAsia="Malgun Gothic" w:hAnsi="Times New Roman" w:cs="Times New Roman"/>
          <w:lang w:eastAsia="ko-KR"/>
        </w:rPr>
      </w:pPr>
      <w:r w:rsidRPr="009F660D">
        <w:rPr>
          <w:rFonts w:ascii="Times New Roman" w:eastAsia="Malgun Gothic" w:hAnsi="Times New Roman" w:cs="Times New Roman"/>
          <w:lang w:eastAsia="ko-KR"/>
        </w:rPr>
        <w:t>To ensure consistency and comparability, we applied the same 2-week lag structure to each district-level model. This uniform lag choice allows for a coherent comparison across Seoul’s districts, providing a standardized framework for examining the localized dynamics of COVID-19 spread, mobility shifts, and policy impacts while maintaining alignment with the citywide model’s design.</w:t>
      </w:r>
    </w:p>
    <w:p w14:paraId="76B8E8B7" w14:textId="77777777" w:rsidR="00A66764" w:rsidRPr="009F660D" w:rsidRDefault="00A66764" w:rsidP="00A66764">
      <w:pPr>
        <w:spacing w:line="276" w:lineRule="auto"/>
        <w:rPr>
          <w:rFonts w:ascii="Times New Roman" w:eastAsia="Malgun Gothic" w:hAnsi="Times New Roman" w:cs="Times New Roman"/>
        </w:rPr>
      </w:pPr>
    </w:p>
    <w:p w14:paraId="2EC4B030" w14:textId="77777777" w:rsidR="00A66764" w:rsidRPr="007E6EC0" w:rsidRDefault="00A66764" w:rsidP="00A66764">
      <w:pPr>
        <w:spacing w:line="276" w:lineRule="auto"/>
        <w:rPr>
          <w:rFonts w:ascii="Times New Roman" w:eastAsia="Malgun Gothic" w:hAnsi="Times New Roman" w:cs="Times New Roman"/>
          <w:b/>
          <w:bCs/>
          <w:sz w:val="18"/>
          <w:szCs w:val="18"/>
          <w:lang w:eastAsia="ko-KR"/>
        </w:rPr>
      </w:pPr>
      <w:r w:rsidRPr="007E6EC0">
        <w:rPr>
          <w:rFonts w:ascii="Times New Roman" w:eastAsia="Malgun Gothic" w:hAnsi="Times New Roman" w:cs="Times New Roman"/>
          <w:b/>
          <w:bCs/>
          <w:sz w:val="18"/>
          <w:szCs w:val="18"/>
          <w:lang w:eastAsia="ko-KR"/>
        </w:rPr>
        <w:t xml:space="preserve">Equation. </w:t>
      </w:r>
    </w:p>
    <w:p w14:paraId="4AA7F715" w14:textId="77777777" w:rsidR="00A66764" w:rsidRPr="009F313E" w:rsidRDefault="00A66764" w:rsidP="00A66764">
      <w:pPr>
        <w:spacing w:line="276" w:lineRule="auto"/>
        <w:rPr>
          <w:rFonts w:ascii="Times New Roman" w:eastAsia="Malgun Gothic" w:hAnsi="Times New Roman" w:cs="Times New Roman"/>
        </w:rPr>
      </w:pPr>
      <w:r w:rsidRPr="009F313E">
        <w:rPr>
          <w:rFonts w:ascii="Times New Roman" w:eastAsia="Malgun Gothic" w:hAnsi="Times New Roman" w:cs="Times New Roman"/>
        </w:rPr>
        <w:t>The VAR model used in our analysis is represented by the following equation:</w:t>
      </w:r>
    </w:p>
    <w:p w14:paraId="28BEABB5" w14:textId="7FB52C21" w:rsidR="00A66764" w:rsidRPr="009F313E" w:rsidRDefault="00000000" w:rsidP="00A66764">
      <w:pPr>
        <w:spacing w:line="276" w:lineRule="auto"/>
        <w:rPr>
          <w:rFonts w:ascii="Times New Roman" w:eastAsia="Malgun Gothic" w:hAnsi="Times New Roman" w:cs="Times New Roman"/>
          <w:i/>
        </w:rPr>
      </w:pPr>
      <m:oMathPara>
        <m:oMath>
          <m:sSub>
            <m:sSubPr>
              <m:ctrlPr>
                <w:rPr>
                  <w:rFonts w:ascii="Cambria Math" w:eastAsia="Malgun Gothic" w:hAnsi="Cambria Math" w:cs="Times New Roman"/>
                  <w:i/>
                  <w:iCs/>
                </w:rPr>
              </m:ctrlPr>
            </m:sSubPr>
            <m:e>
              <m:r>
                <w:rPr>
                  <w:rFonts w:ascii="Cambria Math" w:eastAsia="Malgun Gothic" w:hAnsi="Cambria Math" w:cs="Times New Roman"/>
                </w:rPr>
                <m:t>Y</m:t>
              </m:r>
            </m:e>
            <m:sub>
              <m:r>
                <w:rPr>
                  <w:rFonts w:ascii="Cambria Math" w:eastAsia="Malgun Gothic" w:hAnsi="Cambria Math" w:cs="Times New Roman" w:hint="eastAsia"/>
                </w:rPr>
                <m:t>i</m:t>
              </m:r>
              <m:r>
                <w:rPr>
                  <w:rFonts w:ascii="Cambria Math" w:eastAsia="Malgun Gothic" w:hAnsi="Cambria Math" w:cs="Times New Roman"/>
                </w:rPr>
                <m:t>,</m:t>
              </m:r>
              <m:r>
                <w:rPr>
                  <w:rFonts w:ascii="Cambria Math" w:eastAsia="Malgun Gothic" w:hAnsi="Cambria Math" w:cs="Times New Roman"/>
                </w:rPr>
                <m:t>t </m:t>
              </m:r>
            </m:sub>
          </m:sSub>
          <m:r>
            <w:rPr>
              <w:rFonts w:ascii="Cambria Math" w:eastAsia="Malgun Gothic" w:hAnsi="Cambria Math" w:cs="Times New Roman"/>
            </w:rPr>
            <m:t>=</m:t>
          </m:r>
          <m:sSub>
            <m:sSubPr>
              <m:ctrlPr>
                <w:rPr>
                  <w:rFonts w:ascii="Cambria Math" w:eastAsia="Malgun Gothic" w:hAnsi="Cambria Math" w:cs="Times New Roman"/>
                  <w:i/>
                  <w:iCs/>
                </w:rPr>
              </m:ctrlPr>
            </m:sSubPr>
            <m:e>
              <m:r>
                <w:rPr>
                  <w:rFonts w:ascii="Cambria Math" w:eastAsia="Malgun Gothic" w:hAnsi="Cambria Math" w:cs="Times New Roman"/>
                </w:rPr>
                <m:t>A</m:t>
              </m:r>
            </m:e>
            <m:sub>
              <m:r>
                <w:rPr>
                  <w:rFonts w:ascii="Cambria Math" w:eastAsia="Malgun Gothic" w:hAnsi="Cambria Math" w:cs="Times New Roman"/>
                </w:rPr>
                <m:t>i,</m:t>
              </m:r>
              <m:r>
                <w:rPr>
                  <w:rFonts w:ascii="Cambria Math" w:eastAsia="Malgun Gothic" w:hAnsi="Cambria Math" w:cs="Times New Roman"/>
                </w:rPr>
                <m:t>1</m:t>
              </m:r>
            </m:sub>
          </m:sSub>
          <m:sSub>
            <m:sSubPr>
              <m:ctrlPr>
                <w:rPr>
                  <w:rFonts w:ascii="Cambria Math" w:eastAsia="Malgun Gothic" w:hAnsi="Cambria Math" w:cs="Times New Roman"/>
                  <w:i/>
                  <w:iCs/>
                </w:rPr>
              </m:ctrlPr>
            </m:sSubPr>
            <m:e>
              <m:r>
                <w:rPr>
                  <w:rFonts w:ascii="Cambria Math" w:eastAsia="Malgun Gothic" w:hAnsi="Cambria Math" w:cs="Times New Roman"/>
                </w:rPr>
                <m:t>Y</m:t>
              </m:r>
            </m:e>
            <m:sub>
              <m:r>
                <w:rPr>
                  <w:rFonts w:ascii="Cambria Math" w:eastAsia="Malgun Gothic" w:hAnsi="Cambria Math" w:cs="Times New Roman"/>
                </w:rPr>
                <m:t>i,</m:t>
              </m:r>
              <m:r>
                <w:rPr>
                  <w:rFonts w:ascii="Cambria Math" w:eastAsia="Malgun Gothic" w:hAnsi="Cambria Math" w:cs="Times New Roman"/>
                </w:rPr>
                <m:t>t-1</m:t>
              </m:r>
            </m:sub>
          </m:sSub>
          <m:r>
            <w:rPr>
              <w:rFonts w:ascii="Cambria Math" w:eastAsia="Malgun Gothic" w:hAnsi="Cambria Math" w:cs="Times New Roman"/>
            </w:rPr>
            <m:t>+</m:t>
          </m:r>
          <m:sSub>
            <m:sSubPr>
              <m:ctrlPr>
                <w:rPr>
                  <w:rFonts w:ascii="Cambria Math" w:eastAsia="Malgun Gothic" w:hAnsi="Cambria Math" w:cs="Times New Roman"/>
                  <w:i/>
                  <w:iCs/>
                </w:rPr>
              </m:ctrlPr>
            </m:sSubPr>
            <m:e>
              <m:r>
                <w:rPr>
                  <w:rFonts w:ascii="Cambria Math" w:eastAsia="Malgun Gothic" w:hAnsi="Cambria Math" w:cs="Times New Roman"/>
                </w:rPr>
                <m:t>A</m:t>
              </m:r>
            </m:e>
            <m:sub>
              <m:r>
                <w:rPr>
                  <w:rFonts w:ascii="Cambria Math" w:eastAsia="Malgun Gothic" w:hAnsi="Cambria Math" w:cs="Times New Roman"/>
                </w:rPr>
                <m:t>i,</m:t>
              </m:r>
              <m:r>
                <w:rPr>
                  <w:rFonts w:ascii="Cambria Math" w:eastAsia="Malgun Gothic" w:hAnsi="Cambria Math" w:cs="Times New Roman"/>
                </w:rPr>
                <m:t>2</m:t>
              </m:r>
            </m:sub>
          </m:sSub>
          <m:sSub>
            <m:sSubPr>
              <m:ctrlPr>
                <w:rPr>
                  <w:rFonts w:ascii="Cambria Math" w:eastAsia="Malgun Gothic" w:hAnsi="Cambria Math" w:cs="Times New Roman"/>
                  <w:i/>
                  <w:iCs/>
                </w:rPr>
              </m:ctrlPr>
            </m:sSubPr>
            <m:e>
              <m:r>
                <w:rPr>
                  <w:rFonts w:ascii="Cambria Math" w:eastAsia="Malgun Gothic" w:hAnsi="Cambria Math" w:cs="Times New Roman"/>
                </w:rPr>
                <m:t>Y</m:t>
              </m:r>
            </m:e>
            <m:sub>
              <m:r>
                <w:rPr>
                  <w:rFonts w:ascii="Cambria Math" w:eastAsia="Malgun Gothic" w:hAnsi="Cambria Math" w:cs="Times New Roman"/>
                </w:rPr>
                <m:t>i,</m:t>
              </m:r>
              <m:r>
                <w:rPr>
                  <w:rFonts w:ascii="Cambria Math" w:eastAsia="Malgun Gothic" w:hAnsi="Cambria Math" w:cs="Times New Roman"/>
                </w:rPr>
                <m:t>t-2</m:t>
              </m:r>
            </m:sub>
          </m:sSub>
          <m:r>
            <w:rPr>
              <w:rFonts w:ascii="Cambria Math" w:eastAsia="Malgun Gothic" w:hAnsi="Cambria Math" w:cs="Times New Roman"/>
            </w:rPr>
            <m:t xml:space="preserve">+ </m:t>
          </m:r>
          <m:sSub>
            <m:sSubPr>
              <m:ctrlPr>
                <w:rPr>
                  <w:rFonts w:ascii="Cambria Math" w:eastAsia="Malgun Gothic" w:hAnsi="Cambria Math" w:cs="Times New Roman"/>
                  <w:i/>
                </w:rPr>
              </m:ctrlPr>
            </m:sSubPr>
            <m:e>
              <m:r>
                <w:rPr>
                  <w:rFonts w:ascii="Cambria Math" w:eastAsia="Malgun Gothic" w:hAnsi="Cambria Math" w:cs="Times New Roman"/>
                </w:rPr>
                <m:t>B</m:t>
              </m:r>
            </m:e>
            <m:sub>
              <m:r>
                <w:rPr>
                  <w:rFonts w:ascii="Cambria Math" w:eastAsia="Malgun Gothic" w:hAnsi="Cambria Math" w:cs="Times New Roman"/>
                </w:rPr>
                <m:t>i</m:t>
              </m:r>
            </m:sub>
          </m:sSub>
          <m:sSub>
            <m:sSubPr>
              <m:ctrlPr>
                <w:rPr>
                  <w:rFonts w:ascii="Cambria Math" w:eastAsia="Malgun Gothic" w:hAnsi="Cambria Math" w:cs="Times New Roman"/>
                  <w:i/>
                </w:rPr>
              </m:ctrlPr>
            </m:sSubPr>
            <m:e>
              <m:r>
                <w:rPr>
                  <w:rFonts w:ascii="Cambria Math" w:eastAsia="Malgun Gothic" w:hAnsi="Cambria Math" w:cs="Times New Roman"/>
                </w:rPr>
                <m:t>X</m:t>
              </m:r>
            </m:e>
            <m:sub>
              <m:r>
                <w:rPr>
                  <w:rFonts w:ascii="Cambria Math" w:eastAsia="Malgun Gothic" w:hAnsi="Cambria Math" w:cs="Times New Roman"/>
                </w:rPr>
                <m:t>i,</m:t>
              </m:r>
              <m:r>
                <w:rPr>
                  <w:rFonts w:ascii="Cambria Math" w:eastAsia="Malgun Gothic" w:hAnsi="Cambria Math" w:cs="Times New Roman"/>
                </w:rPr>
                <m:t>t</m:t>
              </m:r>
            </m:sub>
          </m:sSub>
          <m:r>
            <w:rPr>
              <w:rFonts w:ascii="Cambria Math" w:eastAsia="Malgun Gothic" w:hAnsi="Cambria Math" w:cs="Times New Roman"/>
            </w:rPr>
            <m:t xml:space="preserve">+ </m:t>
          </m:r>
          <m:sSub>
            <m:sSubPr>
              <m:ctrlPr>
                <w:rPr>
                  <w:rFonts w:ascii="Cambria Math" w:eastAsia="Malgun Gothic" w:hAnsi="Cambria Math" w:cs="Times New Roman"/>
                  <w:i/>
                  <w:iCs/>
                </w:rPr>
              </m:ctrlPr>
            </m:sSubPr>
            <m:e>
              <m:r>
                <w:rPr>
                  <w:rFonts w:ascii="Cambria Math" w:eastAsia="Malgun Gothic" w:hAnsi="Cambria Math" w:cs="Times New Roman"/>
                </w:rPr>
                <m:t>ε</m:t>
              </m:r>
            </m:e>
            <m:sub>
              <m:r>
                <w:rPr>
                  <w:rFonts w:ascii="Cambria Math" w:eastAsia="Malgun Gothic" w:hAnsi="Cambria Math" w:cs="Times New Roman"/>
                </w:rPr>
                <m:t>i,</m:t>
              </m:r>
              <m:r>
                <w:rPr>
                  <w:rFonts w:ascii="Cambria Math" w:eastAsia="Malgun Gothic" w:hAnsi="Cambria Math" w:cs="Times New Roman"/>
                </w:rPr>
                <m:t>t</m:t>
              </m:r>
            </m:sub>
          </m:sSub>
        </m:oMath>
      </m:oMathPara>
    </w:p>
    <w:p w14:paraId="35CE18BE" w14:textId="4955BFE8" w:rsidR="00A66764" w:rsidRPr="009F313E" w:rsidRDefault="00000000" w:rsidP="00A66764">
      <w:pPr>
        <w:pStyle w:val="a9"/>
        <w:widowControl/>
        <w:numPr>
          <w:ilvl w:val="0"/>
          <w:numId w:val="1"/>
        </w:numPr>
        <w:spacing w:line="276" w:lineRule="auto"/>
        <w:jc w:val="left"/>
        <w:rPr>
          <w:rFonts w:ascii="Times New Roman" w:eastAsia="Malgun Gothic" w:hAnsi="Times New Roman" w:cs="Times New Roman"/>
        </w:rPr>
      </w:pPr>
      <m:oMath>
        <m:sSub>
          <m:sSubPr>
            <m:ctrlPr>
              <w:rPr>
                <w:rFonts w:ascii="Cambria Math" w:eastAsia="Malgun Gothic" w:hAnsi="Cambria Math" w:cs="Times New Roman"/>
                <w:i/>
                <w:iCs/>
              </w:rPr>
            </m:ctrlPr>
          </m:sSubPr>
          <m:e>
            <m:r>
              <w:rPr>
                <w:rFonts w:ascii="Cambria Math" w:eastAsia="Malgun Gothic" w:hAnsi="Cambria Math" w:cs="Times New Roman"/>
              </w:rPr>
              <m:t>Y</m:t>
            </m:r>
          </m:e>
          <m:sub>
            <m:r>
              <w:rPr>
                <w:rFonts w:ascii="Cambria Math" w:eastAsia="Malgun Gothic" w:hAnsi="Cambria Math" w:cs="Times New Roman"/>
              </w:rPr>
              <m:t>i,</m:t>
            </m:r>
            <m:r>
              <w:rPr>
                <w:rFonts w:ascii="Cambria Math" w:eastAsia="Malgun Gothic" w:hAnsi="Cambria Math" w:cs="Times New Roman"/>
              </w:rPr>
              <m:t>t </m:t>
            </m:r>
          </m:sub>
        </m:sSub>
        <m:r>
          <w:rPr>
            <w:rFonts w:ascii="Cambria Math" w:eastAsia="Malgun Gothic" w:hAnsi="Cambria Math" w:cs="Times New Roman"/>
          </w:rPr>
          <m:t xml:space="preserve"> </m:t>
        </m:r>
      </m:oMath>
      <w:r w:rsidR="00A66764" w:rsidRPr="009F313E">
        <w:rPr>
          <w:rFonts w:ascii="Times New Roman" w:eastAsia="Malgun Gothic" w:hAnsi="Times New Roman" w:cs="Times New Roman"/>
          <w:iCs/>
        </w:rPr>
        <w:t>i</w:t>
      </w:r>
      <w:r w:rsidR="00A66764" w:rsidRPr="009F313E">
        <w:rPr>
          <w:rFonts w:ascii="Times New Roman" w:eastAsia="Malgun Gothic" w:hAnsi="Times New Roman" w:cs="Times New Roman"/>
        </w:rPr>
        <w:t xml:space="preserve">s a vector containing the variables of interest </w:t>
      </w:r>
      <w:r w:rsidR="009F660D" w:rsidRPr="009F660D">
        <w:rPr>
          <w:rFonts w:ascii="Times New Roman" w:eastAsia="Malgun Gothic" w:hAnsi="Times New Roman" w:cs="Times New Roman"/>
        </w:rPr>
        <w:t xml:space="preserve">for district </w:t>
      </w:r>
      <m:oMath>
        <m:r>
          <w:rPr>
            <w:rFonts w:ascii="Cambria Math" w:eastAsia="Malgun Gothic" w:hAnsi="Cambria Math" w:cs="Times New Roman"/>
          </w:rPr>
          <m:t>i</m:t>
        </m:r>
      </m:oMath>
      <w:r w:rsidR="009F660D" w:rsidRPr="009F660D">
        <w:rPr>
          <w:rFonts w:ascii="Times New Roman" w:eastAsia="Malgun Gothic" w:hAnsi="Times New Roman" w:cs="Times New Roman"/>
        </w:rPr>
        <w:t xml:space="preserve"> </w:t>
      </w:r>
      <w:r w:rsidR="00A66764" w:rsidRPr="009F313E">
        <w:rPr>
          <w:rFonts w:ascii="Times New Roman" w:eastAsia="Malgun Gothic" w:hAnsi="Times New Roman" w:cs="Times New Roman"/>
        </w:rPr>
        <w:t>at time t (e.g., COVID-19 incidences, mobility, and policy measures)</w:t>
      </w:r>
    </w:p>
    <w:p w14:paraId="3E9810A2" w14:textId="0E329035" w:rsidR="00A66764" w:rsidRDefault="00000000" w:rsidP="00A66764">
      <w:pPr>
        <w:pStyle w:val="a9"/>
        <w:widowControl/>
        <w:numPr>
          <w:ilvl w:val="0"/>
          <w:numId w:val="1"/>
        </w:numPr>
        <w:spacing w:line="276" w:lineRule="auto"/>
        <w:jc w:val="left"/>
        <w:rPr>
          <w:rFonts w:ascii="Times New Roman" w:eastAsia="Malgun Gothic" w:hAnsi="Times New Roman" w:cs="Times New Roman"/>
        </w:rPr>
      </w:pPr>
      <m:oMath>
        <m:sSub>
          <m:sSubPr>
            <m:ctrlPr>
              <w:rPr>
                <w:rFonts w:ascii="Cambria Math" w:eastAsia="Malgun Gothic" w:hAnsi="Cambria Math" w:cs="Times New Roman"/>
                <w:i/>
                <w:iCs/>
              </w:rPr>
            </m:ctrlPr>
          </m:sSubPr>
          <m:e>
            <m:r>
              <w:rPr>
                <w:rFonts w:ascii="Cambria Math" w:eastAsia="Malgun Gothic" w:hAnsi="Cambria Math" w:cs="Times New Roman"/>
              </w:rPr>
              <m:t>A</m:t>
            </m:r>
          </m:e>
          <m:sub>
            <m:r>
              <w:rPr>
                <w:rFonts w:ascii="Cambria Math" w:eastAsia="Malgun Gothic" w:hAnsi="Cambria Math" w:cs="Times New Roman"/>
              </w:rPr>
              <m:t>i,</m:t>
            </m:r>
            <m:r>
              <w:rPr>
                <w:rFonts w:ascii="Cambria Math" w:eastAsia="Malgun Gothic" w:hAnsi="Cambria Math" w:cs="Times New Roman"/>
              </w:rPr>
              <m:t>1</m:t>
            </m:r>
          </m:sub>
        </m:sSub>
      </m:oMath>
      <w:r w:rsidR="00A66764" w:rsidRPr="00A555B1">
        <w:rPr>
          <w:rFonts w:ascii="Times New Roman" w:eastAsia="Malgun Gothic" w:hAnsi="Times New Roman" w:cs="Times New Roman"/>
        </w:rPr>
        <w:t xml:space="preserve">​ and </w:t>
      </w:r>
      <m:oMath>
        <m:sSub>
          <m:sSubPr>
            <m:ctrlPr>
              <w:rPr>
                <w:rFonts w:ascii="Cambria Math" w:eastAsia="Malgun Gothic" w:hAnsi="Cambria Math" w:cs="Times New Roman"/>
                <w:i/>
                <w:iCs/>
              </w:rPr>
            </m:ctrlPr>
          </m:sSubPr>
          <m:e>
            <m:r>
              <w:rPr>
                <w:rFonts w:ascii="Cambria Math" w:eastAsia="Malgun Gothic" w:hAnsi="Cambria Math" w:cs="Times New Roman"/>
              </w:rPr>
              <m:t>A</m:t>
            </m:r>
          </m:e>
          <m:sub>
            <m:r>
              <w:rPr>
                <w:rFonts w:ascii="Cambria Math" w:eastAsia="Malgun Gothic" w:hAnsi="Cambria Math" w:cs="Times New Roman"/>
              </w:rPr>
              <m:t>i,</m:t>
            </m:r>
            <m:r>
              <w:rPr>
                <w:rFonts w:ascii="Cambria Math" w:eastAsia="Malgun Gothic" w:hAnsi="Cambria Math" w:cs="Times New Roman"/>
              </w:rPr>
              <m:t>2</m:t>
            </m:r>
          </m:sub>
        </m:sSub>
      </m:oMath>
      <w:r w:rsidR="00A66764" w:rsidRPr="00A555B1">
        <w:rPr>
          <w:rFonts w:ascii="Times New Roman" w:eastAsia="Malgun Gothic" w:hAnsi="Times New Roman" w:cs="Times New Roman"/>
        </w:rPr>
        <w:t xml:space="preserve"> are coefficient matrices </w:t>
      </w:r>
      <w:r w:rsidR="009F660D" w:rsidRPr="009F660D">
        <w:rPr>
          <w:rFonts w:ascii="Times New Roman" w:eastAsia="Malgun Gothic" w:hAnsi="Times New Roman" w:cs="Times New Roman"/>
        </w:rPr>
        <w:t xml:space="preserve">for district </w:t>
      </w:r>
      <m:oMath>
        <m:r>
          <w:rPr>
            <w:rFonts w:ascii="Cambria Math" w:eastAsia="Malgun Gothic" w:hAnsi="Cambria Math" w:cs="Times New Roman"/>
          </w:rPr>
          <m:t>i</m:t>
        </m:r>
      </m:oMath>
      <w:r w:rsidR="009F660D">
        <w:rPr>
          <w:rFonts w:ascii="Times New Roman" w:eastAsia="Malgun Gothic" w:hAnsi="Times New Roman" w:cs="Times New Roman"/>
        </w:rPr>
        <w:t>,</w:t>
      </w:r>
      <w:r w:rsidR="009F660D" w:rsidRPr="009F660D">
        <w:rPr>
          <w:rFonts w:ascii="Times New Roman" w:eastAsia="Malgun Gothic" w:hAnsi="Times New Roman" w:cs="Times New Roman"/>
        </w:rPr>
        <w:t xml:space="preserve"> </w:t>
      </w:r>
      <w:r w:rsidR="00A66764" w:rsidRPr="00A555B1">
        <w:rPr>
          <w:rFonts w:ascii="Times New Roman" w:eastAsia="Malgun Gothic" w:hAnsi="Times New Roman" w:cs="Times New Roman"/>
        </w:rPr>
        <w:t>captur</w:t>
      </w:r>
      <w:r w:rsidR="009F660D">
        <w:rPr>
          <w:rFonts w:ascii="Times New Roman" w:eastAsia="Malgun Gothic" w:hAnsi="Times New Roman" w:cs="Times New Roman"/>
        </w:rPr>
        <w:t>ing</w:t>
      </w:r>
      <w:r w:rsidR="00A66764" w:rsidRPr="00A555B1">
        <w:rPr>
          <w:rFonts w:ascii="Times New Roman" w:eastAsia="Malgun Gothic" w:hAnsi="Times New Roman" w:cs="Times New Roman"/>
        </w:rPr>
        <w:t xml:space="preserve"> the influence of past values of the endogenous variables on their current values.</w:t>
      </w:r>
    </w:p>
    <w:p w14:paraId="6AC2E7FF" w14:textId="1B38312E" w:rsidR="00A66764" w:rsidRDefault="00000000" w:rsidP="00A66764">
      <w:pPr>
        <w:pStyle w:val="a9"/>
        <w:widowControl/>
        <w:numPr>
          <w:ilvl w:val="0"/>
          <w:numId w:val="1"/>
        </w:numPr>
        <w:spacing w:line="276" w:lineRule="auto"/>
        <w:jc w:val="left"/>
        <w:rPr>
          <w:rFonts w:ascii="Times New Roman" w:eastAsia="Malgun Gothic" w:hAnsi="Times New Roman" w:cs="Times New Roman"/>
        </w:rPr>
      </w:pPr>
      <m:oMath>
        <m:sSub>
          <m:sSubPr>
            <m:ctrlPr>
              <w:rPr>
                <w:rFonts w:ascii="Cambria Math" w:eastAsia="Malgun Gothic" w:hAnsi="Cambria Math" w:cs="Times New Roman"/>
                <w:i/>
              </w:rPr>
            </m:ctrlPr>
          </m:sSubPr>
          <m:e>
            <m:r>
              <w:rPr>
                <w:rFonts w:ascii="Cambria Math" w:eastAsia="Malgun Gothic" w:hAnsi="Cambria Math" w:cs="Times New Roman"/>
              </w:rPr>
              <m:t>X</m:t>
            </m:r>
          </m:e>
          <m:sub>
            <m:r>
              <w:rPr>
                <w:rFonts w:ascii="Cambria Math" w:eastAsia="Malgun Gothic" w:hAnsi="Cambria Math" w:cs="Times New Roman"/>
              </w:rPr>
              <m:t>i,</m:t>
            </m:r>
            <m:r>
              <w:rPr>
                <w:rFonts w:ascii="Cambria Math" w:eastAsia="Malgun Gothic" w:hAnsi="Cambria Math" w:cs="Times New Roman"/>
              </w:rPr>
              <m:t>t</m:t>
            </m:r>
          </m:sub>
        </m:sSub>
        <m:r>
          <w:rPr>
            <w:rFonts w:ascii="Cambria Math" w:eastAsia="Malgun Gothic" w:hAnsi="Cambria Math" w:cs="Times New Roman"/>
          </w:rPr>
          <m:t xml:space="preserve"> </m:t>
        </m:r>
      </m:oMath>
      <w:r w:rsidR="00A66764" w:rsidRPr="00A555B1">
        <w:rPr>
          <w:rFonts w:ascii="Times New Roman" w:eastAsia="Malgun Gothic" w:hAnsi="Times New Roman" w:cs="Times New Roman"/>
        </w:rPr>
        <w:t>is a vector of exogenous variables (e.g., vaccination rates)</w:t>
      </w:r>
      <w:r w:rsidR="009F660D">
        <w:rPr>
          <w:rFonts w:ascii="Times New Roman" w:eastAsia="Malgun Gothic" w:hAnsi="Times New Roman" w:cs="Times New Roman"/>
        </w:rPr>
        <w:t xml:space="preserve"> </w:t>
      </w:r>
      <w:r w:rsidR="009F660D" w:rsidRPr="009F660D">
        <w:rPr>
          <w:rFonts w:ascii="Times New Roman" w:eastAsia="Malgun Gothic" w:hAnsi="Times New Roman" w:cs="Times New Roman"/>
        </w:rPr>
        <w:t xml:space="preserve">for district </w:t>
      </w:r>
      <m:oMath>
        <m:r>
          <w:rPr>
            <w:rFonts w:ascii="Cambria Math" w:eastAsia="Malgun Gothic" w:hAnsi="Cambria Math" w:cs="Times New Roman"/>
          </w:rPr>
          <m:t>i</m:t>
        </m:r>
      </m:oMath>
      <w:r w:rsidR="009F660D">
        <w:rPr>
          <w:rFonts w:ascii="Times New Roman" w:eastAsia="Malgun Gothic" w:hAnsi="Times New Roman" w:cs="Times New Roman"/>
        </w:rPr>
        <w:t>,</w:t>
      </w:r>
      <w:r w:rsidR="00A66764" w:rsidRPr="00A555B1">
        <w:rPr>
          <w:rFonts w:ascii="Times New Roman" w:eastAsia="Malgun Gothic" w:hAnsi="Times New Roman" w:cs="Times New Roman"/>
        </w:rPr>
        <w:t xml:space="preserve"> </w:t>
      </w:r>
      <w:r w:rsidR="009F660D">
        <w:rPr>
          <w:rFonts w:ascii="Times New Roman" w:eastAsia="Malgun Gothic" w:hAnsi="Times New Roman" w:cs="Times New Roman"/>
        </w:rPr>
        <w:t>which</w:t>
      </w:r>
      <w:r w:rsidR="00A66764" w:rsidRPr="00A555B1">
        <w:rPr>
          <w:rFonts w:ascii="Times New Roman" w:eastAsia="Malgun Gothic" w:hAnsi="Times New Roman" w:cs="Times New Roman"/>
        </w:rPr>
        <w:t xml:space="preserve"> influence the endogenous variables but are not influenced by them.</w:t>
      </w:r>
    </w:p>
    <w:p w14:paraId="524B16F9" w14:textId="5EBEA34F" w:rsidR="00A66764" w:rsidRDefault="009F660D" w:rsidP="00A66764">
      <w:pPr>
        <w:pStyle w:val="a9"/>
        <w:widowControl/>
        <w:numPr>
          <w:ilvl w:val="0"/>
          <w:numId w:val="1"/>
        </w:numPr>
        <w:spacing w:line="276" w:lineRule="auto"/>
        <w:jc w:val="left"/>
        <w:rPr>
          <w:rFonts w:ascii="Times New Roman" w:eastAsia="Malgun Gothic" w:hAnsi="Times New Roman" w:cs="Times New Roman"/>
        </w:rPr>
      </w:pPr>
      <m:oMath>
        <m:sSub>
          <m:sSubPr>
            <m:ctrlPr>
              <w:rPr>
                <w:rFonts w:ascii="Cambria Math" w:eastAsia="Malgun Gothic" w:hAnsi="Cambria Math" w:cs="Times New Roman"/>
                <w:i/>
              </w:rPr>
            </m:ctrlPr>
          </m:sSubPr>
          <m:e>
            <m:r>
              <w:rPr>
                <w:rFonts w:ascii="Cambria Math" w:eastAsia="Malgun Gothic" w:hAnsi="Cambria Math" w:cs="Times New Roman"/>
              </w:rPr>
              <m:t>B</m:t>
            </m:r>
          </m:e>
          <m:sub>
            <m:r>
              <w:rPr>
                <w:rFonts w:ascii="Cambria Math" w:eastAsia="Malgun Gothic" w:hAnsi="Cambria Math" w:cs="Times New Roman"/>
              </w:rPr>
              <m:t>i</m:t>
            </m:r>
          </m:sub>
        </m:sSub>
      </m:oMath>
      <w:r w:rsidR="00A66764">
        <w:rPr>
          <w:rFonts w:ascii="Times New Roman" w:eastAsia="Malgun Gothic" w:hAnsi="Times New Roman" w:cs="Times New Roman"/>
        </w:rPr>
        <w:t xml:space="preserve"> </w:t>
      </w:r>
      <w:r w:rsidR="00A66764" w:rsidRPr="00A555B1">
        <w:rPr>
          <w:rFonts w:ascii="Times New Roman" w:eastAsia="Malgun Gothic" w:hAnsi="Times New Roman" w:cs="Times New Roman"/>
        </w:rPr>
        <w:t xml:space="preserve">is the coefficient matrix associated with the exogenous variables </w:t>
      </w:r>
      <m:oMath>
        <m:sSub>
          <m:sSubPr>
            <m:ctrlPr>
              <w:rPr>
                <w:rFonts w:ascii="Cambria Math" w:eastAsia="Malgun Gothic" w:hAnsi="Cambria Math" w:cs="Times New Roman"/>
                <w:i/>
              </w:rPr>
            </m:ctrlPr>
          </m:sSubPr>
          <m:e>
            <m:r>
              <w:rPr>
                <w:rFonts w:ascii="Cambria Math" w:eastAsia="Malgun Gothic" w:hAnsi="Cambria Math" w:cs="Times New Roman"/>
              </w:rPr>
              <m:t>X</m:t>
            </m:r>
          </m:e>
          <m:sub>
            <m:r>
              <w:rPr>
                <w:rFonts w:ascii="Cambria Math" w:eastAsia="Malgun Gothic" w:hAnsi="Cambria Math" w:cs="Times New Roman"/>
              </w:rPr>
              <m:t>i,</m:t>
            </m:r>
            <m:r>
              <w:rPr>
                <w:rFonts w:ascii="Cambria Math" w:eastAsia="Malgun Gothic" w:hAnsi="Cambria Math" w:cs="Times New Roman"/>
              </w:rPr>
              <m:t>t</m:t>
            </m:r>
          </m:sub>
        </m:sSub>
      </m:oMath>
      <w:r>
        <w:rPr>
          <w:rFonts w:ascii="Times New Roman" w:eastAsia="Malgun Gothic" w:hAnsi="Times New Roman" w:cs="Times New Roman"/>
        </w:rPr>
        <w:t xml:space="preserve"> </w:t>
      </w:r>
      <w:r w:rsidRPr="009F660D">
        <w:rPr>
          <w:rFonts w:ascii="Times New Roman" w:eastAsia="Malgun Gothic" w:hAnsi="Times New Roman" w:cs="Times New Roman"/>
        </w:rPr>
        <w:t xml:space="preserve">for district </w:t>
      </w:r>
      <m:oMath>
        <m:r>
          <w:rPr>
            <w:rFonts w:ascii="Cambria Math" w:eastAsia="Malgun Gothic" w:hAnsi="Cambria Math" w:cs="Times New Roman"/>
          </w:rPr>
          <m:t>i</m:t>
        </m:r>
      </m:oMath>
      <w:r w:rsidR="00A66764">
        <w:rPr>
          <w:rFonts w:ascii="Times New Roman" w:eastAsia="Malgun Gothic" w:hAnsi="Times New Roman" w:cs="Times New Roman"/>
        </w:rPr>
        <w:t>.</w:t>
      </w:r>
    </w:p>
    <w:p w14:paraId="25BD3988" w14:textId="1269D4A2" w:rsidR="00A66764" w:rsidRPr="00A555B1" w:rsidRDefault="00000000" w:rsidP="00A66764">
      <w:pPr>
        <w:pStyle w:val="a9"/>
        <w:widowControl/>
        <w:numPr>
          <w:ilvl w:val="0"/>
          <w:numId w:val="1"/>
        </w:numPr>
        <w:spacing w:line="276" w:lineRule="auto"/>
        <w:jc w:val="left"/>
        <w:rPr>
          <w:rFonts w:ascii="Times New Roman" w:eastAsia="Malgun Gothic" w:hAnsi="Times New Roman" w:cs="Times New Roman"/>
        </w:rPr>
      </w:pPr>
      <m:oMath>
        <m:sSub>
          <m:sSubPr>
            <m:ctrlPr>
              <w:rPr>
                <w:rFonts w:ascii="Cambria Math" w:eastAsia="Malgun Gothic" w:hAnsi="Cambria Math" w:cs="Times New Roman"/>
                <w:i/>
                <w:iCs/>
              </w:rPr>
            </m:ctrlPr>
          </m:sSubPr>
          <m:e>
            <m:r>
              <w:rPr>
                <w:rFonts w:ascii="Cambria Math" w:eastAsia="Malgun Gothic" w:hAnsi="Cambria Math" w:cs="Times New Roman"/>
              </w:rPr>
              <m:t>ε</m:t>
            </m:r>
          </m:e>
          <m:sub>
            <m:r>
              <w:rPr>
                <w:rFonts w:ascii="Cambria Math" w:eastAsia="Malgun Gothic" w:hAnsi="Cambria Math" w:cs="Times New Roman"/>
              </w:rPr>
              <m:t>i,</m:t>
            </m:r>
            <m:r>
              <w:rPr>
                <w:rFonts w:ascii="Cambria Math" w:eastAsia="Malgun Gothic" w:hAnsi="Cambria Math" w:cs="Times New Roman"/>
              </w:rPr>
              <m:t>t</m:t>
            </m:r>
          </m:sub>
        </m:sSub>
      </m:oMath>
      <w:r w:rsidR="00A66764" w:rsidRPr="00A555B1">
        <w:rPr>
          <w:rFonts w:ascii="Times New Roman" w:eastAsia="Malgun Gothic" w:hAnsi="Times New Roman" w:cs="Times New Roman"/>
          <w:iCs/>
        </w:rPr>
        <w:t xml:space="preserve"> represents the error terms</w:t>
      </w:r>
      <w:r w:rsidR="009F660D">
        <w:rPr>
          <w:rFonts w:ascii="Times New Roman" w:eastAsia="Malgun Gothic" w:hAnsi="Times New Roman" w:cs="Times New Roman"/>
          <w:iCs/>
        </w:rPr>
        <w:t xml:space="preserve"> </w:t>
      </w:r>
      <w:r w:rsidR="009F660D" w:rsidRPr="009F660D">
        <w:rPr>
          <w:rFonts w:ascii="Times New Roman" w:eastAsia="Malgun Gothic" w:hAnsi="Times New Roman" w:cs="Times New Roman"/>
        </w:rPr>
        <w:t xml:space="preserve">for district </w:t>
      </w:r>
      <m:oMath>
        <m:r>
          <w:rPr>
            <w:rFonts w:ascii="Cambria Math" w:eastAsia="Malgun Gothic" w:hAnsi="Cambria Math" w:cs="Times New Roman"/>
          </w:rPr>
          <m:t>i</m:t>
        </m:r>
      </m:oMath>
      <w:r w:rsidR="00A66764" w:rsidRPr="00A555B1">
        <w:rPr>
          <w:rFonts w:ascii="Times New Roman" w:eastAsia="Malgun Gothic" w:hAnsi="Times New Roman" w:cs="Times New Roman"/>
          <w:iCs/>
        </w:rPr>
        <w:t>, assumed to be white noise.</w:t>
      </w:r>
    </w:p>
    <w:p w14:paraId="0A6C7223" w14:textId="7D6365EE" w:rsidR="009F660D" w:rsidRPr="009F313E" w:rsidRDefault="009F660D" w:rsidP="00A66764">
      <w:pPr>
        <w:spacing w:line="276" w:lineRule="auto"/>
        <w:rPr>
          <w:rFonts w:ascii="Times New Roman" w:eastAsia="Malgun Gothic" w:hAnsi="Times New Roman" w:cs="Times New Roman"/>
          <w:lang w:eastAsia="ko-KR"/>
        </w:rPr>
      </w:pPr>
      <w:r w:rsidRPr="009F660D">
        <w:rPr>
          <w:rFonts w:ascii="Times New Roman" w:eastAsia="Malgun Gothic" w:hAnsi="Times New Roman" w:cs="Times New Roman"/>
          <w:lang w:eastAsia="ko-KR"/>
        </w:rPr>
        <w:t>A root test was performed to ensure the stationarity of each time series dataset used in these models, with detailed results provided in the Appendix.</w:t>
      </w:r>
    </w:p>
    <w:p w14:paraId="3E106F66" w14:textId="77777777" w:rsidR="00A66764" w:rsidRPr="009F313E" w:rsidRDefault="00A66764" w:rsidP="00A66764">
      <w:pPr>
        <w:spacing w:line="276" w:lineRule="auto"/>
        <w:rPr>
          <w:rFonts w:ascii="Times New Roman" w:eastAsia="Malgun Gothic" w:hAnsi="Times New Roman" w:cs="Times New Roman"/>
        </w:rPr>
      </w:pPr>
    </w:p>
    <w:p w14:paraId="178E73B9" w14:textId="77777777" w:rsidR="00A66764" w:rsidRPr="007E6EC0" w:rsidRDefault="00A66764" w:rsidP="00A66764">
      <w:pPr>
        <w:spacing w:line="276" w:lineRule="auto"/>
        <w:rPr>
          <w:rFonts w:ascii="Times New Roman" w:eastAsia="Malgun Gothic" w:hAnsi="Times New Roman" w:cs="Times New Roman"/>
          <w:b/>
          <w:bCs/>
          <w:sz w:val="18"/>
          <w:szCs w:val="18"/>
          <w:lang w:eastAsia="ko-KR"/>
        </w:rPr>
      </w:pPr>
      <w:r w:rsidRPr="007E6EC0">
        <w:rPr>
          <w:rFonts w:ascii="Times New Roman" w:eastAsia="Malgun Gothic" w:hAnsi="Times New Roman" w:cs="Times New Roman"/>
          <w:b/>
          <w:bCs/>
          <w:sz w:val="18"/>
          <w:szCs w:val="18"/>
          <w:lang w:eastAsia="ko-KR"/>
        </w:rPr>
        <w:t>Impulse Response Functions (IRFs).</w:t>
      </w:r>
    </w:p>
    <w:p w14:paraId="26ADDC66" w14:textId="77777777" w:rsidR="00692C63" w:rsidRDefault="00A66764" w:rsidP="00A66764">
      <w:pPr>
        <w:spacing w:line="276" w:lineRule="auto"/>
        <w:rPr>
          <w:rFonts w:ascii="Times New Roman" w:eastAsia="Malgun Gothic" w:hAnsi="Times New Roman" w:cs="Times New Roman"/>
        </w:rPr>
      </w:pPr>
      <w:r w:rsidRPr="00A555B1">
        <w:rPr>
          <w:rFonts w:ascii="Times New Roman" w:eastAsia="Malgun Gothic" w:hAnsi="Times New Roman" w:cs="Times New Roman"/>
          <w:lang w:eastAsia="ko-KR"/>
        </w:rPr>
        <w:t xml:space="preserve">To interpret the </w:t>
      </w:r>
      <w:r w:rsidR="009F660D">
        <w:rPr>
          <w:rFonts w:ascii="Times New Roman" w:eastAsia="Malgun Gothic" w:hAnsi="Times New Roman" w:cs="Times New Roman" w:hint="eastAsia"/>
        </w:rPr>
        <w:t>result</w:t>
      </w:r>
      <w:r w:rsidR="009F660D">
        <w:rPr>
          <w:rFonts w:ascii="Times New Roman" w:eastAsia="Malgun Gothic" w:hAnsi="Times New Roman" w:cs="Times New Roman"/>
        </w:rPr>
        <w:t xml:space="preserve">s of the citywide </w:t>
      </w:r>
      <w:r w:rsidRPr="00A555B1">
        <w:rPr>
          <w:rFonts w:ascii="Times New Roman" w:eastAsia="Malgun Gothic" w:hAnsi="Times New Roman" w:cs="Times New Roman"/>
          <w:lang w:eastAsia="ko-KR"/>
        </w:rPr>
        <w:t xml:space="preserve">VARX model, we utilized Impulse Response Functions (IRFs). IRFs </w:t>
      </w:r>
      <w:r w:rsidR="00692C63">
        <w:rPr>
          <w:rFonts w:ascii="Times New Roman" w:eastAsia="Malgun Gothic" w:hAnsi="Times New Roman" w:cs="Times New Roman"/>
          <w:lang w:eastAsia="ko-KR"/>
        </w:rPr>
        <w:t>allow us</w:t>
      </w:r>
      <w:r w:rsidRPr="00A555B1">
        <w:rPr>
          <w:rFonts w:ascii="Times New Roman" w:eastAsia="Malgun Gothic" w:hAnsi="Times New Roman" w:cs="Times New Roman"/>
          <w:lang w:eastAsia="ko-KR"/>
        </w:rPr>
        <w:t xml:space="preserve"> to analyze how a shock to any one variable (e.g., a sudden increase in COVID-19 incidences, changes</w:t>
      </w:r>
      <w:r w:rsidR="00692C63">
        <w:rPr>
          <w:rFonts w:ascii="Times New Roman" w:eastAsia="Malgun Gothic" w:hAnsi="Times New Roman" w:cs="Times New Roman"/>
          <w:lang w:eastAsia="ko-KR"/>
        </w:rPr>
        <w:t xml:space="preserve"> in </w:t>
      </w:r>
      <w:r w:rsidR="00692C63" w:rsidRPr="00A555B1">
        <w:rPr>
          <w:rFonts w:ascii="Times New Roman" w:eastAsia="Malgun Gothic" w:hAnsi="Times New Roman" w:cs="Times New Roman"/>
          <w:lang w:eastAsia="ko-KR"/>
        </w:rPr>
        <w:t>mobility</w:t>
      </w:r>
      <w:r w:rsidRPr="00A555B1">
        <w:rPr>
          <w:rFonts w:ascii="Times New Roman" w:eastAsia="Malgun Gothic" w:hAnsi="Times New Roman" w:cs="Times New Roman"/>
          <w:lang w:eastAsia="ko-KR"/>
        </w:rPr>
        <w:t xml:space="preserve">, or </w:t>
      </w:r>
      <w:r w:rsidR="00692C63">
        <w:rPr>
          <w:rFonts w:ascii="Times New Roman" w:eastAsia="Malgun Gothic" w:hAnsi="Times New Roman" w:cs="Times New Roman"/>
          <w:lang w:eastAsia="ko-KR"/>
        </w:rPr>
        <w:t xml:space="preserve">shifts in </w:t>
      </w:r>
      <w:r w:rsidRPr="00A555B1">
        <w:rPr>
          <w:rFonts w:ascii="Times New Roman" w:eastAsia="Malgun Gothic" w:hAnsi="Times New Roman" w:cs="Times New Roman"/>
          <w:lang w:eastAsia="ko-KR"/>
        </w:rPr>
        <w:t xml:space="preserve">policy stringency) impacts the other variables over time. This approach allows us to examine </w:t>
      </w:r>
      <w:r w:rsidR="00692C63">
        <w:rPr>
          <w:rFonts w:ascii="Times New Roman" w:eastAsia="Malgun Gothic" w:hAnsi="Times New Roman" w:cs="Times New Roman"/>
          <w:lang w:eastAsia="ko-KR"/>
        </w:rPr>
        <w:t xml:space="preserve">both </w:t>
      </w:r>
      <w:r w:rsidRPr="00A555B1">
        <w:rPr>
          <w:rFonts w:ascii="Times New Roman" w:eastAsia="Malgun Gothic" w:hAnsi="Times New Roman" w:cs="Times New Roman"/>
          <w:lang w:eastAsia="ko-KR"/>
        </w:rPr>
        <w:t xml:space="preserve">the immediate and lagged effects </w:t>
      </w:r>
      <w:r w:rsidR="00692C63">
        <w:rPr>
          <w:rFonts w:ascii="Times New Roman" w:eastAsia="Malgun Gothic" w:hAnsi="Times New Roman" w:cs="Times New Roman"/>
          <w:lang w:eastAsia="ko-KR"/>
        </w:rPr>
        <w:t>among</w:t>
      </w:r>
      <w:r w:rsidRPr="00A555B1">
        <w:rPr>
          <w:rFonts w:ascii="Times New Roman" w:eastAsia="Malgun Gothic" w:hAnsi="Times New Roman" w:cs="Times New Roman"/>
          <w:lang w:eastAsia="ko-KR"/>
        </w:rPr>
        <w:t xml:space="preserve"> these variables, providing a comprehensive understanding of their dynamic interrelationships within the system.</w:t>
      </w:r>
      <w:r>
        <w:rPr>
          <w:rFonts w:ascii="Times New Roman" w:eastAsia="Malgun Gothic" w:hAnsi="Times New Roman" w:cs="Times New Roman" w:hint="eastAsia"/>
        </w:rPr>
        <w:t xml:space="preserve"> </w:t>
      </w:r>
    </w:p>
    <w:p w14:paraId="7B50A7AD" w14:textId="77777777" w:rsidR="00692C63" w:rsidRDefault="00692C63" w:rsidP="00A66764">
      <w:pPr>
        <w:spacing w:line="276" w:lineRule="auto"/>
        <w:rPr>
          <w:rFonts w:ascii="Times New Roman" w:eastAsia="Malgun Gothic" w:hAnsi="Times New Roman" w:cs="Times New Roman"/>
        </w:rPr>
      </w:pPr>
    </w:p>
    <w:p w14:paraId="4EFA479D" w14:textId="76ECF3C4" w:rsidR="00A66764" w:rsidRPr="009F313E" w:rsidRDefault="00A66764" w:rsidP="00A66764">
      <w:pPr>
        <w:spacing w:line="276" w:lineRule="auto"/>
        <w:rPr>
          <w:rFonts w:ascii="Times New Roman" w:eastAsia="Malgun Gothic" w:hAnsi="Times New Roman" w:cs="Times New Roman"/>
        </w:rPr>
      </w:pPr>
      <w:r w:rsidRPr="009F313E">
        <w:rPr>
          <w:rFonts w:ascii="Times New Roman" w:eastAsia="Malgun Gothic" w:hAnsi="Times New Roman" w:cs="Times New Roman"/>
        </w:rPr>
        <w:t>The mathematical representation of the IRFs is given as follow:</w:t>
      </w:r>
    </w:p>
    <w:p w14:paraId="729A2FD8" w14:textId="77777777" w:rsidR="00A66764" w:rsidRPr="009F313E" w:rsidRDefault="00A66764" w:rsidP="00A66764">
      <w:pPr>
        <w:spacing w:line="276" w:lineRule="auto"/>
        <w:rPr>
          <w:rFonts w:ascii="Times New Roman" w:eastAsia="Malgun Gothic" w:hAnsi="Times New Roman" w:cs="Times New Roman"/>
        </w:rPr>
      </w:pPr>
      <m:oMathPara>
        <m:oMath>
          <m:r>
            <w:rPr>
              <w:rFonts w:ascii="Cambria Math" w:eastAsia="Malgun Gothic" w:hAnsi="Cambria Math" w:cs="Times New Roman"/>
            </w:rPr>
            <m:t>IR</m:t>
          </m:r>
          <m:sSub>
            <m:sSubPr>
              <m:ctrlPr>
                <w:rPr>
                  <w:rFonts w:ascii="Cambria Math" w:eastAsia="Malgun Gothic" w:hAnsi="Cambria Math" w:cs="Times New Roman"/>
                  <w:i/>
                </w:rPr>
              </m:ctrlPr>
            </m:sSubPr>
            <m:e>
              <m:r>
                <w:rPr>
                  <w:rFonts w:ascii="Cambria Math" w:eastAsia="Malgun Gothic" w:hAnsi="Cambria Math" w:cs="Times New Roman"/>
                </w:rPr>
                <m:t>F</m:t>
              </m:r>
            </m:e>
            <m:sub>
              <m:r>
                <w:rPr>
                  <w:rFonts w:ascii="Cambria Math" w:eastAsia="Malgun Gothic" w:hAnsi="Cambria Math" w:cs="Times New Roman"/>
                </w:rPr>
                <m:t>y</m:t>
              </m:r>
            </m:sub>
          </m:sSub>
          <m:d>
            <m:dPr>
              <m:ctrlPr>
                <w:rPr>
                  <w:rFonts w:ascii="Cambria Math" w:eastAsia="Malgun Gothic" w:hAnsi="Cambria Math" w:cs="Times New Roman"/>
                  <w:i/>
                </w:rPr>
              </m:ctrlPr>
            </m:dPr>
            <m:e>
              <m:r>
                <w:rPr>
                  <w:rFonts w:ascii="Cambria Math" w:eastAsia="Malgun Gothic" w:hAnsi="Cambria Math" w:cs="Times New Roman"/>
                </w:rPr>
                <m:t>k,</m:t>
              </m:r>
              <m:sSub>
                <m:sSubPr>
                  <m:ctrlPr>
                    <w:rPr>
                      <w:rFonts w:ascii="Cambria Math" w:eastAsia="Malgun Gothic" w:hAnsi="Cambria Math" w:cs="Times New Roman"/>
                    </w:rPr>
                  </m:ctrlPr>
                </m:sSubPr>
                <m:e>
                  <m:r>
                    <m:rPr>
                      <m:sty m:val="p"/>
                    </m:rPr>
                    <w:rPr>
                      <w:rFonts w:ascii="Cambria Math" w:eastAsia="Malgun Gothic" w:hAnsi="Cambria Math" w:cs="Times New Roman"/>
                    </w:rPr>
                    <m:t>Ω</m:t>
                  </m:r>
                </m:e>
                <m:sub>
                  <m:r>
                    <w:rPr>
                      <w:rFonts w:ascii="Cambria Math" w:eastAsia="Malgun Gothic" w:hAnsi="Cambria Math" w:cs="Times New Roman"/>
                    </w:rPr>
                    <m:t>t-1</m:t>
                  </m:r>
                </m:sub>
              </m:sSub>
              <m:r>
                <w:rPr>
                  <w:rFonts w:ascii="Cambria Math" w:eastAsia="Malgun Gothic" w:hAnsi="Cambria Math" w:cs="Times New Roman"/>
                </w:rPr>
                <m:t>,</m:t>
              </m:r>
              <m:sSub>
                <m:sSubPr>
                  <m:ctrlPr>
                    <w:rPr>
                      <w:rFonts w:ascii="Cambria Math" w:eastAsia="Malgun Gothic" w:hAnsi="Cambria Math" w:cs="Times New Roman"/>
                      <w:i/>
                    </w:rPr>
                  </m:ctrlPr>
                </m:sSubPr>
                <m:e>
                  <m:r>
                    <w:rPr>
                      <w:rFonts w:ascii="Cambria Math" w:eastAsia="Malgun Gothic" w:hAnsi="Cambria Math" w:cs="Times New Roman"/>
                    </w:rPr>
                    <m:t>ϵ</m:t>
                  </m:r>
                </m:e>
                <m:sub>
                  <m:r>
                    <w:rPr>
                      <w:rFonts w:ascii="Cambria Math" w:eastAsia="Malgun Gothic" w:hAnsi="Cambria Math" w:cs="Times New Roman"/>
                    </w:rPr>
                    <m:t>t</m:t>
                  </m:r>
                </m:sub>
              </m:sSub>
            </m:e>
          </m:d>
          <m:r>
            <w:rPr>
              <w:rFonts w:ascii="Cambria Math" w:eastAsia="Malgun Gothic" w:hAnsi="Cambria Math" w:cs="Times New Roman"/>
            </w:rPr>
            <m:t>=E</m:t>
          </m:r>
          <m:d>
            <m:dPr>
              <m:begChr m:val="["/>
              <m:endChr m:val="]"/>
              <m:ctrlPr>
                <w:rPr>
                  <w:rFonts w:ascii="Cambria Math" w:eastAsia="Malgun Gothic" w:hAnsi="Cambria Math" w:cs="Times New Roman"/>
                  <w:i/>
                </w:rPr>
              </m:ctrlPr>
            </m:dPr>
            <m:e>
              <m:sSub>
                <m:sSubPr>
                  <m:ctrlPr>
                    <w:rPr>
                      <w:rFonts w:ascii="Cambria Math" w:eastAsia="Malgun Gothic" w:hAnsi="Cambria Math" w:cs="Times New Roman"/>
                      <w:i/>
                    </w:rPr>
                  </m:ctrlPr>
                </m:sSubPr>
                <m:e>
                  <m:r>
                    <w:rPr>
                      <w:rFonts w:ascii="Cambria Math" w:eastAsia="Malgun Gothic" w:hAnsi="Cambria Math" w:cs="Times New Roman"/>
                    </w:rPr>
                    <m:t>y</m:t>
                  </m:r>
                </m:e>
                <m:sub>
                  <m:r>
                    <w:rPr>
                      <w:rFonts w:ascii="Cambria Math" w:eastAsia="Malgun Gothic" w:hAnsi="Cambria Math" w:cs="Times New Roman"/>
                    </w:rPr>
                    <m:t>t+k</m:t>
                  </m:r>
                </m:sub>
              </m:sSub>
            </m:e>
            <m:e>
              <m:sSub>
                <m:sSubPr>
                  <m:ctrlPr>
                    <w:rPr>
                      <w:rFonts w:ascii="Cambria Math" w:eastAsia="Malgun Gothic" w:hAnsi="Cambria Math" w:cs="Times New Roman"/>
                    </w:rPr>
                  </m:ctrlPr>
                </m:sSubPr>
                <m:e>
                  <m:r>
                    <m:rPr>
                      <m:sty m:val="p"/>
                    </m:rPr>
                    <w:rPr>
                      <w:rFonts w:ascii="Cambria Math" w:eastAsia="Malgun Gothic" w:hAnsi="Cambria Math" w:cs="Times New Roman"/>
                    </w:rPr>
                    <m:t>Ω</m:t>
                  </m:r>
                </m:e>
                <m:sub>
                  <m:r>
                    <w:rPr>
                      <w:rFonts w:ascii="Cambria Math" w:eastAsia="Malgun Gothic" w:hAnsi="Cambria Math" w:cs="Times New Roman"/>
                    </w:rPr>
                    <m:t>t-1</m:t>
                  </m:r>
                </m:sub>
              </m:sSub>
              <m:r>
                <w:rPr>
                  <w:rFonts w:ascii="Cambria Math" w:eastAsia="Malgun Gothic" w:hAnsi="Cambria Math" w:cs="Times New Roman"/>
                </w:rPr>
                <m:t>,</m:t>
              </m:r>
              <m:sSub>
                <m:sSubPr>
                  <m:ctrlPr>
                    <w:rPr>
                      <w:rFonts w:ascii="Cambria Math" w:eastAsia="Malgun Gothic" w:hAnsi="Cambria Math" w:cs="Times New Roman"/>
                      <w:i/>
                    </w:rPr>
                  </m:ctrlPr>
                </m:sSubPr>
                <m:e>
                  <m:r>
                    <w:rPr>
                      <w:rFonts w:ascii="Cambria Math" w:eastAsia="Malgun Gothic" w:hAnsi="Cambria Math" w:cs="Times New Roman"/>
                    </w:rPr>
                    <m:t>ϵ</m:t>
                  </m:r>
                </m:e>
                <m:sub>
                  <m:r>
                    <w:rPr>
                      <w:rFonts w:ascii="Cambria Math" w:eastAsia="Malgun Gothic" w:hAnsi="Cambria Math" w:cs="Times New Roman"/>
                    </w:rPr>
                    <m:t>t</m:t>
                  </m:r>
                </m:sub>
              </m:sSub>
            </m:e>
          </m:d>
          <m:r>
            <w:rPr>
              <w:rFonts w:ascii="Cambria Math" w:eastAsia="Malgun Gothic" w:hAnsi="Cambria Math" w:cs="Times New Roman"/>
            </w:rPr>
            <m:t>- E</m:t>
          </m:r>
          <m:d>
            <m:dPr>
              <m:begChr m:val="["/>
              <m:endChr m:val="]"/>
              <m:ctrlPr>
                <w:rPr>
                  <w:rFonts w:ascii="Cambria Math" w:eastAsia="Malgun Gothic" w:hAnsi="Cambria Math" w:cs="Times New Roman"/>
                  <w:i/>
                </w:rPr>
              </m:ctrlPr>
            </m:dPr>
            <m:e>
              <m:sSub>
                <m:sSubPr>
                  <m:ctrlPr>
                    <w:rPr>
                      <w:rFonts w:ascii="Cambria Math" w:eastAsia="Malgun Gothic" w:hAnsi="Cambria Math" w:cs="Times New Roman"/>
                      <w:i/>
                    </w:rPr>
                  </m:ctrlPr>
                </m:sSubPr>
                <m:e>
                  <m:r>
                    <w:rPr>
                      <w:rFonts w:ascii="Cambria Math" w:eastAsia="Malgun Gothic" w:hAnsi="Cambria Math" w:cs="Times New Roman"/>
                    </w:rPr>
                    <m:t>y</m:t>
                  </m:r>
                </m:e>
                <m:sub>
                  <m:r>
                    <w:rPr>
                      <w:rFonts w:ascii="Cambria Math" w:eastAsia="Malgun Gothic" w:hAnsi="Cambria Math" w:cs="Times New Roman"/>
                    </w:rPr>
                    <m:t>t+k</m:t>
                  </m:r>
                </m:sub>
              </m:sSub>
            </m:e>
            <m:e>
              <m:sSub>
                <m:sSubPr>
                  <m:ctrlPr>
                    <w:rPr>
                      <w:rFonts w:ascii="Cambria Math" w:eastAsia="Malgun Gothic" w:hAnsi="Cambria Math" w:cs="Times New Roman"/>
                    </w:rPr>
                  </m:ctrlPr>
                </m:sSubPr>
                <m:e>
                  <m:r>
                    <m:rPr>
                      <m:sty m:val="p"/>
                    </m:rPr>
                    <w:rPr>
                      <w:rFonts w:ascii="Cambria Math" w:eastAsia="Malgun Gothic" w:hAnsi="Cambria Math" w:cs="Times New Roman"/>
                    </w:rPr>
                    <m:t>Ω</m:t>
                  </m:r>
                </m:e>
                <m:sub>
                  <m:r>
                    <w:rPr>
                      <w:rFonts w:ascii="Cambria Math" w:eastAsia="Malgun Gothic" w:hAnsi="Cambria Math" w:cs="Times New Roman"/>
                    </w:rPr>
                    <m:t>t-1</m:t>
                  </m:r>
                </m:sub>
              </m:sSub>
            </m:e>
          </m:d>
        </m:oMath>
      </m:oMathPara>
    </w:p>
    <w:p w14:paraId="202A5B32" w14:textId="77777777" w:rsidR="00A66764" w:rsidRPr="009F313E" w:rsidRDefault="00A66764" w:rsidP="00A66764">
      <w:pPr>
        <w:spacing w:line="276" w:lineRule="auto"/>
        <w:rPr>
          <w:rFonts w:ascii="Times New Roman" w:eastAsia="Malgun Gothic" w:hAnsi="Times New Roman" w:cs="Times New Roman"/>
        </w:rPr>
      </w:pPr>
      <w:r w:rsidRPr="009F313E">
        <w:rPr>
          <w:rFonts w:ascii="Times New Roman" w:eastAsia="Malgun Gothic" w:hAnsi="Times New Roman" w:cs="Times New Roman"/>
        </w:rPr>
        <w:t>where:</w:t>
      </w:r>
    </w:p>
    <w:p w14:paraId="13F94C08" w14:textId="77777777" w:rsidR="00A66764" w:rsidRPr="009F313E" w:rsidRDefault="00000000" w:rsidP="00A66764">
      <w:pPr>
        <w:pStyle w:val="a9"/>
        <w:widowControl/>
        <w:numPr>
          <w:ilvl w:val="0"/>
          <w:numId w:val="2"/>
        </w:numPr>
        <w:spacing w:line="276" w:lineRule="auto"/>
        <w:jc w:val="left"/>
        <w:rPr>
          <w:rFonts w:ascii="Times New Roman" w:eastAsia="Malgun Gothic" w:hAnsi="Times New Roman" w:cs="Times New Roman"/>
        </w:rPr>
      </w:pPr>
      <m:oMath>
        <m:sSub>
          <m:sSubPr>
            <m:ctrlPr>
              <w:rPr>
                <w:rFonts w:ascii="Cambria Math" w:eastAsia="Malgun Gothic" w:hAnsi="Cambria Math" w:cs="Times New Roman"/>
                <w:i/>
              </w:rPr>
            </m:ctrlPr>
          </m:sSubPr>
          <m:e>
            <m:r>
              <w:rPr>
                <w:rFonts w:ascii="Cambria Math" w:eastAsia="Malgun Gothic" w:hAnsi="Cambria Math" w:cs="Times New Roman"/>
              </w:rPr>
              <m:t>y</m:t>
            </m:r>
          </m:e>
          <m:sub>
            <m:r>
              <w:rPr>
                <w:rFonts w:ascii="Cambria Math" w:eastAsia="Malgun Gothic" w:hAnsi="Cambria Math" w:cs="Times New Roman"/>
              </w:rPr>
              <m:t>t+k</m:t>
            </m:r>
          </m:sub>
        </m:sSub>
      </m:oMath>
      <w:r w:rsidR="00A66764" w:rsidRPr="009F313E">
        <w:rPr>
          <w:rFonts w:ascii="Times New Roman" w:eastAsia="Malgun Gothic" w:hAnsi="Times New Roman" w:cs="Times New Roman"/>
        </w:rPr>
        <w:t xml:space="preserve"> ​is the response variable at horizon </w:t>
      </w:r>
      <m:oMath>
        <m:r>
          <w:rPr>
            <w:rFonts w:ascii="Cambria Math" w:eastAsia="Malgun Gothic" w:hAnsi="Cambria Math" w:cs="Times New Roman"/>
          </w:rPr>
          <m:t>k</m:t>
        </m:r>
      </m:oMath>
      <w:r w:rsidR="00A66764" w:rsidRPr="009F313E">
        <w:rPr>
          <w:rFonts w:ascii="Times New Roman" w:eastAsia="Malgun Gothic" w:hAnsi="Times New Roman" w:cs="Times New Roman"/>
        </w:rPr>
        <w:t>.</w:t>
      </w:r>
    </w:p>
    <w:p w14:paraId="5DE69197" w14:textId="77777777" w:rsidR="00A66764" w:rsidRPr="00F60296" w:rsidRDefault="00000000" w:rsidP="00A66764">
      <w:pPr>
        <w:pStyle w:val="a9"/>
        <w:widowControl/>
        <w:numPr>
          <w:ilvl w:val="0"/>
          <w:numId w:val="2"/>
        </w:numPr>
        <w:spacing w:after="160" w:line="276" w:lineRule="auto"/>
        <w:jc w:val="left"/>
        <w:rPr>
          <w:rFonts w:ascii="Times New Roman" w:eastAsia="Malgun Gothic" w:hAnsi="Times New Roman" w:cs="Times New Roman"/>
        </w:rPr>
      </w:pPr>
      <m:oMath>
        <m:sSub>
          <m:sSubPr>
            <m:ctrlPr>
              <w:rPr>
                <w:rFonts w:ascii="Cambria Math" w:eastAsia="Malgun Gothic" w:hAnsi="Cambria Math" w:cs="Times New Roman"/>
              </w:rPr>
            </m:ctrlPr>
          </m:sSubPr>
          <m:e>
            <m:r>
              <m:rPr>
                <m:sty m:val="p"/>
              </m:rPr>
              <w:rPr>
                <w:rFonts w:ascii="Cambria Math" w:eastAsia="Malgun Gothic" w:hAnsi="Cambria Math" w:cs="Times New Roman"/>
              </w:rPr>
              <m:t>Ω</m:t>
            </m:r>
          </m:e>
          <m:sub>
            <m:r>
              <w:rPr>
                <w:rFonts w:ascii="Cambria Math" w:eastAsia="Malgun Gothic" w:hAnsi="Cambria Math" w:cs="Times New Roman"/>
              </w:rPr>
              <m:t>t-1</m:t>
            </m:r>
          </m:sub>
        </m:sSub>
      </m:oMath>
      <w:r w:rsidR="00A66764" w:rsidRPr="00F60296">
        <w:rPr>
          <w:rFonts w:ascii="Times New Roman" w:eastAsia="Malgun Gothic" w:hAnsi="Times New Roman" w:cs="Times New Roman"/>
        </w:rPr>
        <w:t xml:space="preserve">​ represents the information set before the shock at time </w:t>
      </w:r>
      <m:oMath>
        <m:r>
          <w:rPr>
            <w:rFonts w:ascii="Cambria Math" w:eastAsia="Malgun Gothic" w:hAnsi="Cambria Math" w:cs="Times New Roman"/>
          </w:rPr>
          <m:t>t</m:t>
        </m:r>
      </m:oMath>
      <w:r w:rsidR="00A66764" w:rsidRPr="00F60296">
        <w:rPr>
          <w:rFonts w:ascii="Times New Roman" w:eastAsia="Malgun Gothic" w:hAnsi="Times New Roman" w:cs="Times New Roman"/>
        </w:rPr>
        <w:t>.</w:t>
      </w:r>
    </w:p>
    <w:p w14:paraId="716C4104" w14:textId="77777777" w:rsidR="00A66764" w:rsidRPr="009F313E" w:rsidRDefault="00A66764" w:rsidP="00A66764">
      <w:pPr>
        <w:pStyle w:val="a9"/>
        <w:widowControl/>
        <w:numPr>
          <w:ilvl w:val="0"/>
          <w:numId w:val="2"/>
        </w:numPr>
        <w:spacing w:line="276" w:lineRule="auto"/>
        <w:jc w:val="left"/>
        <w:rPr>
          <w:rFonts w:ascii="Times New Roman" w:eastAsia="Malgun Gothic" w:hAnsi="Times New Roman" w:cs="Times New Roman"/>
        </w:rPr>
      </w:pPr>
      <w:r w:rsidRPr="009F313E">
        <w:rPr>
          <w:rFonts w:ascii="Times New Roman" w:eastAsia="Malgun Gothic" w:hAnsi="Times New Roman" w:cs="Times New Roman"/>
        </w:rPr>
        <w:lastRenderedPageBreak/>
        <w:t>​</w:t>
      </w:r>
      <m:oMath>
        <m:sSub>
          <m:sSubPr>
            <m:ctrlPr>
              <w:rPr>
                <w:rFonts w:ascii="Cambria Math" w:eastAsia="Malgun Gothic" w:hAnsi="Cambria Math" w:cs="Times New Roman"/>
                <w:i/>
              </w:rPr>
            </m:ctrlPr>
          </m:sSubPr>
          <m:e>
            <m:r>
              <w:rPr>
                <w:rFonts w:ascii="Cambria Math" w:eastAsia="Malgun Gothic" w:hAnsi="Cambria Math" w:cs="Times New Roman"/>
              </w:rPr>
              <m:t>ϵ</m:t>
            </m:r>
          </m:e>
          <m:sub>
            <m:r>
              <w:rPr>
                <w:rFonts w:ascii="Cambria Math" w:eastAsia="Malgun Gothic" w:hAnsi="Cambria Math" w:cs="Times New Roman"/>
              </w:rPr>
              <m:t>t</m:t>
            </m:r>
          </m:sub>
        </m:sSub>
      </m:oMath>
      <w:r w:rsidRPr="009F313E">
        <w:rPr>
          <w:rFonts w:ascii="Times New Roman" w:eastAsia="Malgun Gothic" w:hAnsi="Times New Roman" w:cs="Times New Roman"/>
        </w:rPr>
        <w:t xml:space="preserve"> is the shock applied to the impulse variable at time </w:t>
      </w:r>
      <m:oMath>
        <m:r>
          <w:rPr>
            <w:rFonts w:ascii="Cambria Math" w:eastAsia="Malgun Gothic" w:hAnsi="Cambria Math" w:cs="Times New Roman"/>
          </w:rPr>
          <m:t>t</m:t>
        </m:r>
      </m:oMath>
      <w:r w:rsidRPr="009F313E">
        <w:rPr>
          <w:rFonts w:ascii="Times New Roman" w:eastAsia="Malgun Gothic" w:hAnsi="Times New Roman" w:cs="Times New Roman"/>
        </w:rPr>
        <w:t>.</w:t>
      </w:r>
    </w:p>
    <w:p w14:paraId="61073D9F" w14:textId="1EA28A97" w:rsidR="00A66764" w:rsidRDefault="00A66764" w:rsidP="00A66764">
      <w:pPr>
        <w:spacing w:line="276" w:lineRule="auto"/>
        <w:rPr>
          <w:rFonts w:ascii="Times New Roman" w:eastAsia="Malgun Gothic" w:hAnsi="Times New Roman" w:cs="Times New Roman" w:hint="eastAsia"/>
        </w:rPr>
      </w:pPr>
      <w:r w:rsidRPr="00A555B1">
        <w:rPr>
          <w:rFonts w:ascii="Times New Roman" w:eastAsia="Malgun Gothic" w:hAnsi="Times New Roman" w:cs="Times New Roman"/>
        </w:rPr>
        <w:t>For each combination of impulse and response variables (policy, mobility, and incidences), we calculated the IRFs. In the VARX model, we also account for the effect of exogenous variables (e.g., vaccination rates), although they are not directly impacted by shocks in the endogenous variables. The exogenous variables influence the dynamic response of the system but do not receive feedback from the endogenous variables.</w:t>
      </w:r>
      <w:r w:rsidR="00692C63">
        <w:rPr>
          <w:rFonts w:ascii="Times New Roman" w:eastAsia="Malgun Gothic" w:hAnsi="Times New Roman" w:cs="Times New Roman"/>
        </w:rPr>
        <w:t xml:space="preserve"> </w:t>
      </w:r>
      <w:r w:rsidR="00692C63" w:rsidRPr="00692C63">
        <w:rPr>
          <w:rFonts w:ascii="Times New Roman" w:eastAsia="Malgun Gothic" w:hAnsi="Times New Roman" w:cs="Times New Roman"/>
        </w:rPr>
        <w:t>This setup allows us to isolate and analyze the effects of policy interventions, mobility changes, and COVID-19 incidences within the system, with vaccination rates serving as an external influencing factor.</w:t>
      </w:r>
    </w:p>
    <w:p w14:paraId="6DD3F0AC" w14:textId="77777777" w:rsidR="00A66764" w:rsidRDefault="00A66764" w:rsidP="00A66764">
      <w:pPr>
        <w:spacing w:line="276" w:lineRule="auto"/>
        <w:rPr>
          <w:rFonts w:ascii="Times New Roman" w:eastAsia="Malgun Gothic" w:hAnsi="Times New Roman" w:cs="Times New Roman"/>
        </w:rPr>
      </w:pPr>
    </w:p>
    <w:p w14:paraId="76C4F69C" w14:textId="77777777" w:rsidR="00A66764" w:rsidRPr="007E6EC0" w:rsidRDefault="00A66764" w:rsidP="00A66764">
      <w:pPr>
        <w:spacing w:line="276" w:lineRule="auto"/>
        <w:rPr>
          <w:rFonts w:ascii="Times New Roman" w:eastAsia="Malgun Gothic" w:hAnsi="Times New Roman" w:cs="Times New Roman"/>
          <w:b/>
          <w:bCs/>
          <w:sz w:val="18"/>
          <w:szCs w:val="18"/>
        </w:rPr>
      </w:pPr>
      <w:r w:rsidRPr="007E6EC0">
        <w:rPr>
          <w:rFonts w:ascii="Times New Roman" w:eastAsia="Malgun Gothic" w:hAnsi="Times New Roman" w:cs="Times New Roman"/>
          <w:b/>
          <w:bCs/>
          <w:sz w:val="18"/>
          <w:szCs w:val="18"/>
          <w:lang w:eastAsia="ko-KR"/>
        </w:rPr>
        <w:t>Model Fitting and IRF</w:t>
      </w:r>
      <w:r w:rsidRPr="007E6EC0">
        <w:rPr>
          <w:rFonts w:ascii="Times New Roman" w:eastAsia="Malgun Gothic" w:hAnsi="Times New Roman" w:cs="Times New Roman" w:hint="eastAsia"/>
          <w:b/>
          <w:bCs/>
          <w:sz w:val="18"/>
          <w:szCs w:val="18"/>
          <w:lang w:eastAsia="ko-KR"/>
        </w:rPr>
        <w:t>s</w:t>
      </w:r>
      <w:r w:rsidRPr="007E6EC0">
        <w:rPr>
          <w:rFonts w:ascii="Times New Roman" w:eastAsia="Malgun Gothic" w:hAnsi="Times New Roman" w:cs="Times New Roman"/>
          <w:b/>
          <w:bCs/>
          <w:sz w:val="18"/>
          <w:szCs w:val="18"/>
          <w:lang w:eastAsia="ko-KR"/>
        </w:rPr>
        <w:t xml:space="preserve"> Calculation</w:t>
      </w:r>
      <w:r>
        <w:rPr>
          <w:rFonts w:ascii="Times New Roman" w:eastAsia="Malgun Gothic" w:hAnsi="Times New Roman" w:cs="Times New Roman"/>
          <w:b/>
          <w:bCs/>
          <w:sz w:val="18"/>
          <w:szCs w:val="18"/>
        </w:rPr>
        <w:t>.</w:t>
      </w:r>
    </w:p>
    <w:p w14:paraId="7D35AFBC" w14:textId="77777777" w:rsidR="00A66764" w:rsidRPr="009F313E" w:rsidRDefault="00A66764" w:rsidP="00A66764">
      <w:pPr>
        <w:spacing w:line="276" w:lineRule="auto"/>
        <w:rPr>
          <w:rFonts w:ascii="Times New Roman" w:eastAsia="Malgun Gothic" w:hAnsi="Times New Roman" w:cs="Times New Roman"/>
        </w:rPr>
      </w:pPr>
      <w:r w:rsidRPr="00A555B1">
        <w:rPr>
          <w:rFonts w:ascii="Times New Roman" w:eastAsia="Malgun Gothic" w:hAnsi="Times New Roman" w:cs="Times New Roman"/>
        </w:rPr>
        <w:t xml:space="preserve">We first fitted a VARX model to the variables of interest (policy, mobility, and incidence rates) while including vaccination rates as an exogenous variable. This allowed us to ensure that the model adequately captured the lagged interdependencies among the endogenous variables and accounted for the external influence of vaccination rates. Next, we generated shocks for each endogenous variable in the system and used the </w:t>
      </w:r>
      <m:oMath>
        <m:r>
          <w:rPr>
            <w:rFonts w:ascii="Cambria Math" w:eastAsia="Malgun Gothic" w:hAnsi="Cambria Math" w:cs="Times New Roman"/>
          </w:rPr>
          <m:t>‘irf’</m:t>
        </m:r>
      </m:oMath>
      <w:r w:rsidRPr="00A555B1">
        <w:rPr>
          <w:rFonts w:ascii="Times New Roman" w:eastAsia="Malgun Gothic" w:hAnsi="Times New Roman" w:cs="Times New Roman"/>
        </w:rPr>
        <w:t xml:space="preserve"> function in R to calculate the impact of these shocks on all other variables over the next 10 time periods. To account for uncertainty in the estimates, we enabled bootstrapping </w:t>
      </w:r>
      <w:r w:rsidRPr="009F313E">
        <w:rPr>
          <w:rFonts w:ascii="Times New Roman" w:eastAsia="Malgun Gothic" w:hAnsi="Times New Roman" w:cs="Times New Roman"/>
        </w:rPr>
        <w:t>(</w:t>
      </w:r>
      <m:oMath>
        <m:r>
          <w:rPr>
            <w:rFonts w:ascii="Cambria Math" w:eastAsia="Malgun Gothic" w:hAnsi="Cambria Math" w:cs="Times New Roman"/>
          </w:rPr>
          <m:t>‘boot = TRUE’</m:t>
        </m:r>
      </m:oMath>
      <w:r w:rsidRPr="009F313E">
        <w:rPr>
          <w:rFonts w:ascii="Times New Roman" w:eastAsia="Malgun Gothic" w:hAnsi="Times New Roman" w:cs="Times New Roman"/>
        </w:rPr>
        <w:t>)</w:t>
      </w:r>
      <w:r>
        <w:rPr>
          <w:rFonts w:ascii="Times New Roman" w:eastAsia="Malgun Gothic" w:hAnsi="Times New Roman" w:cs="Times New Roman"/>
        </w:rPr>
        <w:t>,</w:t>
      </w:r>
      <w:r w:rsidRPr="00A555B1">
        <w:rPr>
          <w:rFonts w:ascii="Times New Roman" w:eastAsia="Malgun Gothic" w:hAnsi="Times New Roman" w:cs="Times New Roman"/>
        </w:rPr>
        <w:t xml:space="preserve"> simulating the distribution of IRFs by repeatedly drawing shocks from the residuals and recalculating the IRFs, which provided robust estimates and confidence intervals. Finally, we plotted the IRFs for each pair of impulse and response variables and saved them for further analysis and visualization.</w:t>
      </w:r>
    </w:p>
    <w:p w14:paraId="0FA3C340" w14:textId="77777777" w:rsidR="00A66764" w:rsidRPr="009F313E" w:rsidRDefault="00A66764" w:rsidP="00A66764">
      <w:pPr>
        <w:spacing w:line="276" w:lineRule="auto"/>
        <w:rPr>
          <w:rFonts w:ascii="Times New Roman" w:eastAsia="Malgun Gothic" w:hAnsi="Times New Roman" w:cs="Times New Roman"/>
          <w:b/>
          <w:bCs/>
        </w:rPr>
      </w:pPr>
    </w:p>
    <w:p w14:paraId="5111F782" w14:textId="0AFB1EEB" w:rsidR="00F94C09" w:rsidRDefault="00A66764" w:rsidP="00A66764">
      <w:pPr>
        <w:spacing w:line="276" w:lineRule="auto"/>
        <w:rPr>
          <w:rFonts w:ascii="Times New Roman" w:hAnsi="Times New Roman" w:cs="Times New Roman"/>
          <w:b/>
          <w:bCs/>
        </w:rPr>
      </w:pPr>
      <w:r w:rsidRPr="009F313E">
        <w:rPr>
          <w:rFonts w:ascii="Times New Roman" w:hAnsi="Times New Roman" w:cs="Times New Roman"/>
          <w:b/>
          <w:bCs/>
        </w:rPr>
        <w:t>Results</w:t>
      </w:r>
      <w:r>
        <w:rPr>
          <w:rFonts w:ascii="Times New Roman" w:hAnsi="Times New Roman" w:cs="Times New Roman" w:hint="eastAsia"/>
          <w:b/>
          <w:bCs/>
        </w:rPr>
        <w:t xml:space="preserve"> </w:t>
      </w:r>
    </w:p>
    <w:p w14:paraId="7DA4F1E2" w14:textId="77777777" w:rsidR="008E1F64" w:rsidRDefault="008E1F64" w:rsidP="00A66764">
      <w:pPr>
        <w:spacing w:line="276" w:lineRule="auto"/>
        <w:rPr>
          <w:rFonts w:ascii="Times New Roman" w:hAnsi="Times New Roman" w:cs="Times New Roman" w:hint="eastAsia"/>
          <w:b/>
          <w:bCs/>
        </w:rPr>
      </w:pPr>
    </w:p>
    <w:p w14:paraId="3976E74C" w14:textId="38778A66" w:rsidR="00F94C09" w:rsidRDefault="00F94C09" w:rsidP="00A66764">
      <w:pPr>
        <w:spacing w:line="276" w:lineRule="auto"/>
        <w:rPr>
          <w:rFonts w:ascii="Times New Roman" w:hAnsi="Times New Roman" w:cs="Times New Roman" w:hint="eastAsia"/>
        </w:rPr>
      </w:pPr>
      <w:r w:rsidRPr="00F94C09">
        <w:rPr>
          <w:rFonts w:ascii="Times New Roman" w:hAnsi="Times New Roman" w:cs="Times New Roman"/>
        </w:rPr>
        <w:t>Fig 1.</w:t>
      </w:r>
      <w:r>
        <w:rPr>
          <w:rFonts w:ascii="Times New Roman" w:hAnsi="Times New Roman" w:cs="Times New Roman"/>
        </w:rPr>
        <w:t xml:space="preserve"> </w:t>
      </w:r>
      <w:r w:rsidR="008E1F64" w:rsidRPr="008E1F64">
        <w:rPr>
          <w:rFonts w:ascii="Times New Roman" w:hAnsi="Times New Roman" w:cs="Times New Roman"/>
        </w:rPr>
        <w:t>Dynamic Interactions among Policy, Mobility, Incidence, and Vaccination</w:t>
      </w:r>
      <w:r w:rsidR="00BD48C9">
        <w:rPr>
          <w:rFonts w:ascii="Times New Roman" w:hAnsi="Times New Roman" w:cs="Times New Roman"/>
        </w:rPr>
        <w:t xml:space="preserve"> rate</w:t>
      </w:r>
      <w:r w:rsidR="008E1F64" w:rsidRPr="008E1F64">
        <w:rPr>
          <w:rFonts w:ascii="Times New Roman" w:hAnsi="Times New Roman" w:cs="Times New Roman"/>
        </w:rPr>
        <w:t xml:space="preserve"> in the Citywide VARX Model</w:t>
      </w:r>
    </w:p>
    <w:p w14:paraId="78B22011" w14:textId="45611EBB" w:rsidR="008E1F64" w:rsidRDefault="00B41B57" w:rsidP="00A66764">
      <w:pPr>
        <w:spacing w:line="276" w:lineRule="auto"/>
        <w:rPr>
          <w:rFonts w:ascii="Times New Roman" w:hAnsi="Times New Roman" w:cs="Times New Roman"/>
        </w:rPr>
      </w:pPr>
      <w:r>
        <w:rPr>
          <w:rFonts w:ascii="Times New Roman" w:hAnsi="Times New Roman" w:cs="Times New Roman"/>
          <w:noProof/>
        </w:rPr>
        <w:drawing>
          <wp:inline distT="0" distB="0" distL="0" distR="0" wp14:anchorId="39E4D775" wp14:editId="37B2FA6E">
            <wp:extent cx="5274310" cy="2966720"/>
            <wp:effectExtent l="0" t="0" r="0" b="5080"/>
            <wp:docPr id="67852698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26986" name="图片 678526986"/>
                    <pic:cNvPicPr/>
                  </pic:nvPicPr>
                  <pic:blipFill>
                    <a:blip r:embed="rId9"/>
                    <a:stretch>
                      <a:fillRect/>
                    </a:stretch>
                  </pic:blipFill>
                  <pic:spPr>
                    <a:xfrm>
                      <a:off x="0" y="0"/>
                      <a:ext cx="5274310" cy="2966720"/>
                    </a:xfrm>
                    <a:prstGeom prst="rect">
                      <a:avLst/>
                    </a:prstGeom>
                  </pic:spPr>
                </pic:pic>
              </a:graphicData>
            </a:graphic>
          </wp:inline>
        </w:drawing>
      </w:r>
    </w:p>
    <w:p w14:paraId="0292EAAB" w14:textId="77777777" w:rsidR="001F736D" w:rsidRDefault="001F736D" w:rsidP="00A66764">
      <w:pPr>
        <w:spacing w:line="276" w:lineRule="auto"/>
        <w:rPr>
          <w:rFonts w:ascii="Times New Roman" w:hAnsi="Times New Roman" w:cs="Times New Roman"/>
        </w:rPr>
      </w:pPr>
    </w:p>
    <w:p w14:paraId="5521318F" w14:textId="77777777" w:rsidR="008E1F64" w:rsidRDefault="008E1F64" w:rsidP="00A66764">
      <w:pPr>
        <w:spacing w:line="276" w:lineRule="auto"/>
        <w:rPr>
          <w:rFonts w:ascii="Times New Roman" w:hAnsi="Times New Roman" w:cs="Times New Roman"/>
        </w:rPr>
      </w:pPr>
      <w:r w:rsidRPr="008E1F64">
        <w:rPr>
          <w:rFonts w:ascii="Times New Roman" w:hAnsi="Times New Roman" w:cs="Times New Roman"/>
        </w:rPr>
        <w:t xml:space="preserve">Figure 1 illustrates the dynamic relationships among policy (Policy), mobility (Mobility), incidence (Incidence), and vaccination rates (Vaccination) in the citywide VARX model. The notation </w:t>
      </w:r>
      <m:oMath>
        <m:r>
          <w:rPr>
            <w:rFonts w:ascii="Cambria Math" w:hAnsi="Cambria Math" w:cs="Times New Roman"/>
          </w:rPr>
          <m:t>.1</m:t>
        </m:r>
      </m:oMath>
      <w:r w:rsidRPr="008E1F64">
        <w:rPr>
          <w:rFonts w:ascii="Times New Roman" w:hAnsi="Times New Roman" w:cs="Times New Roman"/>
        </w:rPr>
        <w:t xml:space="preserve"> and </w:t>
      </w:r>
      <m:oMath>
        <m:r>
          <w:rPr>
            <w:rFonts w:ascii="Cambria Math" w:hAnsi="Cambria Math" w:cs="Times New Roman"/>
          </w:rPr>
          <m:t>.2</m:t>
        </m:r>
      </m:oMath>
      <w:r w:rsidRPr="008E1F64">
        <w:rPr>
          <w:rFonts w:ascii="Times New Roman" w:hAnsi="Times New Roman" w:cs="Times New Roman"/>
        </w:rPr>
        <w:t xml:space="preserve"> represent the coefficients for a 1-week and 2-week lag, respectively, indicating the impact of the previous week and two weeks ago on the current values. For example, </w:t>
      </w:r>
      <m:oMath>
        <m:r>
          <w:rPr>
            <w:rFonts w:ascii="Cambria Math" w:hAnsi="Cambria Math" w:cs="Times New Roman"/>
          </w:rPr>
          <m:t>I.1</m:t>
        </m:r>
      </m:oMath>
      <w:r w:rsidRPr="008E1F64">
        <w:rPr>
          <w:rFonts w:ascii="Times New Roman" w:hAnsi="Times New Roman" w:cs="Times New Roman"/>
        </w:rPr>
        <w:t xml:space="preserve"> represents the effect of incidence one week prior, and </w:t>
      </w:r>
      <m:oMath>
        <m:r>
          <w:rPr>
            <w:rFonts w:ascii="Cambria Math" w:hAnsi="Cambria Math" w:cs="Times New Roman"/>
          </w:rPr>
          <m:t>I.2</m:t>
        </m:r>
      </m:oMath>
      <w:r w:rsidRPr="008E1F64">
        <w:rPr>
          <w:rFonts w:ascii="Times New Roman" w:hAnsi="Times New Roman" w:cs="Times New Roman"/>
        </w:rPr>
        <w:t xml:space="preserve"> represents the effect two weeks prior.</w:t>
      </w:r>
    </w:p>
    <w:p w14:paraId="751A72E7" w14:textId="77777777" w:rsidR="008E1F64" w:rsidRDefault="008E1F64" w:rsidP="00A66764">
      <w:pPr>
        <w:spacing w:line="276" w:lineRule="auto"/>
        <w:rPr>
          <w:rFonts w:ascii="Times New Roman" w:hAnsi="Times New Roman" w:cs="Times New Roman"/>
        </w:rPr>
      </w:pPr>
    </w:p>
    <w:p w14:paraId="4CB8704A" w14:textId="77777777" w:rsidR="008E1F64" w:rsidRDefault="008E1F64" w:rsidP="00A66764">
      <w:pPr>
        <w:spacing w:line="276" w:lineRule="auto"/>
        <w:rPr>
          <w:rFonts w:ascii="Times New Roman" w:hAnsi="Times New Roman" w:cs="Times New Roman"/>
        </w:rPr>
      </w:pPr>
      <w:r w:rsidRPr="008E1F64">
        <w:rPr>
          <w:rFonts w:ascii="Times New Roman" w:hAnsi="Times New Roman" w:cs="Times New Roman"/>
        </w:rPr>
        <w:t>Examining the self-effects of the three endogenous variables, we observe that incidence and policy exhibit significant persistence over time in the citywide model. Specifically, incidence shows a positive self-effect at a 1-week lag (</w:t>
      </w:r>
      <m:oMath>
        <m:r>
          <w:rPr>
            <w:rFonts w:ascii="Cambria Math" w:hAnsi="Cambria Math" w:cs="Times New Roman"/>
          </w:rPr>
          <m:t>I.1=1.24</m:t>
        </m:r>
      </m:oMath>
      <w:r w:rsidRPr="008E1F64">
        <w:rPr>
          <w:rFonts w:ascii="Times New Roman" w:hAnsi="Times New Roman" w:cs="Times New Roman"/>
        </w:rPr>
        <w:t>), suggesting that higher incidence in the previous week tends to sustain itself. However, the negative effect at a 2-week lag (</w:t>
      </w:r>
      <m:oMath>
        <m:r>
          <w:rPr>
            <w:rFonts w:ascii="Cambria Math" w:hAnsi="Cambria Math" w:cs="Times New Roman"/>
          </w:rPr>
          <m:t>I.2=-0.63</m:t>
        </m:r>
      </m:oMath>
      <w:r w:rsidRPr="008E1F64">
        <w:rPr>
          <w:rFonts w:ascii="Times New Roman" w:hAnsi="Times New Roman" w:cs="Times New Roman"/>
        </w:rPr>
        <w:t>) indicates that incidence levels are effectively controlled after two weeks. For policy, the 1-week lag also shows a significant positive self-effect (</w:t>
      </w:r>
      <m:oMath>
        <m:r>
          <w:rPr>
            <w:rFonts w:ascii="Cambria Math" w:hAnsi="Cambria Math" w:cs="Times New Roman"/>
          </w:rPr>
          <m:t>P.1=0.79</m:t>
        </m:r>
      </m:oMath>
      <w:r w:rsidRPr="008E1F64">
        <w:rPr>
          <w:rFonts w:ascii="Times New Roman" w:hAnsi="Times New Roman" w:cs="Times New Roman"/>
        </w:rPr>
        <w:t>), reflecting the continuity of policy measures over time. In contrast, mobility does not exhibit a significant self-effect, implying that it is more influenced by other variables than by its own past values.</w:t>
      </w:r>
    </w:p>
    <w:p w14:paraId="7A02F378" w14:textId="77777777" w:rsidR="00BD48C9" w:rsidRDefault="00BD48C9" w:rsidP="00A66764">
      <w:pPr>
        <w:spacing w:line="276" w:lineRule="auto"/>
        <w:rPr>
          <w:rFonts w:ascii="Times New Roman" w:hAnsi="Times New Roman" w:cs="Times New Roman"/>
        </w:rPr>
      </w:pPr>
    </w:p>
    <w:p w14:paraId="2CD7E662" w14:textId="2BFE5C45" w:rsidR="00BD48C9" w:rsidRDefault="00BD48C9" w:rsidP="00A66764">
      <w:pPr>
        <w:spacing w:line="276" w:lineRule="auto"/>
        <w:rPr>
          <w:rFonts w:ascii="Times New Roman" w:hAnsi="Times New Roman" w:cs="Times New Roman"/>
        </w:rPr>
      </w:pPr>
      <w:r w:rsidRPr="00BD48C9">
        <w:rPr>
          <w:rFonts w:ascii="Times New Roman" w:hAnsi="Times New Roman" w:cs="Times New Roman"/>
        </w:rPr>
        <w:t xml:space="preserve">Analyzing the inter-variable relationships, we find that policy has a significant </w:t>
      </w:r>
      <w:r>
        <w:rPr>
          <w:rFonts w:ascii="Times New Roman" w:hAnsi="Times New Roman" w:cs="Times New Roman" w:hint="eastAsia"/>
        </w:rPr>
        <w:t xml:space="preserve">negative </w:t>
      </w:r>
      <w:r w:rsidRPr="00BD48C9">
        <w:rPr>
          <w:rFonts w:ascii="Times New Roman" w:hAnsi="Times New Roman" w:cs="Times New Roman"/>
        </w:rPr>
        <w:t>impact on mobility (</w:t>
      </w:r>
      <m:oMath>
        <m:r>
          <w:rPr>
            <w:rFonts w:ascii="Cambria Math" w:hAnsi="Cambria Math" w:cs="Times New Roman"/>
          </w:rPr>
          <m:t>P.1=</m:t>
        </m:r>
        <m:r>
          <w:rPr>
            <w:rFonts w:ascii="Cambria Math" w:hAnsi="Cambria Math" w:cs="Cambria Math"/>
          </w:rPr>
          <m:t>-</m:t>
        </m:r>
        <m:r>
          <w:rPr>
            <w:rFonts w:ascii="Cambria Math" w:hAnsi="Cambria Math" w:cs="Times New Roman" w:hint="eastAsia"/>
          </w:rPr>
          <m:t>2.05</m:t>
        </m:r>
      </m:oMath>
      <w:r w:rsidRPr="00BD48C9">
        <w:rPr>
          <w:rFonts w:ascii="Times New Roman" w:hAnsi="Times New Roman" w:cs="Times New Roman"/>
        </w:rPr>
        <w:t>), indicating that stricter policy measures tend to reduce overall movement. Mobility, in turn, has a significant positive effect on incidence (</w:t>
      </w:r>
      <m:oMath>
        <m:r>
          <w:rPr>
            <w:rFonts w:ascii="Cambria Math" w:hAnsi="Cambria Math" w:cs="Times New Roman"/>
          </w:rPr>
          <m:t>M.</m:t>
        </m:r>
        <m:r>
          <w:rPr>
            <w:rFonts w:ascii="Cambria Math" w:hAnsi="Cambria Math" w:cs="Times New Roman" w:hint="eastAsia"/>
          </w:rPr>
          <m:t>2=2.24</m:t>
        </m:r>
      </m:oMath>
      <w:r w:rsidRPr="00BD48C9">
        <w:rPr>
          <w:rFonts w:ascii="Times New Roman" w:hAnsi="Times New Roman" w:cs="Times New Roman"/>
        </w:rPr>
        <w:t>), suggesting that increased mobility correlates with higher infection rates, consistent with the typical transmission dynamics of infectious diseases. However, the direct effect of policy on incidence is not significant, suggesting that policy measures might influence incidence primarily through their impact on mobility.</w:t>
      </w:r>
      <w:r>
        <w:rPr>
          <w:rFonts w:ascii="Times New Roman" w:hAnsi="Times New Roman" w:cs="Times New Roman" w:hint="eastAsia"/>
        </w:rPr>
        <w:t xml:space="preserve"> </w:t>
      </w:r>
      <w:r w:rsidRPr="00BD48C9">
        <w:rPr>
          <w:rFonts w:ascii="Times New Roman" w:hAnsi="Times New Roman" w:cs="Times New Roman"/>
        </w:rPr>
        <w:t xml:space="preserve">Additionally, incidence has significant direct effects on both mobility and policy. Higher incidence leads to a notable </w:t>
      </w:r>
      <w:r>
        <w:rPr>
          <w:rFonts w:ascii="Times New Roman" w:hAnsi="Times New Roman" w:cs="Times New Roman" w:hint="eastAsia"/>
        </w:rPr>
        <w:t>increase</w:t>
      </w:r>
      <w:r w:rsidRPr="00BD48C9">
        <w:rPr>
          <w:rFonts w:ascii="Times New Roman" w:hAnsi="Times New Roman" w:cs="Times New Roman"/>
        </w:rPr>
        <w:t xml:space="preserve"> on policy (</w:t>
      </w:r>
      <m:oMath>
        <m:r>
          <w:rPr>
            <w:rFonts w:ascii="Cambria Math" w:hAnsi="Cambria Math" w:cs="Times New Roman"/>
          </w:rPr>
          <m:t>I.</m:t>
        </m:r>
        <m:r>
          <w:rPr>
            <w:rFonts w:ascii="Cambria Math" w:hAnsi="Cambria Math" w:cs="Times New Roman" w:hint="eastAsia"/>
          </w:rPr>
          <m:t>2</m:t>
        </m:r>
        <m:r>
          <w:rPr>
            <w:rFonts w:ascii="Cambria Math" w:hAnsi="Cambria Math" w:cs="Times New Roman"/>
          </w:rPr>
          <m:t>=0.02</m:t>
        </m:r>
      </m:oMath>
      <w:r w:rsidRPr="00BD48C9">
        <w:rPr>
          <w:rFonts w:ascii="Times New Roman" w:hAnsi="Times New Roman" w:cs="Times New Roman"/>
        </w:rPr>
        <w:t>), likely prompting stricter policy measures in response to worsening outbreaks. The effect on mobility is significantly negative (</w:t>
      </w:r>
      <m:oMath>
        <m:r>
          <w:rPr>
            <w:rFonts w:ascii="Cambria Math" w:hAnsi="Cambria Math" w:cs="Times New Roman"/>
          </w:rPr>
          <m:t>I.1=-0.05</m:t>
        </m:r>
      </m:oMath>
      <w:r w:rsidRPr="00BD48C9">
        <w:rPr>
          <w:rFonts w:ascii="Times New Roman" w:hAnsi="Times New Roman" w:cs="Times New Roman"/>
        </w:rPr>
        <w:t>), indicating reduced activity as cases increase. Mobility, however, does not have a significant direct effect on policy, implying that policy adjustments may not respond directly to short-term mobility changes.</w:t>
      </w:r>
      <w:r w:rsidR="001F736D">
        <w:rPr>
          <w:rFonts w:ascii="Times New Roman" w:hAnsi="Times New Roman" w:cs="Times New Roman"/>
        </w:rPr>
        <w:t xml:space="preserve">  </w:t>
      </w:r>
    </w:p>
    <w:p w14:paraId="3E13E3BE" w14:textId="77777777" w:rsidR="00BD48C9" w:rsidRDefault="00BD48C9" w:rsidP="00A66764">
      <w:pPr>
        <w:spacing w:line="276" w:lineRule="auto"/>
        <w:rPr>
          <w:rFonts w:ascii="Times New Roman" w:hAnsi="Times New Roman" w:cs="Times New Roman"/>
        </w:rPr>
      </w:pPr>
    </w:p>
    <w:p w14:paraId="22E6C6A6" w14:textId="6513439D" w:rsidR="00A04B85" w:rsidRDefault="00BD48C9" w:rsidP="00A66764">
      <w:pPr>
        <w:spacing w:line="276" w:lineRule="auto"/>
        <w:rPr>
          <w:rFonts w:ascii="Times New Roman" w:hAnsi="Times New Roman" w:cs="Times New Roman"/>
        </w:rPr>
      </w:pPr>
      <w:r w:rsidRPr="00BD48C9">
        <w:rPr>
          <w:rFonts w:ascii="Times New Roman" w:hAnsi="Times New Roman" w:cs="Times New Roman"/>
        </w:rPr>
        <w:t xml:space="preserve">Finally, vaccination </w:t>
      </w:r>
      <w:r>
        <w:rPr>
          <w:rFonts w:ascii="Times New Roman" w:hAnsi="Times New Roman" w:cs="Times New Roman"/>
        </w:rPr>
        <w:t xml:space="preserve">rate </w:t>
      </w:r>
      <w:r w:rsidRPr="00BD48C9">
        <w:rPr>
          <w:rFonts w:ascii="Times New Roman" w:hAnsi="Times New Roman" w:cs="Times New Roman"/>
        </w:rPr>
        <w:t>has a significant effect on all three variables in the citywide model. Rising vaccination rates are associated with increased mobility (</w:t>
      </w:r>
      <m:oMath>
        <m:r>
          <w:rPr>
            <w:rFonts w:ascii="Cambria Math" w:hAnsi="Cambria Math" w:cs="Times New Roman"/>
          </w:rPr>
          <m:t>Vacc=2.22</m:t>
        </m:r>
      </m:oMath>
      <w:r w:rsidRPr="00BD48C9">
        <w:rPr>
          <w:rFonts w:ascii="Times New Roman" w:hAnsi="Times New Roman" w:cs="Times New Roman"/>
        </w:rPr>
        <w:t>) an</w:t>
      </w:r>
      <w:r>
        <w:rPr>
          <w:rFonts w:ascii="Times New Roman" w:hAnsi="Times New Roman" w:cs="Times New Roman"/>
        </w:rPr>
        <w:t>d</w:t>
      </w:r>
      <w:r w:rsidRPr="00BD48C9">
        <w:rPr>
          <w:rFonts w:ascii="Times New Roman" w:hAnsi="Times New Roman" w:cs="Times New Roman"/>
        </w:rPr>
        <w:t xml:space="preserve"> policy relaxation (</w:t>
      </w:r>
      <m:oMath>
        <m:r>
          <w:rPr>
            <w:rFonts w:ascii="Cambria Math" w:hAnsi="Cambria Math" w:cs="Times New Roman"/>
          </w:rPr>
          <m:t>Vacc=</m:t>
        </m:r>
        <m:r>
          <w:rPr>
            <w:rFonts w:ascii="Cambria Math" w:hAnsi="Cambria Math" w:cs="Times New Roman"/>
          </w:rPr>
          <m:t>-</m:t>
        </m:r>
        <m:r>
          <w:rPr>
            <w:rFonts w:ascii="Cambria Math" w:hAnsi="Cambria Math" w:cs="Times New Roman"/>
          </w:rPr>
          <m:t>0.58</m:t>
        </m:r>
      </m:oMath>
      <w:r w:rsidRPr="00BD48C9">
        <w:rPr>
          <w:rFonts w:ascii="Times New Roman" w:hAnsi="Times New Roman" w:cs="Times New Roman"/>
        </w:rPr>
        <w:t xml:space="preserve">), reflecting the gradual return to normalcy as vaccination progresses. </w:t>
      </w:r>
      <w:r w:rsidR="00A04B85" w:rsidRPr="00A04B85">
        <w:rPr>
          <w:rFonts w:ascii="Times New Roman" w:hAnsi="Times New Roman" w:cs="Times New Roman"/>
        </w:rPr>
        <w:t>Interestingly, vaccination</w:t>
      </w:r>
      <w:r w:rsidR="00A04B85">
        <w:rPr>
          <w:rFonts w:ascii="Times New Roman" w:hAnsi="Times New Roman" w:cs="Times New Roman" w:hint="eastAsia"/>
        </w:rPr>
        <w:t xml:space="preserve"> rate</w:t>
      </w:r>
      <w:r w:rsidR="00A04B85" w:rsidRPr="00A04B85">
        <w:rPr>
          <w:rFonts w:ascii="Times New Roman" w:hAnsi="Times New Roman" w:cs="Times New Roman"/>
        </w:rPr>
        <w:t xml:space="preserve"> shows a significant positive correlation with incidence (</w:t>
      </w:r>
      <m:oMath>
        <m:r>
          <w:rPr>
            <w:rFonts w:ascii="Cambria Math" w:hAnsi="Cambria Math" w:cs="Times New Roman"/>
          </w:rPr>
          <m:t>Vacc=-16.69</m:t>
        </m:r>
      </m:oMath>
      <w:r w:rsidR="00A04B85" w:rsidRPr="00A04B85">
        <w:rPr>
          <w:rFonts w:ascii="Times New Roman" w:hAnsi="Times New Roman" w:cs="Times New Roman"/>
        </w:rPr>
        <w:t>), suggesting that as vaccination rates increased, incidence unexpectedly rose</w:t>
      </w:r>
      <w:r w:rsidR="00A04B85">
        <w:rPr>
          <w:rFonts w:ascii="Times New Roman" w:hAnsi="Times New Roman" w:cs="Times New Roman"/>
        </w:rPr>
        <w:t xml:space="preserve">. </w:t>
      </w:r>
      <w:r w:rsidR="00A04B85" w:rsidRPr="00A04B85">
        <w:rPr>
          <w:rFonts w:ascii="Times New Roman" w:hAnsi="Times New Roman" w:cs="Times New Roman"/>
        </w:rPr>
        <w:t xml:space="preserve">This effect is likely due to the entry of the Delta variant in South Korea during the period of rapidly increasing vaccination </w:t>
      </w:r>
      <w:proofErr w:type="gramStart"/>
      <w:r w:rsidR="00A04B85" w:rsidRPr="00A04B85">
        <w:rPr>
          <w:rFonts w:ascii="Times New Roman" w:hAnsi="Times New Roman" w:cs="Times New Roman"/>
        </w:rPr>
        <w:t>rates</w:t>
      </w:r>
      <w:r w:rsidR="00A04B85">
        <w:rPr>
          <w:rFonts w:ascii="Times New Roman" w:hAnsi="Times New Roman" w:cs="Times New Roman"/>
        </w:rPr>
        <w:t>(</w:t>
      </w:r>
      <w:proofErr w:type="gramEnd"/>
      <w:r w:rsidR="00A04B85">
        <w:rPr>
          <w:rFonts w:ascii="Times New Roman" w:hAnsi="Times New Roman" w:cs="Times New Roman"/>
        </w:rPr>
        <w:t>July 2021 ~ November 2021)</w:t>
      </w:r>
      <w:r w:rsidR="00A04B85" w:rsidRPr="00A04B85">
        <w:rPr>
          <w:rFonts w:ascii="Times New Roman" w:hAnsi="Times New Roman" w:cs="Times New Roman"/>
        </w:rPr>
        <w:t>, which led to a surge in cases despite the growing vaccination coverage.</w:t>
      </w:r>
    </w:p>
    <w:p w14:paraId="54AD879F" w14:textId="244626D1" w:rsidR="0060262E" w:rsidRDefault="0060262E">
      <w:pPr>
        <w:widowControl/>
        <w:jc w:val="left"/>
        <w:rPr>
          <w:rFonts w:ascii="Times New Roman" w:hAnsi="Times New Roman" w:cs="Times New Roman" w:hint="eastAsia"/>
          <w:b/>
          <w:bCs/>
        </w:rPr>
        <w:sectPr w:rsidR="0060262E" w:rsidSect="00A6676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14:paraId="3DD99AE7" w14:textId="5DE56D14" w:rsidR="0060262E" w:rsidRDefault="0060262E" w:rsidP="0060262E">
      <w:pPr>
        <w:widowControl/>
        <w:jc w:val="left"/>
        <w:rPr>
          <w:rFonts w:ascii="Times New Roman" w:hAnsi="Times New Roman" w:cs="Times New Roman"/>
          <w:b/>
          <w:bCs/>
        </w:rPr>
      </w:pPr>
    </w:p>
    <w:p w14:paraId="7BAA0D20" w14:textId="59EFF14D" w:rsidR="0060262E" w:rsidRPr="0060262E" w:rsidRDefault="0060262E" w:rsidP="00A66764">
      <w:pPr>
        <w:spacing w:line="276" w:lineRule="auto"/>
        <w:rPr>
          <w:rFonts w:ascii="Times New Roman" w:hAnsi="Times New Roman" w:cs="Times New Roman"/>
        </w:rPr>
        <w:sectPr w:rsidR="0060262E" w:rsidRPr="0060262E" w:rsidSect="0060262E">
          <w:pgSz w:w="16838" w:h="11906" w:orient="landscape"/>
          <w:pgMar w:top="1800" w:right="1440" w:bottom="1800" w:left="1440" w:header="851" w:footer="992" w:gutter="0"/>
          <w:cols w:space="425"/>
          <w:docGrid w:type="lines" w:linePitch="312"/>
        </w:sectPr>
      </w:pPr>
      <w:r w:rsidRPr="009F313E">
        <w:rPr>
          <w:rFonts w:ascii="Times New Roman" w:hAnsi="Times New Roman" w:cs="Times New Roman"/>
        </w:rPr>
        <w:t>Fig 2.</w:t>
      </w:r>
      <w:r>
        <w:rPr>
          <w:rFonts w:ascii="Times New Roman" w:hAnsi="Times New Roman" w:cs="Times New Roman" w:hint="eastAsia"/>
        </w:rPr>
        <w:t xml:space="preserve"> I</w:t>
      </w:r>
      <w:r w:rsidRPr="00F511A8">
        <w:rPr>
          <w:rFonts w:ascii="Times New Roman" w:hAnsi="Times New Roman" w:cs="Times New Roman"/>
        </w:rPr>
        <w:t>mpulse Response Functions (IRFs) Matrix for Dynamic Interactions among Mobility, Incidence, and Policy in the Citywide Model</w:t>
      </w:r>
    </w:p>
    <w:tbl>
      <w:tblPr>
        <w:tblStyle w:val="af2"/>
        <w:tblpPr w:leftFromText="180" w:rightFromText="180" w:vertAnchor="text" w:horzAnchor="page" w:tblpX="703" w:tblpY="-67"/>
        <w:tblW w:w="13700" w:type="dxa"/>
        <w:tblLayout w:type="fixed"/>
        <w:tblLook w:val="04A0" w:firstRow="1" w:lastRow="0" w:firstColumn="1" w:lastColumn="0" w:noHBand="0" w:noVBand="1"/>
      </w:tblPr>
      <w:tblGrid>
        <w:gridCol w:w="1838"/>
        <w:gridCol w:w="4006"/>
        <w:gridCol w:w="3796"/>
        <w:gridCol w:w="4060"/>
      </w:tblGrid>
      <w:tr w:rsidR="0060262E" w:rsidRPr="009F313E" w14:paraId="38F1D50A" w14:textId="77777777" w:rsidTr="0060262E">
        <w:tc>
          <w:tcPr>
            <w:tcW w:w="1838" w:type="dxa"/>
            <w:tcBorders>
              <w:tl2br w:val="single" w:sz="4" w:space="0" w:color="auto"/>
            </w:tcBorders>
          </w:tcPr>
          <w:p w14:paraId="2B9B102F" w14:textId="77777777" w:rsidR="0060262E" w:rsidRDefault="0060262E" w:rsidP="0060262E">
            <w:pPr>
              <w:spacing w:line="276" w:lineRule="auto"/>
              <w:ind w:left="210" w:hangingChars="100" w:hanging="210"/>
              <w:rPr>
                <w:rFonts w:ascii="Times New Roman" w:hAnsi="Times New Roman" w:cs="Times New Roman"/>
              </w:rPr>
            </w:pPr>
            <w:r w:rsidRPr="008316C1">
              <w:rPr>
                <w:rFonts w:ascii="Times New Roman" w:hAnsi="Times New Roman" w:cs="Times New Roman" w:hint="eastAsia"/>
                <w:b/>
                <w:bCs/>
              </w:rPr>
              <w:lastRenderedPageBreak/>
              <w:t xml:space="preserve">    </w:t>
            </w:r>
            <w:r>
              <w:rPr>
                <w:rFonts w:ascii="Times New Roman" w:hAnsi="Times New Roman" w:cs="Times New Roman" w:hint="eastAsia"/>
              </w:rPr>
              <w:t>R</w:t>
            </w:r>
            <w:r w:rsidRPr="0060262E">
              <w:rPr>
                <w:rFonts w:ascii="Times New Roman" w:hAnsi="Times New Roman" w:cs="Times New Roman" w:hint="eastAsia"/>
              </w:rPr>
              <w:t>esponse</w:t>
            </w:r>
          </w:p>
          <w:p w14:paraId="76C89584" w14:textId="77777777" w:rsidR="0060262E" w:rsidRPr="0060262E" w:rsidRDefault="0060262E" w:rsidP="0060262E">
            <w:pPr>
              <w:spacing w:line="276" w:lineRule="auto"/>
              <w:ind w:left="210" w:hangingChars="100" w:hanging="210"/>
              <w:rPr>
                <w:rFonts w:ascii="Times New Roman" w:hAnsi="Times New Roman" w:cs="Times New Roman"/>
              </w:rPr>
            </w:pPr>
          </w:p>
          <w:p w14:paraId="081CDCDF" w14:textId="77777777" w:rsidR="0060262E" w:rsidRDefault="0060262E" w:rsidP="0060262E">
            <w:pPr>
              <w:spacing w:line="276" w:lineRule="auto"/>
              <w:rPr>
                <w:rFonts w:ascii="Times New Roman" w:hAnsi="Times New Roman" w:cs="Times New Roman"/>
              </w:rPr>
            </w:pPr>
          </w:p>
          <w:p w14:paraId="56520A7D" w14:textId="77777777" w:rsidR="0060262E" w:rsidRDefault="0060262E" w:rsidP="0060262E">
            <w:pPr>
              <w:spacing w:line="276" w:lineRule="auto"/>
              <w:rPr>
                <w:rFonts w:ascii="Times New Roman" w:hAnsi="Times New Roman" w:cs="Times New Roman"/>
              </w:rPr>
            </w:pPr>
            <w:r>
              <w:rPr>
                <w:rFonts w:ascii="Times New Roman" w:hAnsi="Times New Roman" w:cs="Times New Roman"/>
              </w:rPr>
              <w:t>Impulse</w:t>
            </w:r>
          </w:p>
          <w:p w14:paraId="24692F16" w14:textId="77777777" w:rsidR="0060262E" w:rsidRPr="0060262E" w:rsidRDefault="0060262E" w:rsidP="0060262E">
            <w:pPr>
              <w:spacing w:line="276" w:lineRule="auto"/>
              <w:rPr>
                <w:rFonts w:ascii="Times New Roman" w:hAnsi="Times New Roman" w:cs="Times New Roman"/>
              </w:rPr>
            </w:pPr>
            <w:r w:rsidRPr="0060262E">
              <w:rPr>
                <w:rFonts w:ascii="Times New Roman" w:hAnsi="Times New Roman" w:cs="Times New Roman" w:hint="eastAsia"/>
              </w:rPr>
              <w:t xml:space="preserve">                        </w:t>
            </w:r>
          </w:p>
        </w:tc>
        <w:tc>
          <w:tcPr>
            <w:tcW w:w="4006" w:type="dxa"/>
          </w:tcPr>
          <w:p w14:paraId="72401204" w14:textId="77777777" w:rsidR="0060262E" w:rsidRDefault="0060262E" w:rsidP="0060262E">
            <w:pPr>
              <w:spacing w:line="276" w:lineRule="auto"/>
              <w:rPr>
                <w:rFonts w:ascii="Times New Roman" w:hAnsi="Times New Roman" w:cs="Times New Roman"/>
              </w:rPr>
            </w:pPr>
            <w:r w:rsidRPr="009F313E">
              <w:rPr>
                <w:rFonts w:ascii="Times New Roman" w:hAnsi="Times New Roman" w:cs="Times New Roman"/>
              </w:rPr>
              <w:t>Incidence</w:t>
            </w:r>
          </w:p>
          <w:p w14:paraId="1F00180B" w14:textId="77777777" w:rsidR="0060262E" w:rsidRPr="009F313E" w:rsidRDefault="0060262E" w:rsidP="0060262E">
            <w:pPr>
              <w:spacing w:line="276" w:lineRule="auto"/>
              <w:rPr>
                <w:rFonts w:ascii="Times New Roman" w:hAnsi="Times New Roman" w:cs="Times New Roman"/>
              </w:rPr>
            </w:pPr>
            <w:r>
              <w:rPr>
                <w:rFonts w:ascii="Times New Roman" w:hAnsi="Times New Roman" w:cs="Times New Roman"/>
              </w:rPr>
              <w:t>(Number of cases in hundred)</w:t>
            </w:r>
          </w:p>
        </w:tc>
        <w:tc>
          <w:tcPr>
            <w:tcW w:w="3796" w:type="dxa"/>
          </w:tcPr>
          <w:p w14:paraId="61A729BF" w14:textId="77777777" w:rsidR="0060262E" w:rsidRDefault="0060262E" w:rsidP="0060262E">
            <w:pPr>
              <w:spacing w:line="276" w:lineRule="auto"/>
              <w:rPr>
                <w:rFonts w:ascii="Times New Roman" w:hAnsi="Times New Roman" w:cs="Times New Roman"/>
              </w:rPr>
            </w:pPr>
            <w:r w:rsidRPr="009F313E">
              <w:rPr>
                <w:rFonts w:ascii="Times New Roman" w:hAnsi="Times New Roman" w:cs="Times New Roman"/>
              </w:rPr>
              <w:t>Mobility</w:t>
            </w:r>
          </w:p>
          <w:p w14:paraId="64F976BA" w14:textId="77777777" w:rsidR="0060262E" w:rsidRPr="009F313E" w:rsidRDefault="0060262E" w:rsidP="0060262E">
            <w:pPr>
              <w:spacing w:line="276" w:lineRule="auto"/>
              <w:rPr>
                <w:rFonts w:ascii="Times New Roman" w:hAnsi="Times New Roman" w:cs="Times New Roman"/>
              </w:rPr>
            </w:pPr>
            <w:r>
              <w:rPr>
                <w:rFonts w:ascii="Times New Roman" w:hAnsi="Times New Roman" w:cs="Times New Roman"/>
              </w:rPr>
              <w:t>(Number of migrations in million)</w:t>
            </w:r>
          </w:p>
        </w:tc>
        <w:tc>
          <w:tcPr>
            <w:tcW w:w="4060" w:type="dxa"/>
          </w:tcPr>
          <w:p w14:paraId="514C9E74" w14:textId="77777777" w:rsidR="0060262E" w:rsidRDefault="0060262E" w:rsidP="0060262E">
            <w:pPr>
              <w:spacing w:line="276" w:lineRule="auto"/>
              <w:rPr>
                <w:rFonts w:ascii="Times New Roman" w:hAnsi="Times New Roman" w:cs="Times New Roman"/>
              </w:rPr>
            </w:pPr>
            <w:r w:rsidRPr="009F313E">
              <w:rPr>
                <w:rFonts w:ascii="Times New Roman" w:hAnsi="Times New Roman" w:cs="Times New Roman"/>
              </w:rPr>
              <w:t>Policy</w:t>
            </w:r>
          </w:p>
          <w:p w14:paraId="03679CAA" w14:textId="77777777" w:rsidR="0060262E" w:rsidRPr="009F313E" w:rsidRDefault="0060262E" w:rsidP="0060262E">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w:t>
            </w:r>
            <w:r w:rsidRPr="00A555B1">
              <w:rPr>
                <w:rFonts w:ascii="Times New Roman" w:eastAsia="Malgun Gothic" w:hAnsi="Times New Roman" w:cs="Times New Roman"/>
                <w:lang w:eastAsia="ko-KR"/>
              </w:rPr>
              <w:t>olicy stringency</w:t>
            </w:r>
            <w:r>
              <w:rPr>
                <w:rFonts w:ascii="Times New Roman" w:eastAsia="Malgun Gothic" w:hAnsi="Times New Roman" w:cs="Times New Roman"/>
                <w:lang w:eastAsia="ko-KR"/>
              </w:rPr>
              <w:t>, scaled from 0 to 1</w:t>
            </w:r>
            <w:r>
              <w:rPr>
                <w:rFonts w:ascii="Times New Roman" w:hAnsi="Times New Roman" w:cs="Times New Roman"/>
              </w:rPr>
              <w:t>)</w:t>
            </w:r>
          </w:p>
        </w:tc>
      </w:tr>
      <w:tr w:rsidR="0060262E" w:rsidRPr="009F313E" w14:paraId="3D337ECB" w14:textId="77777777" w:rsidTr="0060262E">
        <w:tc>
          <w:tcPr>
            <w:tcW w:w="1838" w:type="dxa"/>
          </w:tcPr>
          <w:p w14:paraId="3086ABB6" w14:textId="77777777" w:rsidR="0060262E" w:rsidRPr="009F313E" w:rsidRDefault="0060262E" w:rsidP="0060262E">
            <w:pPr>
              <w:spacing w:line="276" w:lineRule="auto"/>
              <w:rPr>
                <w:rFonts w:ascii="Times New Roman" w:hAnsi="Times New Roman" w:cs="Times New Roman"/>
              </w:rPr>
            </w:pPr>
            <w:r w:rsidRPr="009F313E">
              <w:rPr>
                <w:rFonts w:ascii="Times New Roman" w:hAnsi="Times New Roman" w:cs="Times New Roman"/>
              </w:rPr>
              <w:t>Incidence</w:t>
            </w:r>
          </w:p>
        </w:tc>
        <w:tc>
          <w:tcPr>
            <w:tcW w:w="4006" w:type="dxa"/>
          </w:tcPr>
          <w:p w14:paraId="39763F1B" w14:textId="77777777" w:rsidR="0060262E" w:rsidRPr="009F313E" w:rsidRDefault="0060262E" w:rsidP="0060262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4E5D86D9" wp14:editId="5A9075FD">
                  <wp:extent cx="2267946" cy="1440000"/>
                  <wp:effectExtent l="0" t="0" r="5715" b="0"/>
                  <wp:docPr id="120959005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90058" name="图片 8" descr="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7946" cy="1440000"/>
                          </a:xfrm>
                          <a:prstGeom prst="rect">
                            <a:avLst/>
                          </a:prstGeom>
                        </pic:spPr>
                      </pic:pic>
                    </a:graphicData>
                  </a:graphic>
                </wp:inline>
              </w:drawing>
            </w:r>
          </w:p>
        </w:tc>
        <w:tc>
          <w:tcPr>
            <w:tcW w:w="3796" w:type="dxa"/>
          </w:tcPr>
          <w:p w14:paraId="085FCE6C" w14:textId="77777777" w:rsidR="0060262E" w:rsidRPr="009F313E" w:rsidRDefault="0060262E" w:rsidP="0060262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4492ECEA" wp14:editId="5397A5CC">
                  <wp:extent cx="2267946" cy="1440000"/>
                  <wp:effectExtent l="0" t="0" r="5715" b="0"/>
                  <wp:docPr id="281129285"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29285" name="图片 9"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7946" cy="1440000"/>
                          </a:xfrm>
                          <a:prstGeom prst="rect">
                            <a:avLst/>
                          </a:prstGeom>
                        </pic:spPr>
                      </pic:pic>
                    </a:graphicData>
                  </a:graphic>
                </wp:inline>
              </w:drawing>
            </w:r>
          </w:p>
        </w:tc>
        <w:tc>
          <w:tcPr>
            <w:tcW w:w="4060" w:type="dxa"/>
          </w:tcPr>
          <w:p w14:paraId="5E7EB004" w14:textId="77777777" w:rsidR="0060262E" w:rsidRPr="009F313E" w:rsidRDefault="0060262E" w:rsidP="0060262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7BC06650" wp14:editId="1F21F7C9">
                  <wp:extent cx="2267946" cy="1440000"/>
                  <wp:effectExtent l="0" t="0" r="5715" b="0"/>
                  <wp:docPr id="1643929129"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29129" name="图片 10"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67946" cy="1440000"/>
                          </a:xfrm>
                          <a:prstGeom prst="rect">
                            <a:avLst/>
                          </a:prstGeom>
                        </pic:spPr>
                      </pic:pic>
                    </a:graphicData>
                  </a:graphic>
                </wp:inline>
              </w:drawing>
            </w:r>
          </w:p>
        </w:tc>
      </w:tr>
      <w:tr w:rsidR="0060262E" w:rsidRPr="009F313E" w14:paraId="1570BFFA" w14:textId="77777777" w:rsidTr="0060262E">
        <w:tc>
          <w:tcPr>
            <w:tcW w:w="1838" w:type="dxa"/>
          </w:tcPr>
          <w:p w14:paraId="7B93F674" w14:textId="77777777" w:rsidR="0060262E" w:rsidRPr="009F313E" w:rsidRDefault="0060262E" w:rsidP="0060262E">
            <w:pPr>
              <w:spacing w:line="276" w:lineRule="auto"/>
              <w:rPr>
                <w:rFonts w:ascii="Times New Roman" w:hAnsi="Times New Roman" w:cs="Times New Roman"/>
                <w:b/>
                <w:bCs/>
              </w:rPr>
            </w:pPr>
            <w:r w:rsidRPr="009F313E">
              <w:rPr>
                <w:rFonts w:ascii="Times New Roman" w:hAnsi="Times New Roman" w:cs="Times New Roman"/>
              </w:rPr>
              <w:t>Mobility</w:t>
            </w:r>
          </w:p>
        </w:tc>
        <w:tc>
          <w:tcPr>
            <w:tcW w:w="4006" w:type="dxa"/>
          </w:tcPr>
          <w:p w14:paraId="7662AFA2" w14:textId="77777777" w:rsidR="0060262E" w:rsidRPr="009F313E" w:rsidRDefault="0060262E" w:rsidP="0060262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752BA312" wp14:editId="261BED91">
                  <wp:extent cx="2268009" cy="1440000"/>
                  <wp:effectExtent l="0" t="0" r="5715" b="0"/>
                  <wp:docPr id="725670715"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70715" name="图片 11"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8009" cy="1440000"/>
                          </a:xfrm>
                          <a:prstGeom prst="rect">
                            <a:avLst/>
                          </a:prstGeom>
                        </pic:spPr>
                      </pic:pic>
                    </a:graphicData>
                  </a:graphic>
                </wp:inline>
              </w:drawing>
            </w:r>
          </w:p>
        </w:tc>
        <w:tc>
          <w:tcPr>
            <w:tcW w:w="3796" w:type="dxa"/>
          </w:tcPr>
          <w:p w14:paraId="42F8BE7B" w14:textId="77777777" w:rsidR="0060262E" w:rsidRPr="009F313E" w:rsidRDefault="0060262E" w:rsidP="0060262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1875891A" wp14:editId="7019717A">
                  <wp:extent cx="2268009" cy="1440000"/>
                  <wp:effectExtent l="0" t="0" r="5715" b="0"/>
                  <wp:docPr id="1324131923"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31923" name="图片 12" descr="图表, 折线图&#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68009" cy="1440000"/>
                          </a:xfrm>
                          <a:prstGeom prst="rect">
                            <a:avLst/>
                          </a:prstGeom>
                        </pic:spPr>
                      </pic:pic>
                    </a:graphicData>
                  </a:graphic>
                </wp:inline>
              </w:drawing>
            </w:r>
          </w:p>
        </w:tc>
        <w:tc>
          <w:tcPr>
            <w:tcW w:w="4060" w:type="dxa"/>
          </w:tcPr>
          <w:p w14:paraId="5BB04C6C" w14:textId="77777777" w:rsidR="0060262E" w:rsidRPr="009F313E" w:rsidRDefault="0060262E" w:rsidP="0060262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1B2336A8" wp14:editId="730B58E7">
                  <wp:extent cx="2268009" cy="1440000"/>
                  <wp:effectExtent l="0" t="0" r="5715" b="0"/>
                  <wp:docPr id="2071549577"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49577" name="图片 13" descr="图表, 折线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68009" cy="1440000"/>
                          </a:xfrm>
                          <a:prstGeom prst="rect">
                            <a:avLst/>
                          </a:prstGeom>
                        </pic:spPr>
                      </pic:pic>
                    </a:graphicData>
                  </a:graphic>
                </wp:inline>
              </w:drawing>
            </w:r>
          </w:p>
        </w:tc>
      </w:tr>
      <w:tr w:rsidR="0060262E" w:rsidRPr="009F313E" w14:paraId="7D30A602" w14:textId="77777777" w:rsidTr="0060262E">
        <w:tc>
          <w:tcPr>
            <w:tcW w:w="1838" w:type="dxa"/>
          </w:tcPr>
          <w:p w14:paraId="21818D26" w14:textId="77777777" w:rsidR="0060262E" w:rsidRPr="009F313E" w:rsidRDefault="0060262E" w:rsidP="0060262E">
            <w:pPr>
              <w:spacing w:line="276" w:lineRule="auto"/>
              <w:rPr>
                <w:rFonts w:ascii="Times New Roman" w:hAnsi="Times New Roman" w:cs="Times New Roman"/>
                <w:b/>
                <w:bCs/>
              </w:rPr>
            </w:pPr>
            <w:r w:rsidRPr="009F313E">
              <w:rPr>
                <w:rFonts w:ascii="Times New Roman" w:hAnsi="Times New Roman" w:cs="Times New Roman"/>
              </w:rPr>
              <w:lastRenderedPageBreak/>
              <w:t>Policy</w:t>
            </w:r>
          </w:p>
        </w:tc>
        <w:tc>
          <w:tcPr>
            <w:tcW w:w="4006" w:type="dxa"/>
          </w:tcPr>
          <w:p w14:paraId="0210AE8B" w14:textId="77777777" w:rsidR="0060262E" w:rsidRPr="009F313E" w:rsidRDefault="0060262E" w:rsidP="0060262E">
            <w:pPr>
              <w:tabs>
                <w:tab w:val="left" w:pos="687"/>
              </w:tabs>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2E611601" wp14:editId="5D95ED91">
                  <wp:extent cx="2268000" cy="1440000"/>
                  <wp:effectExtent l="0" t="0" r="5715" b="0"/>
                  <wp:docPr id="650359159"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59159" name="图片 14" descr="图表, 折线图&#10;&#10;描述已自动生成"/>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8000" cy="1440000"/>
                          </a:xfrm>
                          <a:prstGeom prst="rect">
                            <a:avLst/>
                          </a:prstGeom>
                        </pic:spPr>
                      </pic:pic>
                    </a:graphicData>
                  </a:graphic>
                </wp:inline>
              </w:drawing>
            </w:r>
          </w:p>
        </w:tc>
        <w:tc>
          <w:tcPr>
            <w:tcW w:w="3796" w:type="dxa"/>
          </w:tcPr>
          <w:p w14:paraId="5504C5C3" w14:textId="77777777" w:rsidR="0060262E" w:rsidRPr="009F313E" w:rsidRDefault="0060262E" w:rsidP="0060262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5BC7BF45" wp14:editId="155E88A3">
                  <wp:extent cx="2268000" cy="1440000"/>
                  <wp:effectExtent l="0" t="0" r="5715" b="0"/>
                  <wp:docPr id="1685162728"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62728" name="图片 15" descr="图表, 折线图&#10;&#10;描述已自动生成"/>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68000" cy="1440000"/>
                          </a:xfrm>
                          <a:prstGeom prst="rect">
                            <a:avLst/>
                          </a:prstGeom>
                        </pic:spPr>
                      </pic:pic>
                    </a:graphicData>
                  </a:graphic>
                </wp:inline>
              </w:drawing>
            </w:r>
          </w:p>
        </w:tc>
        <w:tc>
          <w:tcPr>
            <w:tcW w:w="4060" w:type="dxa"/>
          </w:tcPr>
          <w:p w14:paraId="3323BDAF" w14:textId="77777777" w:rsidR="0060262E" w:rsidRPr="009F313E" w:rsidRDefault="0060262E" w:rsidP="0060262E">
            <w:pPr>
              <w:spacing w:line="276" w:lineRule="auto"/>
              <w:rPr>
                <w:rFonts w:ascii="Times New Roman" w:hAnsi="Times New Roman" w:cs="Times New Roman"/>
                <w:b/>
                <w:bCs/>
              </w:rPr>
            </w:pPr>
            <w:r>
              <w:rPr>
                <w:rFonts w:ascii="Times New Roman" w:hAnsi="Times New Roman" w:cs="Times New Roman"/>
                <w:b/>
                <w:bCs/>
                <w:noProof/>
              </w:rPr>
              <w:drawing>
                <wp:inline distT="0" distB="0" distL="0" distR="0" wp14:anchorId="71624599" wp14:editId="66AC8C49">
                  <wp:extent cx="2268000" cy="1440000"/>
                  <wp:effectExtent l="0" t="0" r="5715" b="0"/>
                  <wp:docPr id="1089811653"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11653" name="图片 16" descr="图表, 折线图&#10;&#10;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8000" cy="1440000"/>
                          </a:xfrm>
                          <a:prstGeom prst="rect">
                            <a:avLst/>
                          </a:prstGeom>
                        </pic:spPr>
                      </pic:pic>
                    </a:graphicData>
                  </a:graphic>
                </wp:inline>
              </w:drawing>
            </w:r>
          </w:p>
        </w:tc>
      </w:tr>
    </w:tbl>
    <w:p w14:paraId="3C85234F" w14:textId="77777777" w:rsidR="00F511A8" w:rsidRPr="009F313E" w:rsidRDefault="00F511A8" w:rsidP="00A66764">
      <w:pPr>
        <w:spacing w:line="276" w:lineRule="auto"/>
        <w:rPr>
          <w:rFonts w:ascii="Times New Roman" w:hAnsi="Times New Roman" w:cs="Times New Roman"/>
        </w:rPr>
      </w:pPr>
    </w:p>
    <w:p w14:paraId="6E585B72" w14:textId="77777777" w:rsidR="0060262E" w:rsidRDefault="0060262E" w:rsidP="00A66764">
      <w:pPr>
        <w:spacing w:line="276" w:lineRule="auto"/>
        <w:rPr>
          <w:rFonts w:ascii="Times New Roman" w:hAnsi="Times New Roman" w:cs="Times New Roman"/>
        </w:rPr>
      </w:pPr>
    </w:p>
    <w:p w14:paraId="2B15A8BE" w14:textId="77777777" w:rsidR="0060262E" w:rsidRDefault="0060262E" w:rsidP="00A66764">
      <w:pPr>
        <w:spacing w:line="276" w:lineRule="auto"/>
        <w:rPr>
          <w:rFonts w:ascii="Times New Roman" w:hAnsi="Times New Roman" w:cs="Times New Roman"/>
        </w:rPr>
      </w:pPr>
    </w:p>
    <w:p w14:paraId="41EA5E8A" w14:textId="77777777" w:rsidR="0060262E" w:rsidRDefault="0060262E" w:rsidP="00A66764">
      <w:pPr>
        <w:spacing w:line="276" w:lineRule="auto"/>
        <w:rPr>
          <w:rFonts w:ascii="Times New Roman" w:hAnsi="Times New Roman" w:cs="Times New Roman"/>
        </w:rPr>
      </w:pPr>
    </w:p>
    <w:p w14:paraId="59474CFA" w14:textId="77777777" w:rsidR="0060262E" w:rsidRDefault="0060262E" w:rsidP="00A66764">
      <w:pPr>
        <w:spacing w:line="276" w:lineRule="auto"/>
        <w:rPr>
          <w:rFonts w:ascii="Times New Roman" w:hAnsi="Times New Roman" w:cs="Times New Roman"/>
        </w:rPr>
      </w:pPr>
    </w:p>
    <w:p w14:paraId="634FED7B" w14:textId="77777777" w:rsidR="0060262E" w:rsidRDefault="0060262E" w:rsidP="00A66764">
      <w:pPr>
        <w:spacing w:line="276" w:lineRule="auto"/>
        <w:rPr>
          <w:rFonts w:ascii="Times New Roman" w:hAnsi="Times New Roman" w:cs="Times New Roman"/>
        </w:rPr>
      </w:pPr>
    </w:p>
    <w:p w14:paraId="6AA2CF6F" w14:textId="77777777" w:rsidR="0060262E" w:rsidRDefault="0060262E" w:rsidP="00A66764">
      <w:pPr>
        <w:spacing w:line="276" w:lineRule="auto"/>
        <w:rPr>
          <w:rFonts w:ascii="Times New Roman" w:hAnsi="Times New Roman" w:cs="Times New Roman"/>
        </w:rPr>
      </w:pPr>
    </w:p>
    <w:p w14:paraId="35681272" w14:textId="77777777" w:rsidR="0060262E" w:rsidRDefault="0060262E" w:rsidP="00A66764">
      <w:pPr>
        <w:spacing w:line="276" w:lineRule="auto"/>
        <w:rPr>
          <w:rFonts w:ascii="Times New Roman" w:hAnsi="Times New Roman" w:cs="Times New Roman"/>
        </w:rPr>
      </w:pPr>
    </w:p>
    <w:p w14:paraId="0B76FC2C" w14:textId="23DCD25D" w:rsidR="00A66764" w:rsidRPr="00F511A8" w:rsidRDefault="00F511A8" w:rsidP="00A66764">
      <w:pPr>
        <w:spacing w:line="276" w:lineRule="auto"/>
        <w:rPr>
          <w:rFonts w:ascii="Times New Roman" w:hAnsi="Times New Roman" w:cs="Times New Roman"/>
        </w:rPr>
        <w:sectPr w:rsidR="00A66764" w:rsidRPr="00F511A8" w:rsidSect="00A66764">
          <w:pgSz w:w="16838" w:h="11906" w:orient="landscape"/>
          <w:pgMar w:top="1800" w:right="1440" w:bottom="1800" w:left="1440" w:header="851" w:footer="992" w:gutter="0"/>
          <w:cols w:space="425"/>
          <w:docGrid w:type="lines" w:linePitch="312"/>
        </w:sectPr>
      </w:pPr>
      <w:r w:rsidRPr="00F511A8">
        <w:rPr>
          <w:rFonts w:ascii="Times New Roman" w:hAnsi="Times New Roman" w:cs="Times New Roman"/>
        </w:rPr>
        <w:t>No</w:t>
      </w:r>
      <w:r>
        <w:rPr>
          <w:rFonts w:ascii="Times New Roman" w:hAnsi="Times New Roman" w:cs="Times New Roman"/>
        </w:rPr>
        <w:t>te: The dashed lines are 9</w:t>
      </w:r>
      <w:r w:rsidR="0060262E">
        <w:rPr>
          <w:rFonts w:ascii="Times New Roman" w:hAnsi="Times New Roman" w:cs="Times New Roman" w:hint="eastAsia"/>
        </w:rPr>
        <w:t>5</w:t>
      </w:r>
      <w:r>
        <w:rPr>
          <w:rFonts w:ascii="Times New Roman" w:hAnsi="Times New Roman" w:cs="Times New Roman"/>
        </w:rPr>
        <w:t>% probability bands, respectively. E</w:t>
      </w:r>
      <w:r w:rsidR="0060262E" w:rsidRPr="0060262E">
        <w:rPr>
          <w:rFonts w:ascii="Times New Roman" w:hAnsi="Times New Roman" w:cs="Times New Roman"/>
        </w:rPr>
        <w:t xml:space="preserve">ach small chart represents the response of a variable </w:t>
      </w:r>
      <w:proofErr w:type="gramStart"/>
      <w:r w:rsidR="0060262E" w:rsidRPr="0060262E">
        <w:rPr>
          <w:rFonts w:ascii="Times New Roman" w:hAnsi="Times New Roman" w:cs="Times New Roman"/>
        </w:rPr>
        <w:t>in a given</w:t>
      </w:r>
      <w:proofErr w:type="gramEnd"/>
      <w:r w:rsidR="0060262E" w:rsidRPr="0060262E">
        <w:rPr>
          <w:rFonts w:ascii="Times New Roman" w:hAnsi="Times New Roman" w:cs="Times New Roman"/>
        </w:rPr>
        <w:t xml:space="preserve"> column to a one-standard-deviation shock in a variable in a given row.</w:t>
      </w:r>
    </w:p>
    <w:p w14:paraId="6EB4D1EA" w14:textId="77777777" w:rsidR="00A66764" w:rsidRDefault="00A66764" w:rsidP="00A66764">
      <w:pPr>
        <w:spacing w:line="276" w:lineRule="auto"/>
        <w:rPr>
          <w:rFonts w:ascii="Times New Roman" w:hAnsi="Times New Roman" w:cs="Times New Roman"/>
          <w:b/>
          <w:bCs/>
        </w:rPr>
      </w:pPr>
    </w:p>
    <w:p w14:paraId="29E5E51C" w14:textId="77777777" w:rsidR="00A66764" w:rsidRPr="009F313E" w:rsidRDefault="00A66764" w:rsidP="00A66764">
      <w:pPr>
        <w:spacing w:line="276" w:lineRule="auto"/>
        <w:rPr>
          <w:rFonts w:ascii="Times New Roman" w:hAnsi="Times New Roman" w:cs="Times New Roman"/>
          <w:b/>
          <w:bCs/>
        </w:rPr>
      </w:pPr>
    </w:p>
    <w:p w14:paraId="3740E0AB" w14:textId="010822BE" w:rsidR="00A04B85" w:rsidRDefault="00A66764" w:rsidP="00F45F05">
      <w:pPr>
        <w:pStyle w:val="a9"/>
        <w:widowControl/>
        <w:numPr>
          <w:ilvl w:val="0"/>
          <w:numId w:val="3"/>
        </w:numPr>
        <w:spacing w:line="276" w:lineRule="auto"/>
        <w:jc w:val="left"/>
        <w:rPr>
          <w:rFonts w:ascii="Times New Roman" w:hAnsi="Times New Roman" w:cs="Times New Roman"/>
          <w:b/>
          <w:bCs/>
        </w:rPr>
      </w:pPr>
      <w:r w:rsidRPr="00A04B85">
        <w:rPr>
          <w:rFonts w:ascii="Times New Roman" w:hAnsi="Times New Roman" w:cs="Times New Roman"/>
          <w:b/>
          <w:bCs/>
        </w:rPr>
        <w:t xml:space="preserve">Impact of Incidence </w:t>
      </w:r>
      <w:r w:rsidR="00A04B85" w:rsidRPr="00A04B85">
        <w:rPr>
          <w:rFonts w:ascii="Times New Roman" w:hAnsi="Times New Roman" w:cs="Times New Roman" w:hint="eastAsia"/>
          <w:b/>
          <w:bCs/>
        </w:rPr>
        <w:t>increase</w:t>
      </w:r>
      <w:r w:rsidRPr="00A04B85">
        <w:rPr>
          <w:rFonts w:ascii="Times New Roman" w:hAnsi="Times New Roman" w:cs="Times New Roman"/>
        </w:rPr>
        <w:t xml:space="preserve">: </w:t>
      </w:r>
      <w:r w:rsidR="00A04B85" w:rsidRPr="00A04B85">
        <w:rPr>
          <w:rFonts w:ascii="Times New Roman" w:hAnsi="Times New Roman" w:cs="Times New Roman"/>
        </w:rPr>
        <w:t xml:space="preserve">A rise of 100 new COVID-19 cases leads to an immediate reduction in mobility, with a decline of approximately 0.1 million. This initial decrease likely reflects voluntary movement restrictions by the population due to fear of infection, with the reduced mobility persisting for about four weeks before gradually returning to baseline levels. Similarly, an increase </w:t>
      </w:r>
      <w:r w:rsidR="00C02531">
        <w:rPr>
          <w:rFonts w:ascii="Times New Roman" w:hAnsi="Times New Roman" w:cs="Times New Roman" w:hint="eastAsia"/>
        </w:rPr>
        <w:t>of</w:t>
      </w:r>
      <w:r w:rsidR="00C02531">
        <w:rPr>
          <w:rFonts w:ascii="Times New Roman" w:hAnsi="Times New Roman" w:cs="Times New Roman"/>
        </w:rPr>
        <w:t xml:space="preserve"> 100 </w:t>
      </w:r>
      <w:r w:rsidR="00A04B85" w:rsidRPr="00A04B85">
        <w:rPr>
          <w:rFonts w:ascii="Times New Roman" w:hAnsi="Times New Roman" w:cs="Times New Roman"/>
        </w:rPr>
        <w:t>in incidence triggers an immediate tightening of policy measures. By the fifth week, policy stringency has increased by around 0.1, suggesting more severe restrictions in response to rising case numbers. After this peak in the fifth week, policy gradually relaxes, likely as case numbers stabilize or begin to decline. These dynamics demonstrate the immediate and quantifiable responses of both mobility and policy stringency to surges in COVID-19 incidence, playing a crucial role in early containment efforts.</w:t>
      </w:r>
      <w:r w:rsidR="00A04B85" w:rsidRPr="00A04B85">
        <w:rPr>
          <w:rFonts w:ascii="Times New Roman" w:hAnsi="Times New Roman" w:cs="Times New Roman"/>
          <w:b/>
          <w:bCs/>
        </w:rPr>
        <w:t xml:space="preserve"> </w:t>
      </w:r>
    </w:p>
    <w:p w14:paraId="17A18934" w14:textId="50701044" w:rsidR="00C02531" w:rsidRDefault="00A66764" w:rsidP="000871A4">
      <w:pPr>
        <w:pStyle w:val="a9"/>
        <w:widowControl/>
        <w:numPr>
          <w:ilvl w:val="0"/>
          <w:numId w:val="3"/>
        </w:numPr>
        <w:spacing w:line="276" w:lineRule="auto"/>
        <w:jc w:val="left"/>
        <w:rPr>
          <w:rFonts w:ascii="Times New Roman" w:hAnsi="Times New Roman" w:cs="Times New Roman"/>
          <w:b/>
          <w:bCs/>
        </w:rPr>
      </w:pPr>
      <w:r w:rsidRPr="00C02531">
        <w:rPr>
          <w:rFonts w:ascii="Times New Roman" w:hAnsi="Times New Roman" w:cs="Times New Roman"/>
          <w:b/>
          <w:bCs/>
        </w:rPr>
        <w:t>Impact of mobility on Incidence</w:t>
      </w:r>
      <w:r w:rsidRPr="00C02531">
        <w:rPr>
          <w:rFonts w:ascii="Times New Roman" w:hAnsi="Times New Roman" w:cs="Times New Roman"/>
        </w:rPr>
        <w:t xml:space="preserve">: </w:t>
      </w:r>
      <w:r w:rsidR="00C02531" w:rsidRPr="00C02531">
        <w:rPr>
          <w:rFonts w:ascii="Times New Roman" w:hAnsi="Times New Roman" w:cs="Times New Roman"/>
        </w:rPr>
        <w:t>A 1 million increase in mobility leads to an immediate decrease in incidence, followed by a delayed rise beginning around the second week. From the second to the fifth week, incidence increases by approximately 150 cases, aligning with the natural progression of disease transmission, where the incubation period creates a lag between increased exposure and visible case numbers. The initial decline in incidence could reflect temporary reporting variations or reduced susceptibility among immediately exposed individuals, with cases beginning to rise once the virus spreads further through the population. While there is a trend suggesting that higher mobility levels could contribute to increased policy stringency as a precautionary measure, this relationship is not statistically significant. This implies that although policy adjustments may sometimes coincide with periods of higher mobility, the direct effect of mobility on policy stringency is not strong enough to be conclusive, suggesting that other factors, such as rising case numbers, may play a more direct role in triggering stricter policy measures.</w:t>
      </w:r>
    </w:p>
    <w:p w14:paraId="4EDD4736" w14:textId="252EB021" w:rsidR="00A66764" w:rsidRPr="009F313E" w:rsidRDefault="00A66764" w:rsidP="00C02531">
      <w:pPr>
        <w:pStyle w:val="a9"/>
        <w:widowControl/>
        <w:numPr>
          <w:ilvl w:val="0"/>
          <w:numId w:val="3"/>
        </w:numPr>
        <w:spacing w:line="276" w:lineRule="auto"/>
        <w:jc w:val="left"/>
        <w:rPr>
          <w:rFonts w:ascii="Times New Roman" w:hAnsi="Times New Roman" w:cs="Times New Roman"/>
          <w:b/>
          <w:bCs/>
        </w:rPr>
      </w:pPr>
      <w:r w:rsidRPr="00C02531">
        <w:rPr>
          <w:rFonts w:ascii="Times New Roman" w:hAnsi="Times New Roman" w:cs="Times New Roman" w:hint="eastAsia"/>
          <w:b/>
          <w:bCs/>
        </w:rPr>
        <w:t>Impact</w:t>
      </w:r>
      <w:r w:rsidRPr="00C02531">
        <w:rPr>
          <w:rFonts w:ascii="Times New Roman" w:hAnsi="Times New Roman" w:cs="Times New Roman"/>
          <w:b/>
          <w:bCs/>
        </w:rPr>
        <w:t xml:space="preserve"> of policy on mobility</w:t>
      </w:r>
      <w:r w:rsidRPr="00C02531">
        <w:rPr>
          <w:rFonts w:ascii="Times New Roman" w:hAnsi="Times New Roman" w:cs="Times New Roman"/>
        </w:rPr>
        <w:t xml:space="preserve">: </w:t>
      </w:r>
      <w:r w:rsidR="00C02531" w:rsidRPr="00C02531">
        <w:rPr>
          <w:rFonts w:ascii="Times New Roman" w:hAnsi="Times New Roman" w:cs="Times New Roman"/>
        </w:rPr>
        <w:t>An increase in policy stringency leads to a reduction in mobility within approximately two weeks, with a decrease of around 0.2 million in mobility. This immediate impact reflects the effectiveness of social distancing measures in limiting movement. Mobility then gradually returns to baseline, taking approximately 7-8 weeks to recover fully. Although the direct effect of policy on incidence is not significant in the first two weeks, the subsequent reduction in mobility contributes to a delayed impact on incidence. Initially, incidence rates continue to rise gradually, possibly due to pre-existing exposures or transmission lag before the full effects of the policy take hold. However, by the fourth week, incidence shows a notable decline, ultimately reducing by approximately 120 cases</w:t>
      </w:r>
      <w:r w:rsidR="00F511A8">
        <w:rPr>
          <w:rFonts w:ascii="Times New Roman" w:hAnsi="Times New Roman" w:cs="Times New Roman" w:hint="eastAsia"/>
        </w:rPr>
        <w:t xml:space="preserve"> in</w:t>
      </w:r>
      <w:r w:rsidR="00F511A8">
        <w:rPr>
          <w:rFonts w:ascii="Times New Roman" w:hAnsi="Times New Roman" w:cs="Times New Roman"/>
        </w:rPr>
        <w:t xml:space="preserve"> 3 weeks</w:t>
      </w:r>
      <w:r w:rsidR="00C02531" w:rsidRPr="00C02531">
        <w:rPr>
          <w:rFonts w:ascii="Times New Roman" w:hAnsi="Times New Roman" w:cs="Times New Roman"/>
        </w:rPr>
        <w:t>, suggesting that the policy successfully curtailed transmission over time by limiting mobility and exposure.</w:t>
      </w:r>
    </w:p>
    <w:p w14:paraId="3EEDD420" w14:textId="77777777" w:rsidR="00C02531" w:rsidRDefault="00C02531" w:rsidP="00A66764">
      <w:pPr>
        <w:spacing w:line="276" w:lineRule="auto"/>
        <w:rPr>
          <w:rFonts w:ascii="Times New Roman" w:hAnsi="Times New Roman" w:cs="Times New Roman"/>
        </w:rPr>
      </w:pPr>
    </w:p>
    <w:p w14:paraId="1B663DBD" w14:textId="3F228A53" w:rsidR="00F511A8" w:rsidRDefault="00A66764" w:rsidP="00F511A8">
      <w:pPr>
        <w:spacing w:line="276" w:lineRule="auto"/>
        <w:ind w:left="105" w:hangingChars="50" w:hanging="105"/>
        <w:rPr>
          <w:rFonts w:ascii="Times New Roman" w:hAnsi="Times New Roman" w:cs="Times New Roman" w:hint="eastAsia"/>
        </w:rPr>
      </w:pPr>
      <w:r w:rsidRPr="009F313E">
        <w:rPr>
          <w:rFonts w:ascii="Times New Roman" w:hAnsi="Times New Roman" w:cs="Times New Roman"/>
        </w:rPr>
        <w:t>Fig3.</w:t>
      </w:r>
      <w:r w:rsidR="00F511A8" w:rsidRPr="00F511A8">
        <w:t xml:space="preserve"> </w:t>
      </w:r>
      <w:r w:rsidR="00F511A8" w:rsidRPr="00F511A8">
        <w:rPr>
          <w:rFonts w:ascii="Times New Roman" w:hAnsi="Times New Roman" w:cs="Times New Roman"/>
        </w:rPr>
        <w:t>District-Level Heat Map of Significant Dynamic Relationships among Mobility, Incidence, and Policy</w:t>
      </w:r>
      <w:r w:rsidR="00F511A8">
        <w:rPr>
          <w:rFonts w:ascii="Times New Roman" w:hAnsi="Times New Roman" w:cs="Times New Roman"/>
        </w:rPr>
        <w:t>.</w:t>
      </w:r>
    </w:p>
    <w:p w14:paraId="1A01B1AB" w14:textId="58E319EB" w:rsidR="00A66764" w:rsidRDefault="00F511A8" w:rsidP="00F511A8">
      <w:pPr>
        <w:spacing w:line="276" w:lineRule="auto"/>
        <w:ind w:left="105" w:hangingChars="50" w:hanging="105"/>
        <w:rPr>
          <w:rFonts w:ascii="Times New Roman" w:hAnsi="Times New Roman" w:cs="Times New Roman"/>
        </w:rPr>
      </w:pPr>
      <w:r>
        <w:rPr>
          <w:rFonts w:ascii="Times New Roman" w:hAnsi="Times New Roman" w:cs="Times New Roman"/>
          <w:noProof/>
        </w:rPr>
        <w:lastRenderedPageBreak/>
        <w:drawing>
          <wp:inline distT="0" distB="0" distL="0" distR="0" wp14:anchorId="71694213" wp14:editId="2212B5AE">
            <wp:extent cx="5274310" cy="3296285"/>
            <wp:effectExtent l="0" t="0" r="0" b="5715"/>
            <wp:docPr id="338299499"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99499" name="图片 2" descr="图片包含 图表&#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7C68E42" w14:textId="55705AAE" w:rsidR="00524423" w:rsidRPr="00524423" w:rsidRDefault="00524423" w:rsidP="00524423">
      <w:pPr>
        <w:spacing w:line="276" w:lineRule="auto"/>
        <w:rPr>
          <w:rFonts w:ascii="Times New Roman" w:hAnsi="Times New Roman" w:cs="Times New Roman"/>
        </w:rPr>
      </w:pPr>
      <w:r w:rsidRPr="00524423">
        <w:rPr>
          <w:rFonts w:ascii="Times New Roman" w:hAnsi="Times New Roman" w:cs="Times New Roman"/>
        </w:rPr>
        <w:t>Each row represents a different district, including an aggregate labeled "All districts"</w:t>
      </w:r>
      <w:r>
        <w:rPr>
          <w:rFonts w:ascii="Times New Roman" w:hAnsi="Times New Roman" w:cs="Times New Roman"/>
        </w:rPr>
        <w:t>,</w:t>
      </w:r>
      <w:r w:rsidRPr="00524423">
        <w:rPr>
          <w:rFonts w:ascii="Times New Roman" w:hAnsi="Times New Roman" w:cs="Times New Roman"/>
        </w:rPr>
        <w:t xml:space="preserve"> and each column represents different variables or lagged effects on Mobility, Incidence, and Policy, with Vaccination </w:t>
      </w:r>
      <w:proofErr w:type="gramStart"/>
      <w:r>
        <w:rPr>
          <w:rFonts w:ascii="Times New Roman" w:hAnsi="Times New Roman" w:cs="Times New Roman"/>
        </w:rPr>
        <w:t>rate</w:t>
      </w:r>
      <w:r w:rsidRPr="00524423">
        <w:rPr>
          <w:rFonts w:ascii="Times New Roman" w:hAnsi="Times New Roman" w:cs="Times New Roman"/>
        </w:rPr>
        <w:t>(</w:t>
      </w:r>
      <w:proofErr w:type="spellStart"/>
      <w:proofErr w:type="gramEnd"/>
      <w:r w:rsidRPr="00524423">
        <w:rPr>
          <w:rFonts w:ascii="Times New Roman" w:hAnsi="Times New Roman" w:cs="Times New Roman"/>
        </w:rPr>
        <w:t>Vacc</w:t>
      </w:r>
      <w:proofErr w:type="spellEnd"/>
      <w:r w:rsidRPr="00524423">
        <w:rPr>
          <w:rFonts w:ascii="Times New Roman" w:hAnsi="Times New Roman" w:cs="Times New Roman"/>
        </w:rPr>
        <w:t>) as an exogenous factor. The colors indicate significance and direction:</w:t>
      </w:r>
    </w:p>
    <w:p w14:paraId="074C42A9" w14:textId="05BB207D" w:rsidR="00524423" w:rsidRPr="00524423" w:rsidRDefault="00524423" w:rsidP="00524423">
      <w:pPr>
        <w:numPr>
          <w:ilvl w:val="0"/>
          <w:numId w:val="6"/>
        </w:numPr>
        <w:spacing w:line="276" w:lineRule="auto"/>
        <w:rPr>
          <w:rFonts w:ascii="Times New Roman" w:hAnsi="Times New Roman" w:cs="Times New Roman"/>
        </w:rPr>
      </w:pPr>
      <w:r w:rsidRPr="00524423">
        <w:rPr>
          <w:rFonts w:ascii="Times New Roman" w:hAnsi="Times New Roman" w:cs="Times New Roman"/>
          <w:b/>
          <w:bCs/>
        </w:rPr>
        <w:t>Red</w:t>
      </w:r>
      <w:r w:rsidRPr="00524423">
        <w:rPr>
          <w:rFonts w:ascii="Times New Roman" w:hAnsi="Times New Roman" w:cs="Times New Roman"/>
        </w:rPr>
        <w:t>: Positive significant relationship (dark red for 95% significance, light red for 90%).</w:t>
      </w:r>
    </w:p>
    <w:p w14:paraId="13A60837" w14:textId="5A72C179" w:rsidR="00524423" w:rsidRPr="00524423" w:rsidRDefault="00524423" w:rsidP="00524423">
      <w:pPr>
        <w:numPr>
          <w:ilvl w:val="0"/>
          <w:numId w:val="6"/>
        </w:numPr>
        <w:spacing w:line="276" w:lineRule="auto"/>
        <w:rPr>
          <w:rFonts w:ascii="Times New Roman" w:hAnsi="Times New Roman" w:cs="Times New Roman"/>
        </w:rPr>
      </w:pPr>
      <w:r w:rsidRPr="00524423">
        <w:rPr>
          <w:rFonts w:ascii="Times New Roman" w:hAnsi="Times New Roman" w:cs="Times New Roman"/>
          <w:b/>
          <w:bCs/>
        </w:rPr>
        <w:t>Blue</w:t>
      </w:r>
      <w:r w:rsidRPr="00524423">
        <w:rPr>
          <w:rFonts w:ascii="Times New Roman" w:hAnsi="Times New Roman" w:cs="Times New Roman"/>
        </w:rPr>
        <w:t xml:space="preserve">: Negative significant relationship (dark </w:t>
      </w:r>
      <w:r>
        <w:rPr>
          <w:rFonts w:ascii="Times New Roman" w:hAnsi="Times New Roman" w:cs="Times New Roman"/>
        </w:rPr>
        <w:t>blue</w:t>
      </w:r>
      <w:r w:rsidRPr="00524423">
        <w:rPr>
          <w:rFonts w:ascii="Times New Roman" w:hAnsi="Times New Roman" w:cs="Times New Roman"/>
        </w:rPr>
        <w:t xml:space="preserve"> for 95% significance, light </w:t>
      </w:r>
      <w:r>
        <w:rPr>
          <w:rFonts w:ascii="Times New Roman" w:hAnsi="Times New Roman" w:cs="Times New Roman"/>
        </w:rPr>
        <w:t>blue</w:t>
      </w:r>
      <w:r w:rsidRPr="00524423">
        <w:rPr>
          <w:rFonts w:ascii="Times New Roman" w:hAnsi="Times New Roman" w:cs="Times New Roman"/>
        </w:rPr>
        <w:t xml:space="preserve"> for 90%).</w:t>
      </w:r>
    </w:p>
    <w:p w14:paraId="6395F002" w14:textId="77777777" w:rsidR="00524423" w:rsidRPr="00524423" w:rsidRDefault="00524423" w:rsidP="00524423">
      <w:pPr>
        <w:numPr>
          <w:ilvl w:val="0"/>
          <w:numId w:val="6"/>
        </w:numPr>
        <w:spacing w:line="276" w:lineRule="auto"/>
        <w:rPr>
          <w:rFonts w:ascii="Times New Roman" w:hAnsi="Times New Roman" w:cs="Times New Roman"/>
        </w:rPr>
      </w:pPr>
      <w:r w:rsidRPr="00524423">
        <w:rPr>
          <w:rFonts w:ascii="Times New Roman" w:hAnsi="Times New Roman" w:cs="Times New Roman"/>
          <w:b/>
          <w:bCs/>
        </w:rPr>
        <w:t>Gray</w:t>
      </w:r>
      <w:r w:rsidRPr="00524423">
        <w:rPr>
          <w:rFonts w:ascii="Times New Roman" w:hAnsi="Times New Roman" w:cs="Times New Roman"/>
        </w:rPr>
        <w:t>: No significant relationship.</w:t>
      </w:r>
    </w:p>
    <w:p w14:paraId="4E09B8CC" w14:textId="77777777" w:rsidR="00A66764" w:rsidRDefault="00A66764" w:rsidP="00A66764">
      <w:pPr>
        <w:spacing w:line="276" w:lineRule="auto"/>
        <w:rPr>
          <w:rFonts w:ascii="Times New Roman" w:hAnsi="Times New Roman" w:cs="Times New Roman"/>
        </w:rPr>
      </w:pPr>
    </w:p>
    <w:p w14:paraId="43EB7914" w14:textId="7C779260" w:rsidR="00A66764" w:rsidRPr="007671FA" w:rsidRDefault="00890128" w:rsidP="00890128">
      <w:pPr>
        <w:pStyle w:val="a9"/>
        <w:widowControl/>
        <w:numPr>
          <w:ilvl w:val="0"/>
          <w:numId w:val="4"/>
        </w:numPr>
        <w:spacing w:line="276" w:lineRule="auto"/>
        <w:jc w:val="left"/>
        <w:rPr>
          <w:rFonts w:ascii="Times New Roman" w:hAnsi="Times New Roman" w:cs="Times New Roman"/>
        </w:rPr>
      </w:pPr>
      <w:r>
        <w:rPr>
          <w:rFonts w:ascii="Times New Roman" w:hAnsi="Times New Roman" w:cs="Times New Roman" w:hint="eastAsia"/>
          <w:b/>
          <w:bCs/>
        </w:rPr>
        <w:t>Mobility</w:t>
      </w:r>
      <w:r w:rsidR="00A66764">
        <w:rPr>
          <w:rFonts w:ascii="Times New Roman" w:hAnsi="Times New Roman" w:cs="Times New Roman" w:hint="eastAsia"/>
        </w:rPr>
        <w:t>:</w:t>
      </w:r>
      <w:r w:rsidR="00A66764" w:rsidRPr="007671FA">
        <w:t xml:space="preserve"> </w:t>
      </w:r>
      <w:r w:rsidRPr="00890128">
        <w:rPr>
          <w:rFonts w:ascii="Times New Roman" w:hAnsi="Times New Roman" w:cs="Times New Roman"/>
        </w:rPr>
        <w:t>A</w:t>
      </w:r>
      <w:r w:rsidRPr="00B41B57">
        <w:rPr>
          <w:rFonts w:ascii="Times New Roman" w:hAnsi="Times New Roman" w:cs="Times New Roman"/>
        </w:rPr>
        <w:t>s COVID-19 cases increase, mobility significantly decreases in non-commercial districts</w:t>
      </w:r>
      <w:r w:rsidR="00B41B57" w:rsidRPr="00B41B57">
        <w:rPr>
          <w:rFonts w:ascii="Times New Roman" w:hAnsi="Times New Roman" w:cs="Times New Roman" w:hint="eastAsia"/>
        </w:rPr>
        <w:t xml:space="preserve"> </w:t>
      </w:r>
      <w:r w:rsidR="001F736D" w:rsidRPr="00B41B57">
        <w:rPr>
          <w:rFonts w:ascii="Times New Roman" w:hAnsi="Times New Roman" w:cs="Times New Roman"/>
        </w:rPr>
        <w:t xml:space="preserve">(e.g. </w:t>
      </w:r>
      <w:proofErr w:type="spellStart"/>
      <w:r w:rsidR="00B41B57" w:rsidRPr="00B41B57">
        <w:rPr>
          <w:rFonts w:ascii="Times New Roman" w:hAnsi="Times New Roman" w:cs="Times New Roman" w:hint="eastAsia"/>
        </w:rPr>
        <w:t>Geumcheon</w:t>
      </w:r>
      <w:proofErr w:type="spellEnd"/>
      <w:r w:rsidR="00B41B57" w:rsidRPr="00B41B57">
        <w:rPr>
          <w:rFonts w:ascii="Times New Roman" w:hAnsi="Times New Roman" w:cs="Times New Roman"/>
        </w:rPr>
        <w:t xml:space="preserve"> (-0.032), </w:t>
      </w:r>
      <w:proofErr w:type="spellStart"/>
      <w:r w:rsidR="00B41B57" w:rsidRPr="00B41B57">
        <w:rPr>
          <w:rFonts w:ascii="Times New Roman" w:hAnsi="Times New Roman" w:cs="Times New Roman"/>
        </w:rPr>
        <w:t>Dongjak</w:t>
      </w:r>
      <w:proofErr w:type="spellEnd"/>
      <w:r w:rsidR="00B41B57" w:rsidRPr="00B41B57">
        <w:rPr>
          <w:rFonts w:ascii="Times New Roman" w:hAnsi="Times New Roman" w:cs="Times New Roman"/>
        </w:rPr>
        <w:t xml:space="preserve"> (-0.022), and </w:t>
      </w:r>
      <w:proofErr w:type="spellStart"/>
      <w:r w:rsidR="00B41B57" w:rsidRPr="00B41B57">
        <w:rPr>
          <w:rFonts w:ascii="Times New Roman" w:hAnsi="Times New Roman" w:cs="Times New Roman"/>
        </w:rPr>
        <w:t>Yangcheon</w:t>
      </w:r>
      <w:proofErr w:type="spellEnd"/>
      <w:r w:rsidR="00B41B57" w:rsidRPr="00B41B57">
        <w:rPr>
          <w:rFonts w:ascii="Times New Roman" w:hAnsi="Times New Roman" w:cs="Times New Roman"/>
        </w:rPr>
        <w:t xml:space="preserve"> (-0.019)</w:t>
      </w:r>
      <w:r w:rsidR="001F736D" w:rsidRPr="00B41B57">
        <w:rPr>
          <w:rFonts w:ascii="Times New Roman" w:hAnsi="Times New Roman" w:cs="Times New Roman"/>
        </w:rPr>
        <w:t>)</w:t>
      </w:r>
      <w:r w:rsidRPr="00B41B57">
        <w:rPr>
          <w:rFonts w:ascii="Times New Roman" w:hAnsi="Times New Roman" w:cs="Times New Roman"/>
        </w:rPr>
        <w:t>, likely due to heightened fear and self-restriction in r</w:t>
      </w:r>
      <w:r w:rsidRPr="00890128">
        <w:rPr>
          <w:rFonts w:ascii="Times New Roman" w:hAnsi="Times New Roman" w:cs="Times New Roman"/>
        </w:rPr>
        <w:t>esponse to the continuous rise in cases, with a strong negative relationship observed across multiple regions. Prior mobility levels from the previous week show no significant impact on current mobility in commercial districts, suggesting that movement in these areas may be more resilient to past trends. Policy interventions are significantly associated with reduced mobility within commercial districts</w:t>
      </w:r>
      <w:r w:rsidR="00B41B57">
        <w:rPr>
          <w:rFonts w:ascii="Times New Roman" w:hAnsi="Times New Roman" w:cs="Times New Roman"/>
        </w:rPr>
        <w:t xml:space="preserve"> (e.g. Jung (-0.375), Jongno (-0.263), and Gangnam (-0.561))</w:t>
      </w:r>
      <w:r w:rsidRPr="00890128">
        <w:rPr>
          <w:rFonts w:ascii="Times New Roman" w:hAnsi="Times New Roman" w:cs="Times New Roman"/>
        </w:rPr>
        <w:t xml:space="preserve">, likely due to stricter enforcement and higher population density, which make compliance more impactful in these areas. Additionally, higher vaccination rates are consistently linked to increased mobility, potentially indicating greater confidence in moving freely among vaccinated populations, with a positive relationship observed across </w:t>
      </w:r>
      <w:r w:rsidR="00B41B57">
        <w:rPr>
          <w:rFonts w:ascii="Times New Roman" w:hAnsi="Times New Roman" w:cs="Times New Roman"/>
        </w:rPr>
        <w:t>most</w:t>
      </w:r>
      <w:r w:rsidRPr="00890128">
        <w:rPr>
          <w:rFonts w:ascii="Times New Roman" w:hAnsi="Times New Roman" w:cs="Times New Roman"/>
        </w:rPr>
        <w:t xml:space="preserve"> regions</w:t>
      </w:r>
      <w:r w:rsidR="00B41B57">
        <w:rPr>
          <w:rFonts w:ascii="Times New Roman" w:hAnsi="Times New Roman" w:cs="Times New Roman"/>
        </w:rPr>
        <w:t xml:space="preserve"> (e.g. Jung (0.249), </w:t>
      </w:r>
      <w:proofErr w:type="spellStart"/>
      <w:r w:rsidR="00B41B57">
        <w:rPr>
          <w:rFonts w:ascii="Times New Roman" w:hAnsi="Times New Roman" w:cs="Times New Roman"/>
        </w:rPr>
        <w:t>Seongdong</w:t>
      </w:r>
      <w:proofErr w:type="spellEnd"/>
      <w:r w:rsidR="00B41B57">
        <w:rPr>
          <w:rFonts w:ascii="Times New Roman" w:hAnsi="Times New Roman" w:cs="Times New Roman"/>
        </w:rPr>
        <w:t xml:space="preserve"> (0.043), and </w:t>
      </w:r>
      <w:proofErr w:type="spellStart"/>
      <w:proofErr w:type="gramStart"/>
      <w:r w:rsidR="00B41B57">
        <w:rPr>
          <w:rFonts w:ascii="Times New Roman" w:hAnsi="Times New Roman" w:cs="Times New Roman"/>
        </w:rPr>
        <w:t>Dobong</w:t>
      </w:r>
      <w:proofErr w:type="spellEnd"/>
      <w:r w:rsidR="00B41B57">
        <w:rPr>
          <w:rFonts w:ascii="Times New Roman" w:hAnsi="Times New Roman" w:cs="Times New Roman"/>
        </w:rPr>
        <w:t>(</w:t>
      </w:r>
      <w:proofErr w:type="gramEnd"/>
      <w:r w:rsidR="00B41B57">
        <w:rPr>
          <w:rFonts w:ascii="Times New Roman" w:hAnsi="Times New Roman" w:cs="Times New Roman"/>
        </w:rPr>
        <w:t>0.014))</w:t>
      </w:r>
      <w:r w:rsidRPr="00890128">
        <w:rPr>
          <w:rFonts w:ascii="Times New Roman" w:hAnsi="Times New Roman" w:cs="Times New Roman"/>
        </w:rPr>
        <w:t>.</w:t>
      </w:r>
    </w:p>
    <w:p w14:paraId="28AC5200" w14:textId="6C67C722" w:rsidR="00A66764" w:rsidRDefault="00890128" w:rsidP="00890128">
      <w:pPr>
        <w:pStyle w:val="a9"/>
        <w:widowControl/>
        <w:numPr>
          <w:ilvl w:val="0"/>
          <w:numId w:val="4"/>
        </w:numPr>
        <w:spacing w:line="276" w:lineRule="auto"/>
        <w:jc w:val="left"/>
        <w:rPr>
          <w:rFonts w:ascii="Times New Roman" w:hAnsi="Times New Roman" w:cs="Times New Roman"/>
        </w:rPr>
      </w:pPr>
      <w:r w:rsidRPr="007671FA">
        <w:rPr>
          <w:rFonts w:ascii="Times New Roman" w:hAnsi="Times New Roman" w:cs="Times New Roman"/>
          <w:b/>
          <w:bCs/>
        </w:rPr>
        <w:t>Incidence</w:t>
      </w:r>
      <w:r w:rsidR="00A66764">
        <w:rPr>
          <w:rFonts w:ascii="Times New Roman" w:hAnsi="Times New Roman" w:cs="Times New Roman"/>
        </w:rPr>
        <w:t xml:space="preserve">: </w:t>
      </w:r>
      <w:r w:rsidRPr="00890128">
        <w:rPr>
          <w:rFonts w:ascii="Times New Roman" w:hAnsi="Times New Roman" w:cs="Times New Roman"/>
        </w:rPr>
        <w:t>In some districts, COVID-19 incidences from two weeks prior are negatively correlated with current incidences</w:t>
      </w:r>
      <w:r w:rsidR="00B41B57">
        <w:rPr>
          <w:rFonts w:ascii="Times New Roman" w:hAnsi="Times New Roman" w:cs="Times New Roman"/>
        </w:rPr>
        <w:t xml:space="preserve"> (e.g. Jung (-0.590), Mapo (-0.388), and </w:t>
      </w:r>
      <w:r w:rsidR="003B7A03">
        <w:rPr>
          <w:rFonts w:ascii="Times New Roman" w:hAnsi="Times New Roman" w:cs="Times New Roman"/>
        </w:rPr>
        <w:t>Dongdaemun (-0.494)</w:t>
      </w:r>
      <w:r w:rsidR="00B41B57">
        <w:rPr>
          <w:rFonts w:ascii="Times New Roman" w:hAnsi="Times New Roman" w:cs="Times New Roman"/>
        </w:rPr>
        <w:t>)</w:t>
      </w:r>
      <w:r w:rsidRPr="00890128">
        <w:rPr>
          <w:rFonts w:ascii="Times New Roman" w:hAnsi="Times New Roman" w:cs="Times New Roman"/>
        </w:rPr>
        <w:t xml:space="preserve">, suggesting temporary reductions in transmission that may follow previous spikes or result from enhanced public health measures. In commercial districts, mobility levels from </w:t>
      </w:r>
      <w:r w:rsidRPr="00890128">
        <w:rPr>
          <w:rFonts w:ascii="Times New Roman" w:hAnsi="Times New Roman" w:cs="Times New Roman"/>
        </w:rPr>
        <w:lastRenderedPageBreak/>
        <w:t>two weeks ago show a positive correlation with current incidences</w:t>
      </w:r>
      <w:r w:rsidR="003B7A03">
        <w:rPr>
          <w:rFonts w:ascii="Times New Roman" w:hAnsi="Times New Roman" w:cs="Times New Roman"/>
        </w:rPr>
        <w:t xml:space="preserve"> (Jung (0.797) and Gangnam (0.963))</w:t>
      </w:r>
      <w:r w:rsidRPr="00890128">
        <w:rPr>
          <w:rFonts w:ascii="Times New Roman" w:hAnsi="Times New Roman" w:cs="Times New Roman"/>
        </w:rPr>
        <w:t>, indicating that increased mobility in the past may have contributed to subsequent transmission rates. Policy measures appear to have had minimal direct effects on current COVID-19 incidence, though they have likely influenced incidence rates indirectly by effectively reducing mobility. Vaccination rates are positively correlated with incidences, possibly due to the emergence of the Delta variant, which simultaneously increased both transmission rates and vaccination uptake.</w:t>
      </w:r>
    </w:p>
    <w:p w14:paraId="517F66CC" w14:textId="630DF036" w:rsidR="00A66764" w:rsidRPr="003B7A03" w:rsidRDefault="00A66764" w:rsidP="003B7A03">
      <w:pPr>
        <w:pStyle w:val="a9"/>
        <w:widowControl/>
        <w:numPr>
          <w:ilvl w:val="0"/>
          <w:numId w:val="4"/>
        </w:numPr>
        <w:spacing w:line="276" w:lineRule="auto"/>
        <w:jc w:val="left"/>
        <w:rPr>
          <w:rFonts w:ascii="Times New Roman" w:hAnsi="Times New Roman" w:cs="Times New Roman"/>
        </w:rPr>
      </w:pPr>
      <w:r w:rsidRPr="00E4639E">
        <w:rPr>
          <w:rFonts w:ascii="Times New Roman" w:hAnsi="Times New Roman" w:cs="Times New Roman" w:hint="eastAsia"/>
          <w:b/>
          <w:bCs/>
        </w:rPr>
        <w:t>Policy</w:t>
      </w:r>
      <w:r w:rsidRPr="00E4639E">
        <w:rPr>
          <w:rFonts w:ascii="Times New Roman" w:hAnsi="Times New Roman" w:cs="Times New Roman"/>
        </w:rPr>
        <w:t>:</w:t>
      </w:r>
      <w:r w:rsidRPr="007671FA">
        <w:t xml:space="preserve"> </w:t>
      </w:r>
      <w:r w:rsidR="00890128" w:rsidRPr="00890128">
        <w:rPr>
          <w:rFonts w:ascii="Times New Roman" w:hAnsi="Times New Roman" w:cs="Times New Roman"/>
        </w:rPr>
        <w:t>Policy measures are strongly correlated with COVID-19 incidences from two weeks prior</w:t>
      </w:r>
      <w:r w:rsidR="003B7A03">
        <w:rPr>
          <w:rFonts w:ascii="Times New Roman" w:hAnsi="Times New Roman" w:cs="Times New Roman"/>
        </w:rPr>
        <w:t xml:space="preserve"> for all districts (e.g. Jung (0.239), Mapo (0.227), and Eunpyeong (0.172))</w:t>
      </w:r>
      <w:r w:rsidR="00890128" w:rsidRPr="00890128">
        <w:rPr>
          <w:rFonts w:ascii="Times New Roman" w:hAnsi="Times New Roman" w:cs="Times New Roman"/>
        </w:rPr>
        <w:t xml:space="preserve">, suggesting that adjustments were reactive to earlier increases in cases. Mobility levels show no significant influence on policy changes, indicating that policy decisions were not directly driven by recent mobility patterns. </w:t>
      </w:r>
      <w:r w:rsidR="00890128">
        <w:rPr>
          <w:rFonts w:ascii="Times New Roman" w:hAnsi="Times New Roman" w:cs="Times New Roman" w:hint="eastAsia"/>
        </w:rPr>
        <w:t>There</w:t>
      </w:r>
      <w:r w:rsidR="00890128">
        <w:rPr>
          <w:rFonts w:ascii="Times New Roman" w:hAnsi="Times New Roman" w:cs="Times New Roman"/>
        </w:rPr>
        <w:t xml:space="preserve"> is a</w:t>
      </w:r>
      <w:r w:rsidR="00890128" w:rsidRPr="00890128">
        <w:rPr>
          <w:rFonts w:ascii="Times New Roman" w:hAnsi="Times New Roman" w:cs="Times New Roman"/>
        </w:rPr>
        <w:t xml:space="preserve"> negative correlation exists between vaccination rates and policy stringency</w:t>
      </w:r>
      <w:r w:rsidR="003B7A03">
        <w:rPr>
          <w:rFonts w:ascii="Times New Roman" w:hAnsi="Times New Roman" w:cs="Times New Roman" w:hint="eastAsia"/>
        </w:rPr>
        <w:t xml:space="preserve"> for</w:t>
      </w:r>
      <w:r w:rsidR="003B7A03">
        <w:rPr>
          <w:rFonts w:ascii="Times New Roman" w:hAnsi="Times New Roman" w:cs="Times New Roman"/>
        </w:rPr>
        <w:t xml:space="preserve"> most districts (e.g. Yeongdeungpo (-0.498), Guro </w:t>
      </w:r>
      <w:r w:rsidR="003B7A03" w:rsidRPr="003B7A03">
        <w:rPr>
          <w:rFonts w:ascii="Times New Roman" w:hAnsi="Times New Roman" w:cs="Times New Roman"/>
        </w:rPr>
        <w:t>(-0.841)</w:t>
      </w:r>
      <w:r w:rsidR="003B7A03">
        <w:rPr>
          <w:rFonts w:ascii="Times New Roman" w:hAnsi="Times New Roman" w:cs="Times New Roman"/>
        </w:rPr>
        <w:t>, and Eunpyeong (-0.421)</w:t>
      </w:r>
      <w:r w:rsidR="003B7A03" w:rsidRPr="003B7A03">
        <w:rPr>
          <w:rFonts w:ascii="Times New Roman" w:hAnsi="Times New Roman" w:cs="Times New Roman"/>
        </w:rPr>
        <w:t>)</w:t>
      </w:r>
      <w:r w:rsidR="00890128" w:rsidRPr="003B7A03">
        <w:rPr>
          <w:rFonts w:ascii="Times New Roman" w:hAnsi="Times New Roman" w:cs="Times New Roman"/>
        </w:rPr>
        <w:t>, likely due to the gradual relaxation of policies as vaccination coverage increased, reflecting a growing confidence in population immunity.</w:t>
      </w:r>
    </w:p>
    <w:p w14:paraId="14DD5F9E" w14:textId="77777777" w:rsidR="00672A15" w:rsidRPr="00672A15" w:rsidRDefault="00672A15" w:rsidP="00672A15">
      <w:pPr>
        <w:widowControl/>
        <w:spacing w:line="276" w:lineRule="auto"/>
        <w:jc w:val="left"/>
        <w:rPr>
          <w:rFonts w:ascii="Times New Roman" w:hAnsi="Times New Roman" w:cs="Times New Roman" w:hint="eastAsia"/>
        </w:rPr>
      </w:pPr>
    </w:p>
    <w:p w14:paraId="1F97923A" w14:textId="77777777" w:rsidR="00A66764" w:rsidRDefault="00A66764" w:rsidP="00A66764">
      <w:pPr>
        <w:spacing w:line="276" w:lineRule="auto"/>
        <w:rPr>
          <w:rFonts w:ascii="Times New Roman" w:hAnsi="Times New Roman" w:cs="Times New Roman"/>
          <w:b/>
          <w:bCs/>
        </w:rPr>
      </w:pPr>
      <w:r>
        <w:rPr>
          <w:rFonts w:ascii="Times New Roman" w:hAnsi="Times New Roman" w:cs="Times New Roman" w:hint="eastAsia"/>
          <w:b/>
          <w:bCs/>
        </w:rPr>
        <w:t>Conclusion &amp; Discussion</w:t>
      </w:r>
    </w:p>
    <w:p w14:paraId="01501FE9" w14:textId="77777777" w:rsidR="00340494" w:rsidRDefault="00340494" w:rsidP="00A66764">
      <w:pPr>
        <w:spacing w:line="276" w:lineRule="auto"/>
        <w:rPr>
          <w:rFonts w:ascii="Times New Roman" w:hAnsi="Times New Roman" w:cs="Times New Roman"/>
          <w:b/>
          <w:bCs/>
        </w:rPr>
      </w:pPr>
    </w:p>
    <w:p w14:paraId="067A4756" w14:textId="39BE2338" w:rsidR="00340494" w:rsidRPr="00340494" w:rsidRDefault="00340494" w:rsidP="00501B3D">
      <w:pPr>
        <w:rPr>
          <w:rFonts w:ascii="Times New Roman" w:eastAsia="Malgun Gothic" w:hAnsi="Times New Roman" w:cs="Times New Roman"/>
        </w:rPr>
      </w:pPr>
      <w:r w:rsidRPr="00340494">
        <w:rPr>
          <w:rFonts w:ascii="Times New Roman" w:eastAsia="Malgun Gothic" w:hAnsi="Times New Roman" w:cs="Times New Roman"/>
        </w:rPr>
        <w:t>Our study provides comprehensive empirical evidence on the dynamic relationships between COVID-19 incidence, human mobility, and policy interventions across Seoul's districts. Through VARX analysis incorporating vaccination rates as an exogenous factor, we uncovered several significant patterns that contribute to our understanding of pandemic control mechanisms in urban environments.</w:t>
      </w:r>
    </w:p>
    <w:p w14:paraId="6B4E072F" w14:textId="77777777" w:rsidR="00340494" w:rsidRPr="00340494" w:rsidRDefault="00340494" w:rsidP="00501B3D">
      <w:pPr>
        <w:rPr>
          <w:rFonts w:ascii="Times New Roman" w:eastAsia="Malgun Gothic" w:hAnsi="Times New Roman" w:cs="Times New Roman"/>
        </w:rPr>
      </w:pPr>
    </w:p>
    <w:p w14:paraId="15FC37D2" w14:textId="6FDF3B9A" w:rsidR="00340494" w:rsidRDefault="0012775C" w:rsidP="00501B3D">
      <w:pPr>
        <w:rPr>
          <w:rFonts w:ascii="Times New Roman" w:eastAsia="Malgun Gothic" w:hAnsi="Times New Roman" w:cs="Times New Roman"/>
        </w:rPr>
      </w:pPr>
      <w:r w:rsidRPr="0012775C">
        <w:rPr>
          <w:rFonts w:ascii="Times New Roman" w:eastAsia="Malgun Gothic" w:hAnsi="Times New Roman" w:cs="Times New Roman"/>
        </w:rPr>
        <w:t>The immediate decrease in mobility following rising incidence rates, particularly in non-commercial areas, demonstrates the effectiveness of public risk awareness and voluntary behavioral changes. This finding aligns with Ghader et al. (2020)</w:t>
      </w:r>
      <w:r>
        <w:rPr>
          <w:rFonts w:ascii="Times New Roman" w:eastAsia="Malgun Gothic" w:hAnsi="Times New Roman" w:cs="Times New Roman" w:hint="eastAsia"/>
        </w:rPr>
        <w:t xml:space="preserve"> </w:t>
      </w:r>
      <w:r>
        <w:rPr>
          <w:rFonts w:ascii="Times New Roman" w:eastAsia="Malgun Gothic" w:hAnsi="Times New Roman" w:cs="Times New Roman"/>
        </w:rPr>
        <w:fldChar w:fldCharType="begin"/>
      </w:r>
      <w:r>
        <w:rPr>
          <w:rFonts w:ascii="Times New Roman" w:eastAsia="Malgun Gothic" w:hAnsi="Times New Roman" w:cs="Times New Roman"/>
        </w:rPr>
        <w:instrText xml:space="preserve"> ADDIN ZOTERO_ITEM CSL_CITATION {"citationID":"YW30SWol","properties":{"formattedCitation":"[16]","plainCitation":"[16]","noteIndex":0},"citationItems":[{"id":72,"uris":["http://zotero.org/users/15424527/items/F9XYBX5R"],"itemData":{"id":72,"type":"article-journal","abstract":"In March of this year, COVID-19 was declared a pandemic, and it continues to threaten public health. This global health crisis imposes limitations on daily movements, which have deteriorated every sector in our society. Understanding public reactions to the virus and the non-pharmaceutical interventions should be of great help to fight COVID-19 in a strategic way. We aim to provide tangible evidence of the human mobility trends by comparing the day-by-day variations across the U.S. from January 2020 to early April 2020. Large-scale public mobility at an aggregated level is observed by leveraging mobile device location data and the measures related to social distancing. Our study captures spatial and temporal heterogeneity as well as the sociodemographic variations and teleworking trends regarding the pandemic propagation and the non-pharmaceutical mobility interventions. All metrics adapted capture decreased public movements after the national emergency declaration. The population staying home has increased in all states before the stay-at-home mandates implemented and becomes more stable after the order with a smaller range of fluctuation. The public had been taking active responses, voluntarily staying home more, to the in-state confirmed cases while the stay-at-home orders stabilize the variations. As the estimated teleworking rates also continue to incline throughout the study period, the teleworking trend can be another driving factor for the growing stay-at-home population. We confirm that there exists overall mobility heterogeneity between the income or population density groups. The study suggests that public mobility trends are in line with the government message urging to stay home. We anticipate our data-driven analysis offers integrated perspectives and serves as evidence to raise public awareness and, consequently, reinforce the importance of social distancing while assisting policymakers.","container-title":"PLOS ONE","DOI":"10.1371/journal.pone.0241468","ISSN":"1932-6203","issue":"11","journalAbbreviation":"PLOS ONE","language":"en","note":"publisher: Public Library of Science","page":"e0241468","source":"PLoS Journals","title":"Human mobility trends during the early stage of the COVID-19 pandemic in the United States","volume":"15","author":[{"family":"Lee","given":"Minha"},{"family":"Zhao","given":"Jun"},{"family":"Sun","given":"Qianqian"},{"family":"Pan","given":"Yixuan"},{"family":"Zhou","given":"Weiyi"},{"family":"Xiong","given":"Chenfeng"},{"family":"Zhang","given":"Lei"}],"issued":{"date-parts":[["2020",11,9]]}}}],"schema":"https://github.com/citation-style-language/schema/raw/master/csl-citation.json"} </w:instrText>
      </w:r>
      <w:r>
        <w:rPr>
          <w:rFonts w:ascii="Times New Roman" w:eastAsia="Malgun Gothic" w:hAnsi="Times New Roman" w:cs="Times New Roman"/>
        </w:rPr>
        <w:fldChar w:fldCharType="separate"/>
      </w:r>
      <w:r>
        <w:rPr>
          <w:rFonts w:ascii="Times New Roman" w:eastAsia="Malgun Gothic" w:hAnsi="Times New Roman" w:cs="Times New Roman"/>
          <w:noProof/>
        </w:rPr>
        <w:t>[16]</w:t>
      </w:r>
      <w:r>
        <w:rPr>
          <w:rFonts w:ascii="Times New Roman" w:eastAsia="Malgun Gothic" w:hAnsi="Times New Roman" w:cs="Times New Roman"/>
        </w:rPr>
        <w:fldChar w:fldCharType="end"/>
      </w:r>
      <w:r w:rsidRPr="0012775C">
        <w:rPr>
          <w:rFonts w:ascii="Times New Roman" w:eastAsia="Malgun Gothic" w:hAnsi="Times New Roman" w:cs="Times New Roman"/>
        </w:rPr>
        <w:t>, who documented that communities showed significant voluntary mobility reductions even before official restrictions were implemented, highlighting how informed communities can contribute significantly to epidemic control.</w:t>
      </w:r>
      <w:r>
        <w:rPr>
          <w:rFonts w:ascii="Times New Roman" w:eastAsia="Malgun Gothic" w:hAnsi="Times New Roman" w:cs="Times New Roman"/>
        </w:rPr>
        <w:t xml:space="preserve"> </w:t>
      </w:r>
      <w:r w:rsidR="00340494" w:rsidRPr="00340494">
        <w:rPr>
          <w:rFonts w:ascii="Times New Roman" w:eastAsia="Malgun Gothic" w:hAnsi="Times New Roman" w:cs="Times New Roman"/>
        </w:rPr>
        <w:t>The temporal relationship between incidence rates and policy implementation further suggests that while governments often react to case increases with stricter measures, there may be advantages to more proactive policy approaches. This observation is supported by Chen et al. (2022), who found that preventive interventions yielded better</w:t>
      </w:r>
      <w:r w:rsidR="00340494" w:rsidRPr="00340494">
        <w:rPr>
          <w:rFonts w:ascii="Times New Roman" w:eastAsia="Malgun Gothic" w:hAnsi="Times New Roman" w:cs="Times New Roman"/>
        </w:rPr>
        <w:t xml:space="preserve"> </w:t>
      </w:r>
      <w:r w:rsidR="00340494" w:rsidRPr="00340494">
        <w:rPr>
          <w:rFonts w:ascii="Times New Roman" w:eastAsia="Malgun Gothic" w:hAnsi="Times New Roman" w:cs="Times New Roman"/>
        </w:rPr>
        <w:t>outcomes than reactive measures in controlling disease spread.</w:t>
      </w:r>
      <w:r>
        <w:rPr>
          <w:rFonts w:ascii="Times New Roman" w:eastAsia="Malgun Gothic" w:hAnsi="Times New Roman" w:cs="Times New Roman" w:hint="eastAsia"/>
        </w:rPr>
        <w:t xml:space="preserve"> </w:t>
      </w:r>
      <w:r w:rsidRPr="0012775C">
        <w:rPr>
          <w:rFonts w:ascii="Times New Roman" w:eastAsia="Malgun Gothic" w:hAnsi="Times New Roman" w:cs="Times New Roman"/>
        </w:rPr>
        <w:t>Our findings reveal a consistent pattern where policy implementations typically follow two weeks after significant case increases. This reactive approach, while common, may not be optimal for epidemic control. As demonstrated by Wu et al. (2021)</w:t>
      </w:r>
      <w:r>
        <w:rPr>
          <w:rFonts w:ascii="Times New Roman" w:eastAsia="Malgun Gothic" w:hAnsi="Times New Roman" w:cs="Times New Roman"/>
        </w:rPr>
        <w:t xml:space="preserve"> </w:t>
      </w:r>
      <w:r>
        <w:rPr>
          <w:rFonts w:ascii="Times New Roman" w:eastAsia="Malgun Gothic" w:hAnsi="Times New Roman" w:cs="Times New Roman"/>
        </w:rPr>
        <w:fldChar w:fldCharType="begin"/>
      </w:r>
      <w:r>
        <w:rPr>
          <w:rFonts w:ascii="Times New Roman" w:eastAsia="Malgun Gothic" w:hAnsi="Times New Roman" w:cs="Times New Roman"/>
        </w:rPr>
        <w:instrText xml:space="preserve"> ADDIN ZOTERO_ITEM CSL_CITATION {"citationID":"ct1lsc7T","properties":{"formattedCitation":"[17]","plainCitation":"[17]","noteIndex":0},"citationItems":[{"id":74,"uris":["http://zotero.org/users/15424527/items/A9SJZCSB"],"itemData":{"id":74,"type":"article-journal","abstract":"&lt;p&gt;&lt;b&gt;Shishi Wu and colleagues&lt;/b&gt; examine three distinct response strategies for covid-19 in eight countries and argue that aggressive containment is the optimal approach to limiting loss of lives and livelihoods and achievable in the absence of vaccines and effective therapies&lt;/p&gt;","container-title":"BMJ","DOI":"10.1136/bmj-2021-067508","ISSN":"1756-1833","journalAbbreviation":"BMJ","language":"en","license":"© Author(s) (or their employer(s)) 2019. Re-use permitted under CC BY-NC. No commercial re-use. See rights and permissions. Published by BMJ.. This is an Open Access article distributed under the terms of the Creative Commons Attribution IGO License (https://creativecommons.org/licenses/by-nc/3.0/igo/), which permits use, distribution, and reproduction for non-commercial purposes in any medium, provided the original work is properly cited.","note":"publisher: British Medical Journal Publishing Group\nsection: Analysis\nPMID: 34840136","page":"e067508","source":"www.bmj.com","title":"Aggressive containment, suppression, and mitigation of covid-19: lessons learnt from eight countries","title-short":"Aggressive containment, suppression, and mitigation of covid-19","volume":"375","author":[{"family":"Wu","given":"Shishi"},{"family":"Neill","given":"Rachel"},{"family":"Foo","given":"Chuan De"},{"family":"Chua","given":"Alvin Qijia"},{"family":"Jung","given":"Anne-Sophie"},{"family":"Haldane","given":"Victoria"},{"family":"Abdalla","given":"Salma M."},{"family":"Guan","given":"Wei-jie"},{"family":"Singh","given":"Sudhvir"},{"family":"Nordström","given":"Anders"},{"family":"Legido-Quigley","given":"Helena"}],"issued":{"date-parts":[["2021",11,29]]}}}],"schema":"https://github.com/citation-style-language/schema/raw/master/csl-citation.json"} </w:instrText>
      </w:r>
      <w:r>
        <w:rPr>
          <w:rFonts w:ascii="Times New Roman" w:eastAsia="Malgun Gothic" w:hAnsi="Times New Roman" w:cs="Times New Roman"/>
        </w:rPr>
        <w:fldChar w:fldCharType="separate"/>
      </w:r>
      <w:r>
        <w:rPr>
          <w:rFonts w:ascii="Times New Roman" w:eastAsia="Malgun Gothic" w:hAnsi="Times New Roman" w:cs="Times New Roman"/>
          <w:noProof/>
        </w:rPr>
        <w:t>[17]</w:t>
      </w:r>
      <w:r>
        <w:rPr>
          <w:rFonts w:ascii="Times New Roman" w:eastAsia="Malgun Gothic" w:hAnsi="Times New Roman" w:cs="Times New Roman"/>
        </w:rPr>
        <w:fldChar w:fldCharType="end"/>
      </w:r>
      <w:r w:rsidRPr="0012775C">
        <w:rPr>
          <w:rFonts w:ascii="Times New Roman" w:eastAsia="Malgun Gothic" w:hAnsi="Times New Roman" w:cs="Times New Roman"/>
        </w:rPr>
        <w:t xml:space="preserve"> in their comparative analysis of COVID-19 responses across multiple countries, early implementation of containment measures before substantial case escalation was associated with more effective outbreak management. This evidence suggests that governments should adopt more proactive policies, initiating preventive actions at the first signs of rising cases rather than waiting for further escalation</w:t>
      </w:r>
      <w:r>
        <w:rPr>
          <w:rFonts w:ascii="Times New Roman" w:eastAsia="Malgun Gothic" w:hAnsi="Times New Roman" w:cs="Times New Roman"/>
        </w:rPr>
        <w:t>.</w:t>
      </w:r>
    </w:p>
    <w:p w14:paraId="7B5EE188" w14:textId="77777777" w:rsidR="0012775C" w:rsidRDefault="0012775C" w:rsidP="00501B3D">
      <w:pPr>
        <w:rPr>
          <w:rFonts w:ascii="Times New Roman" w:eastAsia="Malgun Gothic" w:hAnsi="Times New Roman" w:cs="Times New Roman"/>
        </w:rPr>
      </w:pPr>
    </w:p>
    <w:p w14:paraId="2DA9A6C1" w14:textId="70F8634C" w:rsidR="009D1D43" w:rsidRDefault="009D1D43" w:rsidP="009D1D43">
      <w:pPr>
        <w:rPr>
          <w:rFonts w:ascii="Times New Roman" w:eastAsia="Malgun Gothic" w:hAnsi="Times New Roman" w:cs="Times New Roman"/>
        </w:rPr>
      </w:pPr>
      <w:r>
        <w:rPr>
          <w:rFonts w:ascii="Times New Roman" w:eastAsia="Malgun Gothic" w:hAnsi="Times New Roman" w:cs="Times New Roman" w:hint="eastAsia"/>
        </w:rPr>
        <w:t>O</w:t>
      </w:r>
      <w:r w:rsidRPr="009D1D43">
        <w:rPr>
          <w:rFonts w:ascii="Times New Roman" w:eastAsia="Malgun Gothic" w:hAnsi="Times New Roman" w:cs="Times New Roman"/>
        </w:rPr>
        <w:t xml:space="preserve">ur analysis revealed distinct patterns between commercial and non-commercial districts, </w:t>
      </w:r>
      <w:r w:rsidRPr="009D1D43">
        <w:rPr>
          <w:rFonts w:ascii="Times New Roman" w:eastAsia="Malgun Gothic" w:hAnsi="Times New Roman" w:cs="Times New Roman"/>
        </w:rPr>
        <w:lastRenderedPageBreak/>
        <w:t xml:space="preserve">suggesting the need for targeted intervention strategies. Commercial areas demonstrated strong adherence to policy measures, with minimal time-lagged mobility effects, indicating effective policy compliance. However, the positive correlation between two-week-prior mobility and current incidence in these areas emphasizes the critical importance of early mobility restrictions in high-traffic zones. Meanwhile, non-commercial areas showed stronger voluntary behavior modification, suggesting that different approaches, such as regular testing and targeted public health </w:t>
      </w:r>
      <w:r>
        <w:rPr>
          <w:rFonts w:ascii="Times New Roman" w:eastAsia="Malgun Gothic" w:hAnsi="Times New Roman" w:cs="Times New Roman"/>
        </w:rPr>
        <w:t>announcement</w:t>
      </w:r>
      <w:r>
        <w:rPr>
          <w:rFonts w:ascii="Times New Roman" w:eastAsia="Malgun Gothic" w:hAnsi="Times New Roman" w:cs="Times New Roman" w:hint="eastAsia"/>
        </w:rPr>
        <w:t>s</w:t>
      </w:r>
      <w:r w:rsidRPr="009D1D43">
        <w:rPr>
          <w:rFonts w:ascii="Times New Roman" w:eastAsia="Malgun Gothic" w:hAnsi="Times New Roman" w:cs="Times New Roman"/>
        </w:rPr>
        <w:t xml:space="preserve">, might be more appropriate in </w:t>
      </w:r>
      <w:r w:rsidRPr="009D1D43">
        <w:rPr>
          <w:rFonts w:ascii="Times New Roman" w:eastAsia="Malgun Gothic" w:hAnsi="Times New Roman" w:cs="Times New Roman"/>
        </w:rPr>
        <w:t>these regions</w:t>
      </w:r>
      <w:r>
        <w:rPr>
          <w:rFonts w:ascii="Times New Roman" w:eastAsia="Malgun Gothic" w:hAnsi="Times New Roman" w:cs="Times New Roman"/>
        </w:rPr>
        <w:t xml:space="preserve">. This finding algins with the paper by </w:t>
      </w:r>
      <w:r w:rsidRPr="009D1D43">
        <w:rPr>
          <w:rFonts w:ascii="Times New Roman" w:eastAsia="Malgun Gothic" w:hAnsi="Times New Roman" w:cs="Times New Roman"/>
        </w:rPr>
        <w:t>Smith et al. (2021)</w:t>
      </w:r>
      <w:r>
        <w:rPr>
          <w:rFonts w:ascii="Times New Roman" w:eastAsia="Malgun Gothic" w:hAnsi="Times New Roman" w:cs="Times New Roman"/>
        </w:rPr>
        <w:t xml:space="preserve"> </w:t>
      </w:r>
      <w:r>
        <w:rPr>
          <w:rFonts w:ascii="Times New Roman" w:eastAsia="Malgun Gothic" w:hAnsi="Times New Roman" w:cs="Times New Roman"/>
        </w:rPr>
        <w:fldChar w:fldCharType="begin"/>
      </w:r>
      <w:r>
        <w:rPr>
          <w:rFonts w:ascii="Times New Roman" w:eastAsia="Malgun Gothic" w:hAnsi="Times New Roman" w:cs="Times New Roman"/>
        </w:rPr>
        <w:instrText xml:space="preserve"> ADDIN ZOTERO_ITEM CSL_CITATION {"citationID":"Q4dOfN5T","properties":{"formattedCitation":"[18]","plainCitation":"[18]","noteIndex":0},"citationItems":[{"id":77,"uris":["http://zotero.org/users/15424527/items/IWFD9DW2"],"itemData":{"id":77,"type":"article-journal","abstract":"During the COVID-19 pandemic, the UK government implemented a series of guidelines, rules, and restrictions to change citizens’ behaviour to tackle the spread of the virus, such as the promotion of face masks and the imposition of lockdown stay-at-home orders. The success of such measures requires active co-operation on the part of citizens, but compliance was not complete. Detailed research is required on the factors that aided or hindered compliance with these measures.","container-title":"BMC Public Health","DOI":"10.1186/s12889-021-12372-6","ISSN":"1471-2458","issue":"1","journalAbbreviation":"BMC Public Health","page":"34","source":"BioMed Central","title":"Facilitators and barriers to compliance with COVID-19 guidelines: a structural topic modelling analysis of free-text data from 17,500 UK adults","title-short":"Facilitators and barriers to compliance with COVID-19 guidelines","volume":"22","author":[{"family":"Wright","given":"Liam"},{"family":"Paul","given":"Elise"},{"family":"Steptoe","given":"Andrew"},{"family":"Fancourt","given":"Daisy"}],"issued":{"date-parts":[["2022",1,6]]}}}],"schema":"https://github.com/citation-style-language/schema/raw/master/csl-citation.json"} </w:instrText>
      </w:r>
      <w:r>
        <w:rPr>
          <w:rFonts w:ascii="Times New Roman" w:eastAsia="Malgun Gothic" w:hAnsi="Times New Roman" w:cs="Times New Roman"/>
        </w:rPr>
        <w:fldChar w:fldCharType="separate"/>
      </w:r>
      <w:r>
        <w:rPr>
          <w:rFonts w:ascii="Times New Roman" w:eastAsia="Malgun Gothic" w:hAnsi="Times New Roman" w:cs="Times New Roman"/>
          <w:noProof/>
        </w:rPr>
        <w:t>[18]</w:t>
      </w:r>
      <w:r>
        <w:rPr>
          <w:rFonts w:ascii="Times New Roman" w:eastAsia="Malgun Gothic" w:hAnsi="Times New Roman" w:cs="Times New Roman"/>
        </w:rPr>
        <w:fldChar w:fldCharType="end"/>
      </w:r>
      <w:r w:rsidRPr="009D1D43">
        <w:rPr>
          <w:rFonts w:ascii="Times New Roman" w:eastAsia="Malgun Gothic" w:hAnsi="Times New Roman" w:cs="Times New Roman"/>
        </w:rPr>
        <w:t>, which found that individuals' adherence to health guidelines is significantly influenced by personal beliefs and perceived susceptibility to illness.</w:t>
      </w:r>
      <w:r w:rsidR="00672A15">
        <w:rPr>
          <w:rFonts w:ascii="Times New Roman" w:eastAsia="Malgun Gothic" w:hAnsi="Times New Roman" w:cs="Times New Roman" w:hint="eastAsia"/>
        </w:rPr>
        <w:t xml:space="preserve"> </w:t>
      </w:r>
      <w:r w:rsidRPr="009D1D43">
        <w:rPr>
          <w:rFonts w:ascii="Times New Roman" w:eastAsia="Malgun Gothic" w:hAnsi="Times New Roman" w:cs="Times New Roman"/>
        </w:rPr>
        <w:t xml:space="preserve">The study also revealed that while policies immediately impact mobility patterns, their effect on incidence rates typically requires more than two weeks to materialize. This temporal gap between implementation and outcome, also noted by </w:t>
      </w:r>
      <w:proofErr w:type="gramStart"/>
      <w:r w:rsidR="005C4431" w:rsidRPr="005C4431">
        <w:rPr>
          <w:rFonts w:ascii="Times New Roman" w:eastAsia="Malgun Gothic" w:hAnsi="Times New Roman" w:cs="Times New Roman"/>
        </w:rPr>
        <w:t>He</w:t>
      </w:r>
      <w:proofErr w:type="gramEnd"/>
      <w:r w:rsidR="005C4431" w:rsidRPr="005C4431">
        <w:rPr>
          <w:rFonts w:ascii="Times New Roman" w:eastAsia="Malgun Gothic" w:hAnsi="Times New Roman" w:cs="Times New Roman"/>
        </w:rPr>
        <w:t>, Shan, et al.</w:t>
      </w:r>
      <w:r w:rsidRPr="009D1D43">
        <w:rPr>
          <w:rFonts w:ascii="Times New Roman" w:eastAsia="Malgun Gothic" w:hAnsi="Times New Roman" w:cs="Times New Roman"/>
        </w:rPr>
        <w:t xml:space="preserve"> (</w:t>
      </w:r>
      <w:r w:rsidR="005C4431">
        <w:rPr>
          <w:rFonts w:ascii="Times New Roman" w:eastAsia="Malgun Gothic" w:hAnsi="Times New Roman" w:cs="Times New Roman"/>
        </w:rPr>
        <w:t>2021</w:t>
      </w:r>
      <w:r w:rsidRPr="009D1D43">
        <w:rPr>
          <w:rFonts w:ascii="Times New Roman" w:eastAsia="Malgun Gothic" w:hAnsi="Times New Roman" w:cs="Times New Roman"/>
        </w:rPr>
        <w:t>)</w:t>
      </w:r>
      <w:r w:rsidR="005C4431">
        <w:rPr>
          <w:rFonts w:ascii="Times New Roman" w:eastAsia="Malgun Gothic" w:hAnsi="Times New Roman" w:cs="Times New Roman"/>
        </w:rPr>
        <w:t xml:space="preserve"> </w:t>
      </w:r>
      <w:r w:rsidR="005C4431">
        <w:rPr>
          <w:rFonts w:ascii="Times New Roman" w:eastAsia="Malgun Gothic" w:hAnsi="Times New Roman" w:cs="Times New Roman"/>
        </w:rPr>
        <w:fldChar w:fldCharType="begin"/>
      </w:r>
      <w:r w:rsidR="005C4431">
        <w:rPr>
          <w:rFonts w:ascii="Times New Roman" w:eastAsia="Malgun Gothic" w:hAnsi="Times New Roman" w:cs="Times New Roman"/>
        </w:rPr>
        <w:instrText xml:space="preserve"> ADDIN ZOTERO_ITEM CSL_CITATION {"citationID":"a4PqINNf","properties":{"formattedCitation":"[19]","plainCitation":"[19]","noteIndex":0},"citationItems":[{"id":82,"uris":["http://zotero.org/users/15424527/items/9F7HIGFC"],"itemData":{"id":82,"type":"article","abstract":"Background: Ever since the introduction of COVID-19 into the US, governments from the local to the federal levels have implemented combinations of responses to COVID-19. It is unclear how changes in human mobility across the country in response to intervention policies have shaped the transmission dynamic of COVID-19.Methods: Coupling a Bayesian hierarchical spatiotemporal model with the Google mobility data, we aimed to quantify the impact of human movement on COVID-19 incidence rate at the county level while accounting for spatial autocorrelation. We used both single-lag and distributed lag models to assess how movement today can affect incidence rates in the following weeks.Findings: On average, an increase in travel from home to other places was associated with an increase in reported COVID-19 incidence rate about 5 to 7 weeks later. A 10% increase in workplace movement 7 weeks ago was associated with 5% [95% confidence interval (CI): 1-9%] increase in COVID-19 incidence rate, 8% [95% CI:4-12%] for retail and recreation stores, 5% [95% CI:1-9%] for transits, and 5% [95% CI:29%] for grocery and pharmacies in the single-lag model analysis. No significant impact on incidence was found for human movement in parks. A 10% increase in the total duration at residential places was associated with a 13% (95% CI:6-20%) reduction in incidence rate 7 weeks after.Interpretation: Human movement activities substantially affected COVID-19 incidence rates at local levels but with delays varying from state to state. Policymakers should anticipate such a delay when planning intervention strategies restricting human movement.Funding Information: YY was supported by grant R56 AI148284 from the US National Institutes of Health. PJ was supported by grant R01 HL150119 from the US National Institutes of Health.Declaration of Interests: The Authors declare that there is no conflict of interest.Ethics Approval Statement: The study only involves publicly accessible deidentified and aggregated data and is therefore exempt from IRB approval.","DOI":"10.2139/ssrn.3845372","event-place":"Rochester, NY","genre":"SSRN Scholarly Paper","language":"en","number":"3845372","publisher":"Social Science Research Network","publisher-place":"Rochester, NY","source":"papers.ssrn.com","title":"Delay in the Effect of Restricting Community Mobility on the Spread of COVID-19 in the United States","URL":"https://papers.ssrn.com/abstract=3845372","author":[{"family":"He","given":"Shan"},{"family":"Lee","given":"Jooyoung"},{"family":"Langworthy","given":"Benjamin"},{"family":"Xin","given":"Junyi"},{"family":"James","given":"Peter"},{"family":"Yang","given":"Yang"},{"family":"Wang","given":"Molin"}],"accessed":{"date-parts":[["2024",11,4]]},"issued":{"date-parts":[["2021",5,13]]}}}],"schema":"https://github.com/citation-style-language/schema/raw/master/csl-citation.json"} </w:instrText>
      </w:r>
      <w:r w:rsidR="005C4431">
        <w:rPr>
          <w:rFonts w:ascii="Times New Roman" w:eastAsia="Malgun Gothic" w:hAnsi="Times New Roman" w:cs="Times New Roman"/>
        </w:rPr>
        <w:fldChar w:fldCharType="separate"/>
      </w:r>
      <w:r w:rsidR="005C4431">
        <w:rPr>
          <w:rFonts w:ascii="Times New Roman" w:eastAsia="Malgun Gothic" w:hAnsi="Times New Roman" w:cs="Times New Roman"/>
          <w:noProof/>
        </w:rPr>
        <w:t>[19]</w:t>
      </w:r>
      <w:r w:rsidR="005C4431">
        <w:rPr>
          <w:rFonts w:ascii="Times New Roman" w:eastAsia="Malgun Gothic" w:hAnsi="Times New Roman" w:cs="Times New Roman"/>
        </w:rPr>
        <w:fldChar w:fldCharType="end"/>
      </w:r>
      <w:r w:rsidR="005C4431">
        <w:rPr>
          <w:rFonts w:ascii="Times New Roman" w:eastAsia="Malgun Gothic" w:hAnsi="Times New Roman" w:cs="Times New Roman" w:hint="eastAsia"/>
        </w:rPr>
        <w:t xml:space="preserve"> and</w:t>
      </w:r>
      <w:r w:rsidR="005C4431">
        <w:rPr>
          <w:rFonts w:ascii="Times New Roman" w:eastAsia="Malgun Gothic" w:hAnsi="Times New Roman" w:cs="Times New Roman"/>
        </w:rPr>
        <w:t xml:space="preserve"> </w:t>
      </w:r>
      <w:proofErr w:type="spellStart"/>
      <w:r w:rsidR="005C4431">
        <w:rPr>
          <w:rFonts w:ascii="Times New Roman" w:eastAsia="Malgun Gothic" w:hAnsi="Times New Roman" w:cs="Times New Roman"/>
        </w:rPr>
        <w:t>Gianino</w:t>
      </w:r>
      <w:proofErr w:type="spellEnd"/>
      <w:r w:rsidR="005C4431">
        <w:rPr>
          <w:rFonts w:ascii="Times New Roman" w:eastAsia="Malgun Gothic" w:hAnsi="Times New Roman" w:cs="Times New Roman"/>
        </w:rPr>
        <w:t xml:space="preserve"> et al.(2021) </w:t>
      </w:r>
      <w:r w:rsidR="005C4431">
        <w:rPr>
          <w:rFonts w:ascii="Times New Roman" w:eastAsia="Malgun Gothic" w:hAnsi="Times New Roman" w:cs="Times New Roman"/>
        </w:rPr>
        <w:fldChar w:fldCharType="begin"/>
      </w:r>
      <w:r w:rsidR="005C4431">
        <w:rPr>
          <w:rFonts w:ascii="Times New Roman" w:eastAsia="Malgun Gothic" w:hAnsi="Times New Roman" w:cs="Times New Roman"/>
        </w:rPr>
        <w:instrText xml:space="preserve"> ADDIN ZOTERO_ITEM CSL_CITATION {"citationID":"OdxzBJly","properties":{"formattedCitation":"[14]","plainCitation":"[14]","noteIndex":0},"citationItems":[{"id":60,"uris":["http://zotero.org/users/15424527/items/NID4JF76"],"itemData":{"id":60,"type":"article-journal","abstract":"&lt;p&gt;On March 11, 2020, the World Health Organization (WHO) has officially declared the novel coronavirus outbreak a pandemic. The national governments deployed a series of severe control measures and a set of public health policies in order to stop the spread of COVID-19 pandemic. The aim of this study is to investigate the correlation between specific interventions and incident cases during the second wave in multiple and specific countries. The observational study was based on data from the Oxford COVID-19 Government Response Tracker (OxCGRT) source retrieved from October 1st, 2020 to January 10, 2021. Thirteen specific indicators related to measures adopted were considered. Four European countries were taken into account: Italy, German, Spain and UK. A vector autoregression (VAR) model and the Granger Causality test were performed to allow for an assessment of any possible effect induced by each control measure against the overall pandemic growth. Wald test was conducted to compute &lt;italic&gt;p&lt;/italic&gt;-values. No correlation between the applied measures and incident cases in the four countries was shown by the Granger causality test. Only closings of workplaces (C2) and limits on private gatherings showed (C4) a significant correlation with incident cases in UK and restrictions on internal movement between cities/regions in Germany. The Granger causality also tested that C2 and C4 forecasted the decrease of incident cases after a time lag of 6–30 days in UK and Germany, respectively. Policy makers must analyze the context in which policies are set because of effectiveness of interventions can be influenced by local context and, especially, by socio-economic and demographic characteristics, and make a proper communication to support the resilience of the population capable of guaranteeing adherence to the interventions implemented.&lt;/p&gt;","container-title":"Frontiers in Public Health","DOI":"10.3389/fpubh.2021.700811","ISSN":"2296-2565","journalAbbreviation":"Front. Public Health","language":"English","note":"publisher: Frontiers","source":"Frontiers","title":"Evaluation of the Strategies to Control COVID-19 Pandemic in Four European Countries","URL":"https://www.frontiersin.org/journals/public-health/articles/10.3389/fpubh.2021.700811/full","volume":"9","author":[{"family":"Gianino","given":"Maria Michela"},{"family":"Nurchis","given":"Mario Cesare"},{"family":"Politano","given":"Gianfranco"},{"family":"Rousset","given":"Stefano"},{"family":"Damiani","given":"Gianfranco"}],"accessed":{"date-parts":[["2024",10,22]]},"issued":{"date-parts":[["2021",10,5]]}}}],"schema":"https://github.com/citation-style-language/schema/raw/master/csl-citation.json"} </w:instrText>
      </w:r>
      <w:r w:rsidR="005C4431">
        <w:rPr>
          <w:rFonts w:ascii="Times New Roman" w:eastAsia="Malgun Gothic" w:hAnsi="Times New Roman" w:cs="Times New Roman"/>
        </w:rPr>
        <w:fldChar w:fldCharType="separate"/>
      </w:r>
      <w:r w:rsidR="005C4431">
        <w:rPr>
          <w:rFonts w:ascii="Times New Roman" w:eastAsia="Malgun Gothic" w:hAnsi="Times New Roman" w:cs="Times New Roman"/>
          <w:noProof/>
        </w:rPr>
        <w:t>[14]</w:t>
      </w:r>
      <w:r w:rsidR="005C4431">
        <w:rPr>
          <w:rFonts w:ascii="Times New Roman" w:eastAsia="Malgun Gothic" w:hAnsi="Times New Roman" w:cs="Times New Roman"/>
        </w:rPr>
        <w:fldChar w:fldCharType="end"/>
      </w:r>
      <w:r w:rsidRPr="009D1D43">
        <w:rPr>
          <w:rFonts w:ascii="Times New Roman" w:eastAsia="Malgun Gothic" w:hAnsi="Times New Roman" w:cs="Times New Roman"/>
        </w:rPr>
        <w:t>, underscores the importance of proactive policy deployment and sustained intervention measures. Our findings suggest that policymakers should consider this lag when designing and implementing control measures, particularly in anticipation of potential case surges.</w:t>
      </w:r>
    </w:p>
    <w:p w14:paraId="5F10BBEF" w14:textId="77777777" w:rsidR="005C4431" w:rsidRDefault="005C4431" w:rsidP="009D1D43">
      <w:pPr>
        <w:rPr>
          <w:rFonts w:ascii="Times New Roman" w:eastAsia="Malgun Gothic" w:hAnsi="Times New Roman" w:cs="Times New Roman"/>
        </w:rPr>
      </w:pPr>
    </w:p>
    <w:p w14:paraId="3B415DE6" w14:textId="55489316" w:rsidR="005C4431" w:rsidRDefault="005C4431" w:rsidP="009D1D43">
      <w:pPr>
        <w:rPr>
          <w:rFonts w:ascii="Times New Roman" w:eastAsia="Malgun Gothic" w:hAnsi="Times New Roman" w:cs="Times New Roman"/>
        </w:rPr>
      </w:pPr>
      <w:r w:rsidRPr="005C4431">
        <w:rPr>
          <w:rFonts w:ascii="Times New Roman" w:eastAsia="Malgun Gothic" w:hAnsi="Times New Roman" w:cs="Times New Roman"/>
        </w:rPr>
        <w:t>Despite these robust findings, our study has several limitations. The generalizability of our results may be constrained by the evolving nature of the pandemic, including changes in public compliance, vaccination rates, and viral variants. Additionally, while our fixed two-week lag assumption enhanced model interpretability, it may have overlooked longer-term effects across different pandemic phases. Future research could benefit from exploring alternative methodological approaches, such as structural VAR models with theory-based restrictions or non-parametric machine learning approaches capable of capturing non-linear relationships.</w:t>
      </w:r>
    </w:p>
    <w:p w14:paraId="5A9DA403" w14:textId="77777777" w:rsidR="00672A15" w:rsidRDefault="00672A15" w:rsidP="009D1D43">
      <w:pPr>
        <w:rPr>
          <w:rFonts w:ascii="Times New Roman" w:eastAsia="Malgun Gothic" w:hAnsi="Times New Roman" w:cs="Times New Roman"/>
        </w:rPr>
      </w:pPr>
    </w:p>
    <w:p w14:paraId="4C381B5B" w14:textId="0215D83C" w:rsidR="00672A15" w:rsidRDefault="00672A15" w:rsidP="00672A15">
      <w:pPr>
        <w:rPr>
          <w:rFonts w:ascii="Times New Roman" w:eastAsia="Malgun Gothic" w:hAnsi="Times New Roman" w:cs="Times New Roman"/>
        </w:rPr>
      </w:pPr>
      <w:r w:rsidRPr="00672A15">
        <w:rPr>
          <w:rFonts w:ascii="Times New Roman" w:eastAsia="Malgun Gothic" w:hAnsi="Times New Roman" w:cs="Times New Roman"/>
        </w:rPr>
        <w:t>The practical implications of our findings suggest that effective pandemic control requires a nuanced, region-specific approach. In commercial areas, strict mobility controls appear to be most effective, while non-commercial regions may benefit more from measures that encourage and support voluntary compliance. This differentiated approach, supported by rapid public health response systems and clear communication strategies, could enhance the effectiveness of future pandemic control efforts.</w:t>
      </w:r>
      <w:r>
        <w:rPr>
          <w:rFonts w:ascii="Times New Roman" w:eastAsia="Malgun Gothic" w:hAnsi="Times New Roman" w:cs="Times New Roman" w:hint="eastAsia"/>
        </w:rPr>
        <w:t xml:space="preserve"> </w:t>
      </w:r>
      <w:r w:rsidRPr="00672A15">
        <w:rPr>
          <w:rFonts w:ascii="Times New Roman" w:eastAsia="Malgun Gothic" w:hAnsi="Times New Roman" w:cs="Times New Roman"/>
        </w:rPr>
        <w:t>T</w:t>
      </w:r>
      <w:r>
        <w:rPr>
          <w:rFonts w:ascii="Times New Roman" w:eastAsia="Malgun Gothic" w:hAnsi="Times New Roman" w:cs="Times New Roman" w:hint="eastAsia"/>
        </w:rPr>
        <w:t>h</w:t>
      </w:r>
      <w:r w:rsidRPr="00672A15">
        <w:rPr>
          <w:rFonts w:ascii="Times New Roman" w:eastAsia="Malgun Gothic" w:hAnsi="Times New Roman" w:cs="Times New Roman"/>
        </w:rPr>
        <w:t>ese insights contribute to the growing body of evidence supporting data-driven, location-specific approaches to pandemic management. Understanding the complex interactions between human behavior, policy interventions, and disease spread is crucial for developing more effective public health strategies. Future research should continue to explore these relationships across different contexts and phases of pandemic response, particularly focusing on the long-term sustainability of behavioral changes and policy effectiveness.</w:t>
      </w:r>
    </w:p>
    <w:p w14:paraId="1BF50F48" w14:textId="77777777" w:rsidR="00672A15" w:rsidRDefault="00672A15" w:rsidP="00672A15">
      <w:pPr>
        <w:rPr>
          <w:rFonts w:ascii="Times New Roman" w:eastAsia="Malgun Gothic" w:hAnsi="Times New Roman" w:cs="Times New Roman"/>
        </w:rPr>
      </w:pPr>
    </w:p>
    <w:p w14:paraId="7FF685AD" w14:textId="77777777" w:rsidR="00672A15" w:rsidRPr="009D1D43" w:rsidRDefault="00672A15" w:rsidP="00672A15">
      <w:pPr>
        <w:rPr>
          <w:rFonts w:ascii="Times New Roman" w:eastAsia="Malgun Gothic" w:hAnsi="Times New Roman" w:cs="Times New Roman" w:hint="eastAsia"/>
        </w:rPr>
      </w:pPr>
    </w:p>
    <w:p w14:paraId="08D56368" w14:textId="3647CAA2" w:rsidR="00340494" w:rsidRPr="00340494" w:rsidRDefault="00340494" w:rsidP="00340494">
      <w:pPr>
        <w:spacing w:line="276" w:lineRule="auto"/>
        <w:rPr>
          <w:rFonts w:ascii="Times New Roman" w:hAnsi="Times New Roman" w:cs="Times New Roman"/>
          <w:b/>
          <w:bCs/>
        </w:rPr>
      </w:pPr>
      <w:r>
        <w:rPr>
          <w:rFonts w:ascii="Times New Roman" w:hAnsi="Times New Roman" w:cs="Times New Roman"/>
          <w:b/>
          <w:bCs/>
        </w:rPr>
        <w:t>Reference</w:t>
      </w:r>
    </w:p>
    <w:p w14:paraId="5822D5A5" w14:textId="77777777" w:rsidR="005C4431" w:rsidRPr="005C4431" w:rsidRDefault="001A559B" w:rsidP="005C4431">
      <w:pPr>
        <w:pStyle w:val="af1"/>
        <w:rPr>
          <w:rFonts w:ascii="Times New Roman" w:hAnsi="Times New Roman" w:cs="Times New Roman"/>
          <w:sz w:val="24"/>
        </w:rPr>
      </w:pPr>
      <w:r>
        <w:rPr>
          <w:rFonts w:eastAsia="宋体"/>
          <w14:ligatures w14:val="none"/>
        </w:rPr>
        <w:fldChar w:fldCharType="begin"/>
      </w:r>
      <w:r>
        <w:rPr>
          <w:rFonts w:eastAsia="宋体"/>
          <w14:ligatures w14:val="none"/>
        </w:rPr>
        <w:instrText xml:space="preserve"> ADDIN ZOTERO_BIBL {"uncited":[],"omitted":[],"custom":[]} CSL_BIBLIOGRAPHY </w:instrText>
      </w:r>
      <w:r>
        <w:rPr>
          <w:rFonts w:eastAsia="宋体"/>
          <w14:ligatures w14:val="none"/>
        </w:rPr>
        <w:fldChar w:fldCharType="separate"/>
      </w:r>
      <w:r w:rsidR="005C4431" w:rsidRPr="005C4431">
        <w:rPr>
          <w:rFonts w:ascii="Times New Roman" w:hAnsi="Times New Roman" w:cs="Times New Roman"/>
          <w:sz w:val="24"/>
        </w:rPr>
        <w:t>[1]</w:t>
      </w:r>
      <w:r w:rsidR="005C4431" w:rsidRPr="005C4431">
        <w:rPr>
          <w:rFonts w:ascii="Times New Roman" w:hAnsi="Times New Roman" w:cs="Times New Roman"/>
          <w:sz w:val="24"/>
        </w:rPr>
        <w:tab/>
        <w:t xml:space="preserve">Q. Huang </w:t>
      </w:r>
      <w:r w:rsidR="005C4431" w:rsidRPr="005C4431">
        <w:rPr>
          <w:rFonts w:ascii="Times New Roman" w:hAnsi="Times New Roman" w:cs="Times New Roman"/>
          <w:i/>
          <w:iCs/>
          <w:sz w:val="24"/>
        </w:rPr>
        <w:t>et al.</w:t>
      </w:r>
      <w:r w:rsidR="005C4431" w:rsidRPr="005C4431">
        <w:rPr>
          <w:rFonts w:ascii="Times New Roman" w:hAnsi="Times New Roman" w:cs="Times New Roman"/>
          <w:sz w:val="24"/>
        </w:rPr>
        <w:t xml:space="preserve">, “Urban-rural differences in COVID-19 exposures and outcomes in the South: A preliminary analysis of South Carolina,” </w:t>
      </w:r>
      <w:r w:rsidR="005C4431" w:rsidRPr="005C4431">
        <w:rPr>
          <w:rFonts w:ascii="Times New Roman" w:hAnsi="Times New Roman" w:cs="Times New Roman"/>
          <w:i/>
          <w:iCs/>
          <w:sz w:val="24"/>
        </w:rPr>
        <w:t>PLOS ONE</w:t>
      </w:r>
      <w:r w:rsidR="005C4431" w:rsidRPr="005C4431">
        <w:rPr>
          <w:rFonts w:ascii="Times New Roman" w:hAnsi="Times New Roman" w:cs="Times New Roman"/>
          <w:sz w:val="24"/>
        </w:rPr>
        <w:t xml:space="preserve">, vol. 16, no. 2, p. e0246548, Feb. 2021, </w:t>
      </w:r>
      <w:proofErr w:type="spellStart"/>
      <w:r w:rsidR="005C4431" w:rsidRPr="005C4431">
        <w:rPr>
          <w:rFonts w:ascii="Times New Roman" w:hAnsi="Times New Roman" w:cs="Times New Roman"/>
          <w:sz w:val="24"/>
        </w:rPr>
        <w:t>doi</w:t>
      </w:r>
      <w:proofErr w:type="spellEnd"/>
      <w:r w:rsidR="005C4431" w:rsidRPr="005C4431">
        <w:rPr>
          <w:rFonts w:ascii="Times New Roman" w:hAnsi="Times New Roman" w:cs="Times New Roman"/>
          <w:sz w:val="24"/>
        </w:rPr>
        <w:t>: 10.1371/journal.pone.0246548.</w:t>
      </w:r>
    </w:p>
    <w:p w14:paraId="4B6AFDEC"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[2]</w:t>
      </w:r>
      <w:r w:rsidRPr="005C4431">
        <w:rPr>
          <w:rFonts w:ascii="Times New Roman" w:hAnsi="Times New Roman" w:cs="Times New Roman"/>
          <w:sz w:val="24"/>
        </w:rPr>
        <w:tab/>
        <w:t xml:space="preserve">B. Hong, B. J. </w:t>
      </w:r>
      <w:proofErr w:type="spellStart"/>
      <w:r w:rsidRPr="005C4431">
        <w:rPr>
          <w:rFonts w:ascii="Times New Roman" w:hAnsi="Times New Roman" w:cs="Times New Roman"/>
          <w:sz w:val="24"/>
        </w:rPr>
        <w:t>Bonczak</w:t>
      </w:r>
      <w:proofErr w:type="spellEnd"/>
      <w:r w:rsidRPr="005C4431">
        <w:rPr>
          <w:rFonts w:ascii="Times New Roman" w:hAnsi="Times New Roman" w:cs="Times New Roman"/>
          <w:sz w:val="24"/>
        </w:rPr>
        <w:t xml:space="preserve">, A. Gupta, L. E. Thorpe, and C. E. </w:t>
      </w:r>
      <w:proofErr w:type="spellStart"/>
      <w:r w:rsidRPr="005C4431">
        <w:rPr>
          <w:rFonts w:ascii="Times New Roman" w:hAnsi="Times New Roman" w:cs="Times New Roman"/>
          <w:sz w:val="24"/>
        </w:rPr>
        <w:t>Kontokosta</w:t>
      </w:r>
      <w:proofErr w:type="spellEnd"/>
      <w:r w:rsidRPr="005C4431">
        <w:rPr>
          <w:rFonts w:ascii="Times New Roman" w:hAnsi="Times New Roman" w:cs="Times New Roman"/>
          <w:sz w:val="24"/>
        </w:rPr>
        <w:t xml:space="preserve">, “Exposure density and neighborhood disparities in COVID-19 infection risk,” </w:t>
      </w:r>
      <w:r w:rsidRPr="005C4431">
        <w:rPr>
          <w:rFonts w:ascii="Times New Roman" w:hAnsi="Times New Roman" w:cs="Times New Roman"/>
          <w:i/>
          <w:iCs/>
          <w:sz w:val="24"/>
        </w:rPr>
        <w:t>Proc. Natl. Acad. Sci.</w:t>
      </w:r>
      <w:r w:rsidRPr="005C4431">
        <w:rPr>
          <w:rFonts w:ascii="Times New Roman" w:hAnsi="Times New Roman" w:cs="Times New Roman"/>
          <w:sz w:val="24"/>
        </w:rPr>
        <w:t xml:space="preserve">, vol. 118, no. 13, p. e2021258118, Mar. 2021,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xml:space="preserve">: </w:t>
      </w:r>
      <w:r w:rsidRPr="005C4431">
        <w:rPr>
          <w:rFonts w:ascii="Times New Roman" w:hAnsi="Times New Roman" w:cs="Times New Roman"/>
          <w:sz w:val="24"/>
        </w:rPr>
        <w:lastRenderedPageBreak/>
        <w:t>10.1073/pnas.2021258118.</w:t>
      </w:r>
    </w:p>
    <w:p w14:paraId="629C1E8C"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[3]</w:t>
      </w:r>
      <w:r w:rsidRPr="005C4431">
        <w:rPr>
          <w:rFonts w:ascii="Times New Roman" w:hAnsi="Times New Roman" w:cs="Times New Roman"/>
          <w:sz w:val="24"/>
        </w:rPr>
        <w:tab/>
        <w:t xml:space="preserve">G. A. </w:t>
      </w:r>
      <w:proofErr w:type="spellStart"/>
      <w:r w:rsidRPr="005C4431">
        <w:rPr>
          <w:rFonts w:ascii="Times New Roman" w:hAnsi="Times New Roman" w:cs="Times New Roman"/>
          <w:sz w:val="24"/>
        </w:rPr>
        <w:t>Wellenius</w:t>
      </w:r>
      <w:proofErr w:type="spellEnd"/>
      <w:r w:rsidRPr="005C4431">
        <w:rPr>
          <w:rFonts w:ascii="Times New Roman" w:hAnsi="Times New Roman" w:cs="Times New Roman"/>
          <w:sz w:val="24"/>
        </w:rPr>
        <w:t xml:space="preserve"> </w:t>
      </w:r>
      <w:r w:rsidRPr="005C4431">
        <w:rPr>
          <w:rFonts w:ascii="Times New Roman" w:hAnsi="Times New Roman" w:cs="Times New Roman"/>
          <w:i/>
          <w:iCs/>
          <w:sz w:val="24"/>
        </w:rPr>
        <w:t>et al.</w:t>
      </w:r>
      <w:r w:rsidRPr="005C4431">
        <w:rPr>
          <w:rFonts w:ascii="Times New Roman" w:hAnsi="Times New Roman" w:cs="Times New Roman"/>
          <w:sz w:val="24"/>
        </w:rPr>
        <w:t xml:space="preserve">, “Impacts of social distancing policies on mobility and COVID-19 case growth in the US,” </w:t>
      </w:r>
      <w:r w:rsidRPr="005C4431">
        <w:rPr>
          <w:rFonts w:ascii="Times New Roman" w:hAnsi="Times New Roman" w:cs="Times New Roman"/>
          <w:i/>
          <w:iCs/>
          <w:sz w:val="24"/>
        </w:rPr>
        <w:t>Nat. Commun.</w:t>
      </w:r>
      <w:r w:rsidRPr="005C4431">
        <w:rPr>
          <w:rFonts w:ascii="Times New Roman" w:hAnsi="Times New Roman" w:cs="Times New Roman"/>
          <w:sz w:val="24"/>
        </w:rPr>
        <w:t xml:space="preserve">, vol. 12, no. 1, p. 3118, May 2021,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10.1038/s41467-021-23404-5.</w:t>
      </w:r>
    </w:p>
    <w:p w14:paraId="1A4CDC92"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[4]</w:t>
      </w:r>
      <w:r w:rsidRPr="005C4431">
        <w:rPr>
          <w:rFonts w:ascii="Times New Roman" w:hAnsi="Times New Roman" w:cs="Times New Roman"/>
          <w:sz w:val="24"/>
        </w:rPr>
        <w:tab/>
        <w:t xml:space="preserve">K. Kim, S. Kim, D. Lee, and C.-Y. Park, “Impacts of social distancing policy and vaccination during the COVID-19 pandemic in the Republic of Korea,” </w:t>
      </w:r>
      <w:r w:rsidRPr="005C4431">
        <w:rPr>
          <w:rFonts w:ascii="Times New Roman" w:hAnsi="Times New Roman" w:cs="Times New Roman"/>
          <w:i/>
          <w:iCs/>
          <w:sz w:val="24"/>
        </w:rPr>
        <w:t>J. Econ. Dyn. Control</w:t>
      </w:r>
      <w:r w:rsidRPr="005C4431">
        <w:rPr>
          <w:rFonts w:ascii="Times New Roman" w:hAnsi="Times New Roman" w:cs="Times New Roman"/>
          <w:sz w:val="24"/>
        </w:rPr>
        <w:t xml:space="preserve">, vol. 150, p. 104642, May 2023,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10.1016/j.jedc.2023.104642.</w:t>
      </w:r>
    </w:p>
    <w:p w14:paraId="11B67C3F"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[5]</w:t>
      </w:r>
      <w:r w:rsidRPr="005C4431">
        <w:rPr>
          <w:rFonts w:ascii="Times New Roman" w:hAnsi="Times New Roman" w:cs="Times New Roman"/>
          <w:sz w:val="24"/>
        </w:rPr>
        <w:tab/>
        <w:t xml:space="preserve">T. Hale </w:t>
      </w:r>
      <w:r w:rsidRPr="005C4431">
        <w:rPr>
          <w:rFonts w:ascii="Times New Roman" w:hAnsi="Times New Roman" w:cs="Times New Roman"/>
          <w:i/>
          <w:iCs/>
          <w:sz w:val="24"/>
        </w:rPr>
        <w:t>et al.</w:t>
      </w:r>
      <w:r w:rsidRPr="005C4431">
        <w:rPr>
          <w:rFonts w:ascii="Times New Roman" w:hAnsi="Times New Roman" w:cs="Times New Roman"/>
          <w:sz w:val="24"/>
        </w:rPr>
        <w:t xml:space="preserve">, “A global panel database of pandemic policies (Oxford COVID-19 Government Response Tracker),” </w:t>
      </w:r>
      <w:r w:rsidRPr="005C4431">
        <w:rPr>
          <w:rFonts w:ascii="Times New Roman" w:hAnsi="Times New Roman" w:cs="Times New Roman"/>
          <w:i/>
          <w:iCs/>
          <w:sz w:val="24"/>
        </w:rPr>
        <w:t xml:space="preserve">Nat. Hum. </w:t>
      </w:r>
      <w:proofErr w:type="spellStart"/>
      <w:r w:rsidRPr="005C4431">
        <w:rPr>
          <w:rFonts w:ascii="Times New Roman" w:hAnsi="Times New Roman" w:cs="Times New Roman"/>
          <w:i/>
          <w:iCs/>
          <w:sz w:val="24"/>
        </w:rPr>
        <w:t>Behav</w:t>
      </w:r>
      <w:proofErr w:type="spellEnd"/>
      <w:r w:rsidRPr="005C4431">
        <w:rPr>
          <w:rFonts w:ascii="Times New Roman" w:hAnsi="Times New Roman" w:cs="Times New Roman"/>
          <w:i/>
          <w:iCs/>
          <w:sz w:val="24"/>
        </w:rPr>
        <w:t>.</w:t>
      </w:r>
      <w:r w:rsidRPr="005C4431">
        <w:rPr>
          <w:rFonts w:ascii="Times New Roman" w:hAnsi="Times New Roman" w:cs="Times New Roman"/>
          <w:sz w:val="24"/>
        </w:rPr>
        <w:t xml:space="preserve">, vol. 5, no. 4, pp. 529–538, Apr. 2021,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10.1038/s41562-021-01079-8.</w:t>
      </w:r>
    </w:p>
    <w:p w14:paraId="20C94100"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[6]</w:t>
      </w:r>
      <w:r w:rsidRPr="005C4431">
        <w:rPr>
          <w:rFonts w:ascii="Times New Roman" w:hAnsi="Times New Roman" w:cs="Times New Roman"/>
          <w:sz w:val="24"/>
        </w:rPr>
        <w:tab/>
        <w:t xml:space="preserve">S. A. </w:t>
      </w:r>
      <w:proofErr w:type="spellStart"/>
      <w:r w:rsidRPr="005C4431">
        <w:rPr>
          <w:rFonts w:ascii="Times New Roman" w:hAnsi="Times New Roman" w:cs="Times New Roman"/>
          <w:sz w:val="24"/>
        </w:rPr>
        <w:t>Iyaniwura</w:t>
      </w:r>
      <w:proofErr w:type="spellEnd"/>
      <w:r w:rsidRPr="005C4431">
        <w:rPr>
          <w:rFonts w:ascii="Times New Roman" w:hAnsi="Times New Roman" w:cs="Times New Roman"/>
          <w:sz w:val="24"/>
        </w:rPr>
        <w:t xml:space="preserve"> </w:t>
      </w:r>
      <w:r w:rsidRPr="005C4431">
        <w:rPr>
          <w:rFonts w:ascii="Times New Roman" w:hAnsi="Times New Roman" w:cs="Times New Roman"/>
          <w:i/>
          <w:iCs/>
          <w:sz w:val="24"/>
        </w:rPr>
        <w:t>et al.</w:t>
      </w:r>
      <w:r w:rsidRPr="005C4431">
        <w:rPr>
          <w:rFonts w:ascii="Times New Roman" w:hAnsi="Times New Roman" w:cs="Times New Roman"/>
          <w:sz w:val="24"/>
        </w:rPr>
        <w:t xml:space="preserve">, “Understanding the impact of mobility on COVID-19 spread: A hybrid gravity-metapopulation model of COVID-19,” </w:t>
      </w:r>
      <w:r w:rsidRPr="005C4431">
        <w:rPr>
          <w:rFonts w:ascii="Times New Roman" w:hAnsi="Times New Roman" w:cs="Times New Roman"/>
          <w:i/>
          <w:iCs/>
          <w:sz w:val="24"/>
        </w:rPr>
        <w:t xml:space="preserve">PLOS </w:t>
      </w:r>
      <w:proofErr w:type="spellStart"/>
      <w:r w:rsidRPr="005C4431">
        <w:rPr>
          <w:rFonts w:ascii="Times New Roman" w:hAnsi="Times New Roman" w:cs="Times New Roman"/>
          <w:i/>
          <w:iCs/>
          <w:sz w:val="24"/>
        </w:rPr>
        <w:t>Comput</w:t>
      </w:r>
      <w:proofErr w:type="spellEnd"/>
      <w:r w:rsidRPr="005C4431">
        <w:rPr>
          <w:rFonts w:ascii="Times New Roman" w:hAnsi="Times New Roman" w:cs="Times New Roman"/>
          <w:i/>
          <w:iCs/>
          <w:sz w:val="24"/>
        </w:rPr>
        <w:t>. Biol.</w:t>
      </w:r>
      <w:r w:rsidRPr="005C4431">
        <w:rPr>
          <w:rFonts w:ascii="Times New Roman" w:hAnsi="Times New Roman" w:cs="Times New Roman"/>
          <w:sz w:val="24"/>
        </w:rPr>
        <w:t xml:space="preserve">, vol. 19, no. 5, p. e1011123, May 2023,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10.1371/journal.pcbi.1011123.</w:t>
      </w:r>
    </w:p>
    <w:p w14:paraId="63CF54BF"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[7]</w:t>
      </w:r>
      <w:r w:rsidRPr="005C4431">
        <w:rPr>
          <w:rFonts w:ascii="Times New Roman" w:hAnsi="Times New Roman" w:cs="Times New Roman"/>
          <w:sz w:val="24"/>
        </w:rPr>
        <w:tab/>
        <w:t xml:space="preserve">D. A. Armstrong, M. J. </w:t>
      </w:r>
      <w:proofErr w:type="spellStart"/>
      <w:r w:rsidRPr="005C4431">
        <w:rPr>
          <w:rFonts w:ascii="Times New Roman" w:hAnsi="Times New Roman" w:cs="Times New Roman"/>
          <w:sz w:val="24"/>
        </w:rPr>
        <w:t>Lebo</w:t>
      </w:r>
      <w:proofErr w:type="spellEnd"/>
      <w:r w:rsidRPr="005C4431">
        <w:rPr>
          <w:rFonts w:ascii="Times New Roman" w:hAnsi="Times New Roman" w:cs="Times New Roman"/>
          <w:sz w:val="24"/>
        </w:rPr>
        <w:t xml:space="preserve">, and J. Lucas, “Do COVID-19 Policies Affect Mobility </w:t>
      </w:r>
      <w:proofErr w:type="spellStart"/>
      <w:r w:rsidRPr="005C4431">
        <w:rPr>
          <w:rFonts w:ascii="Times New Roman" w:hAnsi="Times New Roman" w:cs="Times New Roman"/>
          <w:sz w:val="24"/>
        </w:rPr>
        <w:t>Behaviour</w:t>
      </w:r>
      <w:proofErr w:type="spellEnd"/>
      <w:r w:rsidRPr="005C4431">
        <w:rPr>
          <w:rFonts w:ascii="Times New Roman" w:hAnsi="Times New Roman" w:cs="Times New Roman"/>
          <w:sz w:val="24"/>
        </w:rPr>
        <w:t xml:space="preserve">? Evidence from 75 Canadian and American Cities,” </w:t>
      </w:r>
      <w:r w:rsidRPr="005C4431">
        <w:rPr>
          <w:rFonts w:ascii="Times New Roman" w:hAnsi="Times New Roman" w:cs="Times New Roman"/>
          <w:i/>
          <w:iCs/>
          <w:sz w:val="24"/>
        </w:rPr>
        <w:t>Can. Public Policy</w:t>
      </w:r>
      <w:r w:rsidRPr="005C4431">
        <w:rPr>
          <w:rFonts w:ascii="Times New Roman" w:hAnsi="Times New Roman" w:cs="Times New Roman"/>
          <w:sz w:val="24"/>
        </w:rPr>
        <w:t xml:space="preserve">, vol. 46, no. S2, pp. S127–S144, Aug. 2020,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10.3138/cpp.2020-062.</w:t>
      </w:r>
    </w:p>
    <w:p w14:paraId="23F3029F"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[8]</w:t>
      </w:r>
      <w:r w:rsidRPr="005C4431">
        <w:rPr>
          <w:rFonts w:ascii="Times New Roman" w:hAnsi="Times New Roman" w:cs="Times New Roman"/>
          <w:sz w:val="24"/>
        </w:rPr>
        <w:tab/>
        <w:t xml:space="preserve">M. A. Tully </w:t>
      </w:r>
      <w:r w:rsidRPr="005C4431">
        <w:rPr>
          <w:rFonts w:ascii="Times New Roman" w:hAnsi="Times New Roman" w:cs="Times New Roman"/>
          <w:i/>
          <w:iCs/>
          <w:sz w:val="24"/>
        </w:rPr>
        <w:t>et al.</w:t>
      </w:r>
      <w:r w:rsidRPr="005C4431">
        <w:rPr>
          <w:rFonts w:ascii="Times New Roman" w:hAnsi="Times New Roman" w:cs="Times New Roman"/>
          <w:sz w:val="24"/>
        </w:rPr>
        <w:t xml:space="preserve">, “The effect of different COVID-19 public health restrictions on mobility: A systematic review,” </w:t>
      </w:r>
      <w:r w:rsidRPr="005C4431">
        <w:rPr>
          <w:rFonts w:ascii="Times New Roman" w:hAnsi="Times New Roman" w:cs="Times New Roman"/>
          <w:i/>
          <w:iCs/>
          <w:sz w:val="24"/>
        </w:rPr>
        <w:t>PLOS ONE</w:t>
      </w:r>
      <w:r w:rsidRPr="005C4431">
        <w:rPr>
          <w:rFonts w:ascii="Times New Roman" w:hAnsi="Times New Roman" w:cs="Times New Roman"/>
          <w:sz w:val="24"/>
        </w:rPr>
        <w:t xml:space="preserve">, vol. 16, no. 12, p. e0260919, Dec. 2021,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10.1371/journal.pone.0260919.</w:t>
      </w:r>
    </w:p>
    <w:p w14:paraId="3CB8626E"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[9]</w:t>
      </w:r>
      <w:r w:rsidRPr="005C4431">
        <w:rPr>
          <w:rFonts w:ascii="Times New Roman" w:hAnsi="Times New Roman" w:cs="Times New Roman"/>
          <w:sz w:val="24"/>
        </w:rPr>
        <w:tab/>
        <w:t xml:space="preserve">A. </w:t>
      </w:r>
      <w:proofErr w:type="spellStart"/>
      <w:r w:rsidRPr="005C4431">
        <w:rPr>
          <w:rFonts w:ascii="Times New Roman" w:hAnsi="Times New Roman" w:cs="Times New Roman"/>
          <w:sz w:val="24"/>
        </w:rPr>
        <w:t>Erfani</w:t>
      </w:r>
      <w:proofErr w:type="spellEnd"/>
      <w:r w:rsidRPr="005C4431">
        <w:rPr>
          <w:rFonts w:ascii="Times New Roman" w:hAnsi="Times New Roman" w:cs="Times New Roman"/>
          <w:sz w:val="24"/>
        </w:rPr>
        <w:t xml:space="preserve"> and V. Frias-Martinez, “A fairness assessment of mobility-based COVID-19 case prediction models,” </w:t>
      </w:r>
      <w:r w:rsidRPr="005C4431">
        <w:rPr>
          <w:rFonts w:ascii="Times New Roman" w:hAnsi="Times New Roman" w:cs="Times New Roman"/>
          <w:i/>
          <w:iCs/>
          <w:sz w:val="24"/>
        </w:rPr>
        <w:t>PLOS ONE</w:t>
      </w:r>
      <w:r w:rsidRPr="005C4431">
        <w:rPr>
          <w:rFonts w:ascii="Times New Roman" w:hAnsi="Times New Roman" w:cs="Times New Roman"/>
          <w:sz w:val="24"/>
        </w:rPr>
        <w:t xml:space="preserve">, vol. 18, no. 10, p. e0292090, Oct. 2023,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10.1371/journal.pone.0292090.</w:t>
      </w:r>
    </w:p>
    <w:p w14:paraId="08A4F98B"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[10]</w:t>
      </w:r>
      <w:r w:rsidRPr="005C4431">
        <w:rPr>
          <w:rFonts w:ascii="Times New Roman" w:hAnsi="Times New Roman" w:cs="Times New Roman"/>
          <w:sz w:val="24"/>
        </w:rPr>
        <w:tab/>
        <w:t xml:space="preserve">C. </w:t>
      </w:r>
      <w:proofErr w:type="spellStart"/>
      <w:r w:rsidRPr="005C4431">
        <w:rPr>
          <w:rFonts w:ascii="Times New Roman" w:hAnsi="Times New Roman" w:cs="Times New Roman"/>
          <w:sz w:val="24"/>
        </w:rPr>
        <w:t>Ilin</w:t>
      </w:r>
      <w:proofErr w:type="spellEnd"/>
      <w:r w:rsidRPr="005C4431">
        <w:rPr>
          <w:rFonts w:ascii="Times New Roman" w:hAnsi="Times New Roman" w:cs="Times New Roman"/>
          <w:sz w:val="24"/>
        </w:rPr>
        <w:t xml:space="preserve">, S. Annan-Phan, X. H. Tai, S. Mehra, S. Hsiang, and J. E. </w:t>
      </w:r>
      <w:proofErr w:type="spellStart"/>
      <w:r w:rsidRPr="005C4431">
        <w:rPr>
          <w:rFonts w:ascii="Times New Roman" w:hAnsi="Times New Roman" w:cs="Times New Roman"/>
          <w:sz w:val="24"/>
        </w:rPr>
        <w:t>Blumenstock</w:t>
      </w:r>
      <w:proofErr w:type="spellEnd"/>
      <w:r w:rsidRPr="005C4431">
        <w:rPr>
          <w:rFonts w:ascii="Times New Roman" w:hAnsi="Times New Roman" w:cs="Times New Roman"/>
          <w:sz w:val="24"/>
        </w:rPr>
        <w:t xml:space="preserve">, “Public mobility data enables COVID-19 forecasting and management at local and global scales,” </w:t>
      </w:r>
      <w:r w:rsidRPr="005C4431">
        <w:rPr>
          <w:rFonts w:ascii="Times New Roman" w:hAnsi="Times New Roman" w:cs="Times New Roman"/>
          <w:i/>
          <w:iCs/>
          <w:sz w:val="24"/>
        </w:rPr>
        <w:t>Sci. Rep.</w:t>
      </w:r>
      <w:r w:rsidRPr="005C4431">
        <w:rPr>
          <w:rFonts w:ascii="Times New Roman" w:hAnsi="Times New Roman" w:cs="Times New Roman"/>
          <w:sz w:val="24"/>
        </w:rPr>
        <w:t xml:space="preserve">, vol. 11, no. 1, p. 13531, Jun. 2021,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10.1038/s41598-021-92892-8.</w:t>
      </w:r>
    </w:p>
    <w:p w14:paraId="3C060C55"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[11]</w:t>
      </w:r>
      <w:r w:rsidRPr="005C4431">
        <w:rPr>
          <w:rFonts w:ascii="Times New Roman" w:hAnsi="Times New Roman" w:cs="Times New Roman"/>
          <w:sz w:val="24"/>
        </w:rPr>
        <w:tab/>
        <w:t xml:space="preserve">S. A. </w:t>
      </w:r>
      <w:proofErr w:type="spellStart"/>
      <w:r w:rsidRPr="005C4431">
        <w:rPr>
          <w:rFonts w:ascii="Times New Roman" w:hAnsi="Times New Roman" w:cs="Times New Roman"/>
          <w:sz w:val="24"/>
        </w:rPr>
        <w:t>Iyaniwura</w:t>
      </w:r>
      <w:proofErr w:type="spellEnd"/>
      <w:r w:rsidRPr="005C4431">
        <w:rPr>
          <w:rFonts w:ascii="Times New Roman" w:hAnsi="Times New Roman" w:cs="Times New Roman"/>
          <w:sz w:val="24"/>
        </w:rPr>
        <w:t xml:space="preserve"> </w:t>
      </w:r>
      <w:r w:rsidRPr="005C4431">
        <w:rPr>
          <w:rFonts w:ascii="Times New Roman" w:hAnsi="Times New Roman" w:cs="Times New Roman"/>
          <w:i/>
          <w:iCs/>
          <w:sz w:val="24"/>
        </w:rPr>
        <w:t>et al.</w:t>
      </w:r>
      <w:r w:rsidRPr="005C4431">
        <w:rPr>
          <w:rFonts w:ascii="Times New Roman" w:hAnsi="Times New Roman" w:cs="Times New Roman"/>
          <w:sz w:val="24"/>
        </w:rPr>
        <w:t xml:space="preserve">, “Understanding the impact of mobility on COVID-19 spread: A hybrid gravity-metapopulation model of COVID-19,” </w:t>
      </w:r>
      <w:r w:rsidRPr="005C4431">
        <w:rPr>
          <w:rFonts w:ascii="Times New Roman" w:hAnsi="Times New Roman" w:cs="Times New Roman"/>
          <w:i/>
          <w:iCs/>
          <w:sz w:val="24"/>
        </w:rPr>
        <w:t xml:space="preserve">PLOS </w:t>
      </w:r>
      <w:proofErr w:type="spellStart"/>
      <w:r w:rsidRPr="005C4431">
        <w:rPr>
          <w:rFonts w:ascii="Times New Roman" w:hAnsi="Times New Roman" w:cs="Times New Roman"/>
          <w:i/>
          <w:iCs/>
          <w:sz w:val="24"/>
        </w:rPr>
        <w:t>Comput</w:t>
      </w:r>
      <w:proofErr w:type="spellEnd"/>
      <w:r w:rsidRPr="005C4431">
        <w:rPr>
          <w:rFonts w:ascii="Times New Roman" w:hAnsi="Times New Roman" w:cs="Times New Roman"/>
          <w:i/>
          <w:iCs/>
          <w:sz w:val="24"/>
        </w:rPr>
        <w:t>. Biol.</w:t>
      </w:r>
      <w:r w:rsidRPr="005C4431">
        <w:rPr>
          <w:rFonts w:ascii="Times New Roman" w:hAnsi="Times New Roman" w:cs="Times New Roman"/>
          <w:sz w:val="24"/>
        </w:rPr>
        <w:t xml:space="preserve">, vol. 19, no. 5, p. e1011123, May 2023,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10.1371/journal.pcbi.1011123.</w:t>
      </w:r>
    </w:p>
    <w:p w14:paraId="4F13F39E"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[12]</w:t>
      </w:r>
      <w:r w:rsidRPr="005C4431">
        <w:rPr>
          <w:rFonts w:ascii="Times New Roman" w:hAnsi="Times New Roman" w:cs="Times New Roman"/>
          <w:sz w:val="24"/>
        </w:rPr>
        <w:tab/>
        <w:t xml:space="preserve">D. Boto-García, “Investigating the two-way relationship between mobility flows and COVID-19 cases,” </w:t>
      </w:r>
      <w:r w:rsidRPr="005C4431">
        <w:rPr>
          <w:rFonts w:ascii="Times New Roman" w:hAnsi="Times New Roman" w:cs="Times New Roman"/>
          <w:i/>
          <w:iCs/>
          <w:sz w:val="24"/>
        </w:rPr>
        <w:t>Econ. Model.</w:t>
      </w:r>
      <w:r w:rsidRPr="005C4431">
        <w:rPr>
          <w:rFonts w:ascii="Times New Roman" w:hAnsi="Times New Roman" w:cs="Times New Roman"/>
          <w:sz w:val="24"/>
        </w:rPr>
        <w:t xml:space="preserve">, vol. 118, p. 106083, Jan. 2023,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10.1016/j.econmod.2022.106083.</w:t>
      </w:r>
    </w:p>
    <w:p w14:paraId="4B75CCF7"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[13]</w:t>
      </w:r>
      <w:r w:rsidRPr="005C4431">
        <w:rPr>
          <w:rFonts w:ascii="Times New Roman" w:hAnsi="Times New Roman" w:cs="Times New Roman"/>
          <w:sz w:val="24"/>
        </w:rPr>
        <w:tab/>
        <w:t xml:space="preserve">H. </w:t>
      </w:r>
      <w:proofErr w:type="spellStart"/>
      <w:r w:rsidRPr="005C4431">
        <w:rPr>
          <w:rFonts w:ascii="Times New Roman" w:hAnsi="Times New Roman" w:cs="Times New Roman"/>
          <w:sz w:val="24"/>
        </w:rPr>
        <w:t>d’Albis</w:t>
      </w:r>
      <w:proofErr w:type="spellEnd"/>
      <w:r w:rsidRPr="005C4431">
        <w:rPr>
          <w:rFonts w:ascii="Times New Roman" w:hAnsi="Times New Roman" w:cs="Times New Roman"/>
          <w:sz w:val="24"/>
        </w:rPr>
        <w:t xml:space="preserve">, E. </w:t>
      </w:r>
      <w:proofErr w:type="spellStart"/>
      <w:r w:rsidRPr="005C4431">
        <w:rPr>
          <w:rFonts w:ascii="Times New Roman" w:hAnsi="Times New Roman" w:cs="Times New Roman"/>
          <w:sz w:val="24"/>
        </w:rPr>
        <w:t>Augeraud-Véron</w:t>
      </w:r>
      <w:proofErr w:type="spellEnd"/>
      <w:r w:rsidRPr="005C4431">
        <w:rPr>
          <w:rFonts w:ascii="Times New Roman" w:hAnsi="Times New Roman" w:cs="Times New Roman"/>
          <w:sz w:val="24"/>
        </w:rPr>
        <w:t xml:space="preserve">, D. Coulibaly, and R. </w:t>
      </w:r>
      <w:proofErr w:type="spellStart"/>
      <w:r w:rsidRPr="005C4431">
        <w:rPr>
          <w:rFonts w:ascii="Times New Roman" w:hAnsi="Times New Roman" w:cs="Times New Roman"/>
          <w:sz w:val="24"/>
        </w:rPr>
        <w:t>Desbordes</w:t>
      </w:r>
      <w:proofErr w:type="spellEnd"/>
      <w:r w:rsidRPr="005C4431">
        <w:rPr>
          <w:rFonts w:ascii="Times New Roman" w:hAnsi="Times New Roman" w:cs="Times New Roman"/>
          <w:sz w:val="24"/>
        </w:rPr>
        <w:t xml:space="preserve">, “Covid-19 and mobility: determinant or </w:t>
      </w:r>
      <w:proofErr w:type="gramStart"/>
      <w:r w:rsidRPr="005C4431">
        <w:rPr>
          <w:rFonts w:ascii="Times New Roman" w:hAnsi="Times New Roman" w:cs="Times New Roman"/>
          <w:sz w:val="24"/>
        </w:rPr>
        <w:t>consequence?,</w:t>
      </w:r>
      <w:proofErr w:type="gramEnd"/>
      <w:r w:rsidRPr="005C4431">
        <w:rPr>
          <w:rFonts w:ascii="Times New Roman" w:hAnsi="Times New Roman" w:cs="Times New Roman"/>
          <w:sz w:val="24"/>
        </w:rPr>
        <w:t xml:space="preserve">” </w:t>
      </w:r>
      <w:r w:rsidRPr="005C4431">
        <w:rPr>
          <w:rFonts w:ascii="Times New Roman" w:hAnsi="Times New Roman" w:cs="Times New Roman"/>
          <w:i/>
          <w:iCs/>
          <w:sz w:val="24"/>
        </w:rPr>
        <w:t>Econ. Theory</w:t>
      </w:r>
      <w:r w:rsidRPr="005C4431">
        <w:rPr>
          <w:rFonts w:ascii="Times New Roman" w:hAnsi="Times New Roman" w:cs="Times New Roman"/>
          <w:sz w:val="24"/>
        </w:rPr>
        <w:t xml:space="preserve">, vol. 77, no. 1, pp. 261–282, Feb. 2024,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10.1007/s00199-023-01510-3.</w:t>
      </w:r>
    </w:p>
    <w:p w14:paraId="0144EE09"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[14]</w:t>
      </w:r>
      <w:r w:rsidRPr="005C4431">
        <w:rPr>
          <w:rFonts w:ascii="Times New Roman" w:hAnsi="Times New Roman" w:cs="Times New Roman"/>
          <w:sz w:val="24"/>
        </w:rPr>
        <w:tab/>
        <w:t xml:space="preserve">M. M. </w:t>
      </w:r>
      <w:proofErr w:type="spellStart"/>
      <w:r w:rsidRPr="005C4431">
        <w:rPr>
          <w:rFonts w:ascii="Times New Roman" w:hAnsi="Times New Roman" w:cs="Times New Roman"/>
          <w:sz w:val="24"/>
        </w:rPr>
        <w:t>Gianino</w:t>
      </w:r>
      <w:proofErr w:type="spellEnd"/>
      <w:r w:rsidRPr="005C4431">
        <w:rPr>
          <w:rFonts w:ascii="Times New Roman" w:hAnsi="Times New Roman" w:cs="Times New Roman"/>
          <w:sz w:val="24"/>
        </w:rPr>
        <w:t xml:space="preserve">, M. C. </w:t>
      </w:r>
      <w:proofErr w:type="spellStart"/>
      <w:r w:rsidRPr="005C4431">
        <w:rPr>
          <w:rFonts w:ascii="Times New Roman" w:hAnsi="Times New Roman" w:cs="Times New Roman"/>
          <w:sz w:val="24"/>
        </w:rPr>
        <w:t>Nurchis</w:t>
      </w:r>
      <w:proofErr w:type="spellEnd"/>
      <w:r w:rsidRPr="005C4431">
        <w:rPr>
          <w:rFonts w:ascii="Times New Roman" w:hAnsi="Times New Roman" w:cs="Times New Roman"/>
          <w:sz w:val="24"/>
        </w:rPr>
        <w:t xml:space="preserve">, G. Politano, S. </w:t>
      </w:r>
      <w:proofErr w:type="spellStart"/>
      <w:r w:rsidRPr="005C4431">
        <w:rPr>
          <w:rFonts w:ascii="Times New Roman" w:hAnsi="Times New Roman" w:cs="Times New Roman"/>
          <w:sz w:val="24"/>
        </w:rPr>
        <w:t>Rousset</w:t>
      </w:r>
      <w:proofErr w:type="spellEnd"/>
      <w:r w:rsidRPr="005C4431">
        <w:rPr>
          <w:rFonts w:ascii="Times New Roman" w:hAnsi="Times New Roman" w:cs="Times New Roman"/>
          <w:sz w:val="24"/>
        </w:rPr>
        <w:t xml:space="preserve">, and G. Damiani, “Evaluation of the Strategies to Control COVID-19 Pandemic in Four European Countries,” </w:t>
      </w:r>
      <w:r w:rsidRPr="005C4431">
        <w:rPr>
          <w:rFonts w:ascii="Times New Roman" w:hAnsi="Times New Roman" w:cs="Times New Roman"/>
          <w:i/>
          <w:iCs/>
          <w:sz w:val="24"/>
        </w:rPr>
        <w:t>Front. Public Health</w:t>
      </w:r>
      <w:r w:rsidRPr="005C4431">
        <w:rPr>
          <w:rFonts w:ascii="Times New Roman" w:hAnsi="Times New Roman" w:cs="Times New Roman"/>
          <w:sz w:val="24"/>
        </w:rPr>
        <w:t xml:space="preserve">, vol. 9, Oct. 2021,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10.3389/fpubh.2021.700811.</w:t>
      </w:r>
    </w:p>
    <w:p w14:paraId="4C6C7BA0"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[15]</w:t>
      </w:r>
      <w:r w:rsidRPr="005C4431">
        <w:rPr>
          <w:rFonts w:ascii="Times New Roman" w:hAnsi="Times New Roman" w:cs="Times New Roman"/>
          <w:sz w:val="24"/>
        </w:rPr>
        <w:tab/>
        <w:t xml:space="preserve">A. </w:t>
      </w:r>
      <w:proofErr w:type="spellStart"/>
      <w:r w:rsidRPr="005C4431">
        <w:rPr>
          <w:rFonts w:ascii="Times New Roman" w:hAnsi="Times New Roman" w:cs="Times New Roman"/>
          <w:sz w:val="24"/>
        </w:rPr>
        <w:t>Camehl</w:t>
      </w:r>
      <w:proofErr w:type="spellEnd"/>
      <w:r w:rsidRPr="005C4431">
        <w:rPr>
          <w:rFonts w:ascii="Times New Roman" w:hAnsi="Times New Roman" w:cs="Times New Roman"/>
          <w:sz w:val="24"/>
        </w:rPr>
        <w:t xml:space="preserve"> and M. Rieth, “Disentangling COVID-19, Economic Mobility, and Containment Policy Shocks,” </w:t>
      </w:r>
      <w:r w:rsidRPr="005C4431">
        <w:rPr>
          <w:rFonts w:ascii="Times New Roman" w:hAnsi="Times New Roman" w:cs="Times New Roman"/>
          <w:i/>
          <w:iCs/>
          <w:sz w:val="24"/>
        </w:rPr>
        <w:t xml:space="preserve">Am. Econ. J. </w:t>
      </w:r>
      <w:proofErr w:type="spellStart"/>
      <w:r w:rsidRPr="005C4431">
        <w:rPr>
          <w:rFonts w:ascii="Times New Roman" w:hAnsi="Times New Roman" w:cs="Times New Roman"/>
          <w:i/>
          <w:iCs/>
          <w:sz w:val="24"/>
        </w:rPr>
        <w:t>Macroecon</w:t>
      </w:r>
      <w:proofErr w:type="spellEnd"/>
      <w:r w:rsidRPr="005C4431">
        <w:rPr>
          <w:rFonts w:ascii="Times New Roman" w:hAnsi="Times New Roman" w:cs="Times New Roman"/>
          <w:i/>
          <w:iCs/>
          <w:sz w:val="24"/>
        </w:rPr>
        <w:t>.</w:t>
      </w:r>
      <w:r w:rsidRPr="005C4431">
        <w:rPr>
          <w:rFonts w:ascii="Times New Roman" w:hAnsi="Times New Roman" w:cs="Times New Roman"/>
          <w:sz w:val="24"/>
        </w:rPr>
        <w:t xml:space="preserve">, vol. 15, no. 4, pp. 217–248, Oct. 2023,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10.1257/mac.20210071.</w:t>
      </w:r>
    </w:p>
    <w:p w14:paraId="78CF9758"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[16]</w:t>
      </w:r>
      <w:r w:rsidRPr="005C4431">
        <w:rPr>
          <w:rFonts w:ascii="Times New Roman" w:hAnsi="Times New Roman" w:cs="Times New Roman"/>
          <w:sz w:val="24"/>
        </w:rPr>
        <w:tab/>
        <w:t xml:space="preserve">M. Lee </w:t>
      </w:r>
      <w:r w:rsidRPr="005C4431">
        <w:rPr>
          <w:rFonts w:ascii="Times New Roman" w:hAnsi="Times New Roman" w:cs="Times New Roman"/>
          <w:i/>
          <w:iCs/>
          <w:sz w:val="24"/>
        </w:rPr>
        <w:t>et al.</w:t>
      </w:r>
      <w:r w:rsidRPr="005C4431">
        <w:rPr>
          <w:rFonts w:ascii="Times New Roman" w:hAnsi="Times New Roman" w:cs="Times New Roman"/>
          <w:sz w:val="24"/>
        </w:rPr>
        <w:t xml:space="preserve">, “Human mobility trends during the early stage of the COVID-19 pandemic in the United States,” </w:t>
      </w:r>
      <w:r w:rsidRPr="005C4431">
        <w:rPr>
          <w:rFonts w:ascii="Times New Roman" w:hAnsi="Times New Roman" w:cs="Times New Roman"/>
          <w:i/>
          <w:iCs/>
          <w:sz w:val="24"/>
        </w:rPr>
        <w:t>PLOS ONE</w:t>
      </w:r>
      <w:r w:rsidRPr="005C4431">
        <w:rPr>
          <w:rFonts w:ascii="Times New Roman" w:hAnsi="Times New Roman" w:cs="Times New Roman"/>
          <w:sz w:val="24"/>
        </w:rPr>
        <w:t xml:space="preserve">, vol. 15, no. 11, p. e0241468, Nov. </w:t>
      </w:r>
      <w:r w:rsidRPr="005C4431">
        <w:rPr>
          <w:rFonts w:ascii="Times New Roman" w:hAnsi="Times New Roman" w:cs="Times New Roman"/>
          <w:sz w:val="24"/>
        </w:rPr>
        <w:lastRenderedPageBreak/>
        <w:t xml:space="preserve">2020,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10.1371/journal.pone.0241468.</w:t>
      </w:r>
    </w:p>
    <w:p w14:paraId="4EEDF7B0"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[17]</w:t>
      </w:r>
      <w:r w:rsidRPr="005C4431">
        <w:rPr>
          <w:rFonts w:ascii="Times New Roman" w:hAnsi="Times New Roman" w:cs="Times New Roman"/>
          <w:sz w:val="24"/>
        </w:rPr>
        <w:tab/>
        <w:t xml:space="preserve">S. Wu </w:t>
      </w:r>
      <w:r w:rsidRPr="005C4431">
        <w:rPr>
          <w:rFonts w:ascii="Times New Roman" w:hAnsi="Times New Roman" w:cs="Times New Roman"/>
          <w:i/>
          <w:iCs/>
          <w:sz w:val="24"/>
        </w:rPr>
        <w:t>et al.</w:t>
      </w:r>
      <w:r w:rsidRPr="005C4431">
        <w:rPr>
          <w:rFonts w:ascii="Times New Roman" w:hAnsi="Times New Roman" w:cs="Times New Roman"/>
          <w:sz w:val="24"/>
        </w:rPr>
        <w:t xml:space="preserve">, “Aggressive containment, suppression, and mitigation of covid-19: lessons learnt from eight countries,” </w:t>
      </w:r>
      <w:r w:rsidRPr="005C4431">
        <w:rPr>
          <w:rFonts w:ascii="Times New Roman" w:hAnsi="Times New Roman" w:cs="Times New Roman"/>
          <w:i/>
          <w:iCs/>
          <w:sz w:val="24"/>
        </w:rPr>
        <w:t>BMJ</w:t>
      </w:r>
      <w:r w:rsidRPr="005C4431">
        <w:rPr>
          <w:rFonts w:ascii="Times New Roman" w:hAnsi="Times New Roman" w:cs="Times New Roman"/>
          <w:sz w:val="24"/>
        </w:rPr>
        <w:t xml:space="preserve">, vol. 375, p. e067508, Nov. 2021,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10.1136/bmj-2021-067508.</w:t>
      </w:r>
    </w:p>
    <w:p w14:paraId="1A440A5C"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[18]</w:t>
      </w:r>
      <w:r w:rsidRPr="005C4431">
        <w:rPr>
          <w:rFonts w:ascii="Times New Roman" w:hAnsi="Times New Roman" w:cs="Times New Roman"/>
          <w:sz w:val="24"/>
        </w:rPr>
        <w:tab/>
        <w:t xml:space="preserve">L. Wright, E. Paul, A. Steptoe, and D. Fancourt, “Facilitators and barriers to compliance with COVID-19 guidelines: a structural topic modelling analysis of free-text data from 17,500 UK adults,” </w:t>
      </w:r>
      <w:r w:rsidRPr="005C4431">
        <w:rPr>
          <w:rFonts w:ascii="Times New Roman" w:hAnsi="Times New Roman" w:cs="Times New Roman"/>
          <w:i/>
          <w:iCs/>
          <w:sz w:val="24"/>
        </w:rPr>
        <w:t>BMC Public Health</w:t>
      </w:r>
      <w:r w:rsidRPr="005C4431">
        <w:rPr>
          <w:rFonts w:ascii="Times New Roman" w:hAnsi="Times New Roman" w:cs="Times New Roman"/>
          <w:sz w:val="24"/>
        </w:rPr>
        <w:t xml:space="preserve">, vol. 22, no. 1, p. 34, Jan. 2022,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10.1186/s12889-021-12372-6.</w:t>
      </w:r>
    </w:p>
    <w:p w14:paraId="3F4E22B8" w14:textId="77777777" w:rsidR="005C4431" w:rsidRPr="005C4431" w:rsidRDefault="005C4431" w:rsidP="005C4431">
      <w:pPr>
        <w:pStyle w:val="af1"/>
        <w:rPr>
          <w:rFonts w:ascii="Times New Roman" w:hAnsi="Times New Roman" w:cs="Times New Roman"/>
          <w:sz w:val="24"/>
        </w:rPr>
      </w:pPr>
      <w:r w:rsidRPr="005C4431">
        <w:rPr>
          <w:rFonts w:ascii="Times New Roman" w:hAnsi="Times New Roman" w:cs="Times New Roman"/>
          <w:sz w:val="24"/>
        </w:rPr>
        <w:t>[19]</w:t>
      </w:r>
      <w:r w:rsidRPr="005C4431">
        <w:rPr>
          <w:rFonts w:ascii="Times New Roman" w:hAnsi="Times New Roman" w:cs="Times New Roman"/>
          <w:sz w:val="24"/>
        </w:rPr>
        <w:tab/>
        <w:t xml:space="preserve">S. He </w:t>
      </w:r>
      <w:r w:rsidRPr="005C4431">
        <w:rPr>
          <w:rFonts w:ascii="Times New Roman" w:hAnsi="Times New Roman" w:cs="Times New Roman"/>
          <w:i/>
          <w:iCs/>
          <w:sz w:val="24"/>
        </w:rPr>
        <w:t>et al.</w:t>
      </w:r>
      <w:r w:rsidRPr="005C4431">
        <w:rPr>
          <w:rFonts w:ascii="Times New Roman" w:hAnsi="Times New Roman" w:cs="Times New Roman"/>
          <w:sz w:val="24"/>
        </w:rPr>
        <w:t xml:space="preserve">, “Delay in the Effect of Restricting Community Mobility on the Spread of COVID-19 in the United States,” May 13, 2021, </w:t>
      </w:r>
      <w:r w:rsidRPr="005C4431">
        <w:rPr>
          <w:rFonts w:ascii="Times New Roman" w:hAnsi="Times New Roman" w:cs="Times New Roman"/>
          <w:i/>
          <w:iCs/>
          <w:sz w:val="24"/>
        </w:rPr>
        <w:t>Social Science Research Network, Rochester, NY</w:t>
      </w:r>
      <w:r w:rsidRPr="005C4431">
        <w:rPr>
          <w:rFonts w:ascii="Times New Roman" w:hAnsi="Times New Roman" w:cs="Times New Roman"/>
          <w:sz w:val="24"/>
        </w:rPr>
        <w:t xml:space="preserve">: 3845372. </w:t>
      </w:r>
      <w:proofErr w:type="spellStart"/>
      <w:r w:rsidRPr="005C4431">
        <w:rPr>
          <w:rFonts w:ascii="Times New Roman" w:hAnsi="Times New Roman" w:cs="Times New Roman"/>
          <w:sz w:val="24"/>
        </w:rPr>
        <w:t>doi</w:t>
      </w:r>
      <w:proofErr w:type="spellEnd"/>
      <w:r w:rsidRPr="005C4431">
        <w:rPr>
          <w:rFonts w:ascii="Times New Roman" w:hAnsi="Times New Roman" w:cs="Times New Roman"/>
          <w:sz w:val="24"/>
        </w:rPr>
        <w:t>: 10.2139/ssrn.3845372.</w:t>
      </w:r>
    </w:p>
    <w:p w14:paraId="1A6F3BE8" w14:textId="2F22B989" w:rsidR="00716277" w:rsidRDefault="001A559B" w:rsidP="00501B3D">
      <w:pPr>
        <w:rPr>
          <w:rFonts w:ascii="Times New Roman" w:eastAsia="宋体" w:hAnsi="Times New Roman" w:cs="Times New Roman"/>
          <w:kern w:val="0"/>
          <w:sz w:val="24"/>
          <w14:ligatures w14:val="none"/>
        </w:rPr>
      </w:pPr>
      <w:r>
        <w:rPr>
          <w:rFonts w:ascii="Times New Roman" w:eastAsia="宋体" w:hAnsi="Times New Roman" w:cs="Times New Roman"/>
          <w:kern w:val="0"/>
          <w:sz w:val="24"/>
          <w14:ligatures w14:val="none"/>
        </w:rPr>
        <w:fldChar w:fldCharType="end"/>
      </w:r>
    </w:p>
    <w:p w14:paraId="62349722" w14:textId="77777777" w:rsidR="00716277" w:rsidRDefault="00716277">
      <w:pPr>
        <w:widowControl/>
        <w:jc w:val="left"/>
        <w:rPr>
          <w:rFonts w:ascii="Times New Roman" w:eastAsia="宋体" w:hAnsi="Times New Roman" w:cs="Times New Roman"/>
          <w:kern w:val="0"/>
          <w:sz w:val="24"/>
          <w14:ligatures w14:val="none"/>
        </w:rPr>
      </w:pPr>
      <w:r>
        <w:rPr>
          <w:rFonts w:ascii="Times New Roman" w:eastAsia="宋体" w:hAnsi="Times New Roman" w:cs="Times New Roman"/>
          <w:kern w:val="0"/>
          <w:sz w:val="24"/>
          <w14:ligatures w14:val="none"/>
        </w:rPr>
        <w:br w:type="page"/>
      </w:r>
    </w:p>
    <w:p w14:paraId="1696CF71" w14:textId="10AF717A" w:rsidR="00716277" w:rsidRDefault="00716277" w:rsidP="00716277">
      <w:pPr>
        <w:pStyle w:val="EndNoteBibliography"/>
        <w:spacing w:after="0"/>
        <w:ind w:left="720" w:hanging="720"/>
        <w:rPr>
          <w:rFonts w:ascii="Times New Roman" w:eastAsia="Malgun Gothic" w:hAnsi="Times New Roman" w:cs="Times New Roman"/>
          <w:b/>
          <w:bCs/>
        </w:rPr>
      </w:pPr>
      <w:r w:rsidRPr="007671FA">
        <w:rPr>
          <w:rFonts w:ascii="Times New Roman" w:eastAsia="Malgun Gothic" w:hAnsi="Times New Roman" w:cs="Times New Roman" w:hint="eastAsia"/>
          <w:b/>
          <w:bCs/>
        </w:rPr>
        <w:lastRenderedPageBreak/>
        <w:t>Appendix</w:t>
      </w:r>
    </w:p>
    <w:p w14:paraId="32A0DE98" w14:textId="77777777" w:rsidR="00716277" w:rsidRDefault="00716277" w:rsidP="00716277">
      <w:pPr>
        <w:pStyle w:val="EndNoteBibliography"/>
        <w:spacing w:after="0"/>
        <w:ind w:left="720" w:hanging="720"/>
        <w:rPr>
          <w:rFonts w:ascii="Times New Roman" w:eastAsia="Malgun Gothic" w:hAnsi="Times New Roman" w:cs="Times New Roman"/>
          <w:b/>
          <w:bCs/>
        </w:rPr>
      </w:pPr>
    </w:p>
    <w:p w14:paraId="60883E11" w14:textId="77777777" w:rsidR="00716277" w:rsidRDefault="00716277" w:rsidP="00716277">
      <w:pPr>
        <w:pStyle w:val="EndNoteBibliography"/>
        <w:spacing w:after="0"/>
        <w:ind w:left="720" w:hanging="720"/>
        <w:rPr>
          <w:rFonts w:ascii="Times New Roman" w:eastAsia="Malgun Gothic" w:hAnsi="Times New Roman" w:cs="Times New Roman"/>
          <w:b/>
          <w:bCs/>
        </w:rPr>
      </w:pPr>
      <w:r>
        <w:rPr>
          <w:rFonts w:ascii="Times New Roman" w:eastAsia="Malgun Gothic" w:hAnsi="Times New Roman" w:cs="Times New Roman"/>
          <w:b/>
          <w:bCs/>
        </w:rPr>
        <w:t>District Level coefficients</w:t>
      </w:r>
    </w:p>
    <w:p w14:paraId="65C1EBA3" w14:textId="77777777" w:rsidR="00716277" w:rsidRDefault="00716277" w:rsidP="00716277">
      <w:pPr>
        <w:pStyle w:val="EndNoteBibliography"/>
        <w:spacing w:after="0"/>
        <w:rPr>
          <w:rFonts w:ascii="Times New Roman" w:eastAsia="Malgun Gothic" w:hAnsi="Times New Roman" w:cs="Times New Roman"/>
        </w:rPr>
        <w:sectPr w:rsidR="00716277" w:rsidSect="00716277">
          <w:pgSz w:w="11906" w:h="16838"/>
          <w:pgMar w:top="1440" w:right="1800" w:bottom="1440" w:left="1800" w:header="851" w:footer="992" w:gutter="0"/>
          <w:cols w:space="425"/>
          <w:docGrid w:type="lines" w:linePitch="312"/>
        </w:sectPr>
      </w:pPr>
    </w:p>
    <w:tbl>
      <w:tblPr>
        <w:tblW w:w="13241" w:type="dxa"/>
        <w:tblCellMar>
          <w:left w:w="0" w:type="dxa"/>
          <w:right w:w="0" w:type="dxa"/>
        </w:tblCellMar>
        <w:tblLook w:val="0600" w:firstRow="0" w:lastRow="0" w:firstColumn="0" w:lastColumn="0" w:noHBand="1" w:noVBand="1"/>
      </w:tblPr>
      <w:tblGrid>
        <w:gridCol w:w="1543"/>
        <w:gridCol w:w="1632"/>
        <w:gridCol w:w="1705"/>
        <w:gridCol w:w="1705"/>
        <w:gridCol w:w="1632"/>
        <w:gridCol w:w="1522"/>
        <w:gridCol w:w="1705"/>
        <w:gridCol w:w="1742"/>
        <w:gridCol w:w="55"/>
      </w:tblGrid>
      <w:tr w:rsidR="00716277" w:rsidRPr="00034341" w14:paraId="69F1BE8F" w14:textId="77777777" w:rsidTr="00A177A0">
        <w:trPr>
          <w:trHeight w:val="351"/>
        </w:trPr>
        <w:tc>
          <w:tcPr>
            <w:tcW w:w="13241" w:type="dxa"/>
            <w:gridSpan w:val="9"/>
            <w:tcBorders>
              <w:top w:val="single" w:sz="8" w:space="0" w:color="000000"/>
              <w:left w:val="single" w:sz="8" w:space="0" w:color="000000"/>
              <w:bottom w:val="nil"/>
              <w:right w:val="single" w:sz="8" w:space="0" w:color="000000"/>
            </w:tcBorders>
            <w:shd w:val="clear" w:color="auto" w:fill="auto"/>
            <w:tcMar>
              <w:top w:w="10" w:type="dxa"/>
              <w:left w:w="10" w:type="dxa"/>
              <w:bottom w:w="0" w:type="dxa"/>
              <w:right w:w="10" w:type="dxa"/>
            </w:tcMar>
            <w:vAlign w:val="center"/>
            <w:hideMark/>
          </w:tcPr>
          <w:p w14:paraId="5B79C7C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b/>
                <w:bCs/>
                <w:i/>
                <w:iCs/>
              </w:rPr>
              <w:lastRenderedPageBreak/>
              <w:t xml:space="preserve">Estimation results for equation mobility: </w:t>
            </w:r>
          </w:p>
        </w:tc>
      </w:tr>
      <w:tr w:rsidR="00716277" w:rsidRPr="00034341" w14:paraId="7AF7651D" w14:textId="77777777" w:rsidTr="00A177A0">
        <w:trPr>
          <w:trHeight w:val="373"/>
        </w:trPr>
        <w:tc>
          <w:tcPr>
            <w:tcW w:w="13241" w:type="dxa"/>
            <w:gridSpan w:val="9"/>
            <w:tcBorders>
              <w:top w:val="nil"/>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A2866A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b/>
                <w:bCs/>
                <w:i/>
                <w:iCs/>
              </w:rPr>
              <w:t xml:space="preserve">incidences = </w:t>
            </w:r>
            <w:proofErr w:type="gramStart"/>
            <w:r w:rsidRPr="00034341">
              <w:rPr>
                <w:rFonts w:ascii="Times New Roman" w:eastAsia="Malgun Gothic" w:hAnsi="Times New Roman" w:cs="Times New Roman"/>
                <w:b/>
                <w:bCs/>
                <w:i/>
                <w:iCs/>
              </w:rPr>
              <w:t>incidences.l</w:t>
            </w:r>
            <w:proofErr w:type="gramEnd"/>
            <w:r w:rsidRPr="00034341">
              <w:rPr>
                <w:rFonts w:ascii="Times New Roman" w:eastAsia="Malgun Gothic" w:hAnsi="Times New Roman" w:cs="Times New Roman"/>
                <w:b/>
                <w:bCs/>
                <w:i/>
                <w:iCs/>
              </w:rPr>
              <w:t xml:space="preserve">1 + mobility.l1 + policy.l1 + incidences.l2 + mobility.l2 + policy.l2 + const + trend + </w:t>
            </w:r>
            <w:proofErr w:type="spellStart"/>
            <w:r w:rsidRPr="00034341">
              <w:rPr>
                <w:rFonts w:ascii="Times New Roman" w:eastAsia="Malgun Gothic" w:hAnsi="Times New Roman" w:cs="Times New Roman"/>
                <w:b/>
                <w:bCs/>
                <w:i/>
                <w:iCs/>
              </w:rPr>
              <w:t>vaccination_rate</w:t>
            </w:r>
            <w:proofErr w:type="spellEnd"/>
          </w:p>
        </w:tc>
      </w:tr>
      <w:tr w:rsidR="00716277" w:rsidRPr="00034341" w14:paraId="6BB0ABAC"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FEF162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DIST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23293F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Incidence.l1</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962451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Incidence.l2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A005FB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Mobility.l1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B64AE5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Mobility.l2</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0814F0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Policy.l1</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C13F9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Policy.l2</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FB27148"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Vacc_rate</w:t>
            </w:r>
            <w:proofErr w:type="spellEnd"/>
          </w:p>
        </w:tc>
      </w:tr>
      <w:tr w:rsidR="00716277" w:rsidRPr="00034341" w14:paraId="21DFE083"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B6E17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Total</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F569E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1.242 (</w:t>
            </w:r>
            <w:proofErr w:type="gramStart"/>
            <w:r w:rsidRPr="00034341">
              <w:rPr>
                <w:rFonts w:ascii="Times New Roman" w:eastAsia="Malgun Gothic" w:hAnsi="Times New Roman" w:cs="Times New Roman"/>
              </w:rPr>
              <w:t>0.110)*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6ED8A2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-0.632 (</w:t>
            </w:r>
            <w:proofErr w:type="gramStart"/>
            <w:r w:rsidRPr="00034341">
              <w:rPr>
                <w:rFonts w:ascii="Times New Roman" w:eastAsia="Malgun Gothic" w:hAnsi="Times New Roman" w:cs="Times New Roman"/>
              </w:rPr>
              <w:t>0.129)*</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D8F67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-2.095 (1.263)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B7340D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2.238 (</w:t>
            </w:r>
            <w:proofErr w:type="gramStart"/>
            <w:r w:rsidRPr="00034341">
              <w:rPr>
                <w:rFonts w:ascii="Times New Roman" w:eastAsia="Malgun Gothic" w:hAnsi="Times New Roman" w:cs="Times New Roman"/>
              </w:rPr>
              <w:t>1.220)*</w:t>
            </w:r>
            <w:proofErr w:type="gramEnd"/>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F8A5DC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1.747 (7.290)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A3B881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2.538 (6.559)</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DF843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16.688 (</w:t>
            </w:r>
            <w:proofErr w:type="gramStart"/>
            <w:r w:rsidRPr="00034341">
              <w:rPr>
                <w:rFonts w:ascii="Times New Roman" w:eastAsia="Malgun Gothic" w:hAnsi="Times New Roman" w:cs="Times New Roman"/>
              </w:rPr>
              <w:t>5.560)*</w:t>
            </w:r>
            <w:proofErr w:type="gramEnd"/>
            <w:r w:rsidRPr="00034341">
              <w:rPr>
                <w:rFonts w:ascii="Times New Roman" w:eastAsia="Malgun Gothic" w:hAnsi="Times New Roman" w:cs="Times New Roman"/>
              </w:rPr>
              <w:t>*</w:t>
            </w:r>
          </w:p>
        </w:tc>
      </w:tr>
      <w:tr w:rsidR="00716277" w:rsidRPr="00034341" w14:paraId="6ACB1F6D"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4B4D3B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Jung</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2AC9F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1.102 (</w:t>
            </w:r>
            <w:proofErr w:type="gramStart"/>
            <w:r w:rsidRPr="00034341">
              <w:rPr>
                <w:rFonts w:ascii="Times New Roman" w:eastAsia="Malgun Gothic" w:hAnsi="Times New Roman" w:cs="Times New Roman"/>
              </w:rPr>
              <w:t>0.100)*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C92718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-0.590 (</w:t>
            </w:r>
            <w:proofErr w:type="gramStart"/>
            <w:r w:rsidRPr="00034341">
              <w:rPr>
                <w:rFonts w:ascii="Times New Roman" w:eastAsia="Malgun Gothic" w:hAnsi="Times New Roman" w:cs="Times New Roman"/>
              </w:rPr>
              <w:t>0.108)*</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9192FD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0.016 (0.391)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64E0E7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0.797 (</w:t>
            </w:r>
            <w:proofErr w:type="gramStart"/>
            <w:r w:rsidRPr="00034341">
              <w:rPr>
                <w:rFonts w:ascii="Times New Roman" w:eastAsia="Malgun Gothic" w:hAnsi="Times New Roman" w:cs="Times New Roman"/>
              </w:rPr>
              <w:t>0.391)*</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B8EF67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0.422 (</w:t>
            </w:r>
            <w:proofErr w:type="gramStart"/>
            <w:r w:rsidRPr="00034341">
              <w:rPr>
                <w:rFonts w:ascii="Times New Roman" w:eastAsia="Malgun Gothic" w:hAnsi="Times New Roman" w:cs="Times New Roman"/>
              </w:rPr>
              <w:t>0.230)*</w:t>
            </w:r>
            <w:proofErr w:type="gram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692861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0.010 (0.204)</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E2E8C5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0.386 (</w:t>
            </w:r>
            <w:proofErr w:type="gramStart"/>
            <w:r w:rsidRPr="00034341">
              <w:rPr>
                <w:rFonts w:ascii="Times New Roman" w:eastAsia="Malgun Gothic" w:hAnsi="Times New Roman" w:cs="Times New Roman"/>
              </w:rPr>
              <w:t>0.168)*</w:t>
            </w:r>
            <w:proofErr w:type="gramEnd"/>
            <w:r w:rsidRPr="00034341">
              <w:rPr>
                <w:rFonts w:ascii="Times New Roman" w:eastAsia="Malgun Gothic" w:hAnsi="Times New Roman" w:cs="Times New Roman"/>
              </w:rPr>
              <w:t>*</w:t>
            </w:r>
          </w:p>
        </w:tc>
      </w:tr>
      <w:tr w:rsidR="00716277" w:rsidRPr="00034341" w14:paraId="26BA30A2"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D81846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Jongno</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CC1E56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0.905 (</w:t>
            </w:r>
            <w:proofErr w:type="gramStart"/>
            <w:r w:rsidRPr="00034341">
              <w:rPr>
                <w:rFonts w:ascii="Times New Roman" w:eastAsia="Malgun Gothic" w:hAnsi="Times New Roman" w:cs="Times New Roman"/>
              </w:rPr>
              <w:t>0.128)*</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58A3C7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-0.428 (</w:t>
            </w:r>
            <w:proofErr w:type="gramStart"/>
            <w:r w:rsidRPr="00034341">
              <w:rPr>
                <w:rFonts w:ascii="Times New Roman" w:eastAsia="Malgun Gothic" w:hAnsi="Times New Roman" w:cs="Times New Roman"/>
              </w:rPr>
              <w:t>0.130)*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33D925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-1.323 (</w:t>
            </w:r>
            <w:proofErr w:type="gramStart"/>
            <w:r w:rsidRPr="00034341">
              <w:rPr>
                <w:rFonts w:ascii="Times New Roman" w:eastAsia="Malgun Gothic" w:hAnsi="Times New Roman" w:cs="Times New Roman"/>
              </w:rPr>
              <w:t>0.626)*</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2404F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0.034 (0.640)</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DF977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-0.135 (0.318)</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C3070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-0.129 (0.275)</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CF24E7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0.748 (</w:t>
            </w:r>
            <w:proofErr w:type="gramStart"/>
            <w:r w:rsidRPr="00034341">
              <w:rPr>
                <w:rFonts w:ascii="Times New Roman" w:eastAsia="Malgun Gothic" w:hAnsi="Times New Roman" w:cs="Times New Roman"/>
              </w:rPr>
              <w:t>0.279)*</w:t>
            </w:r>
            <w:proofErr w:type="gramEnd"/>
            <w:r w:rsidRPr="00034341">
              <w:rPr>
                <w:rFonts w:ascii="Times New Roman" w:eastAsia="Malgun Gothic" w:hAnsi="Times New Roman" w:cs="Times New Roman"/>
              </w:rPr>
              <w:t>*</w:t>
            </w:r>
          </w:p>
        </w:tc>
      </w:tr>
      <w:tr w:rsidR="00716277" w:rsidRPr="00034341" w14:paraId="13BEB8F5"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E8903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Gangnam</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7F268C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0.867 (</w:t>
            </w:r>
            <w:proofErr w:type="gramStart"/>
            <w:r w:rsidRPr="00034341">
              <w:rPr>
                <w:rFonts w:ascii="Times New Roman" w:eastAsia="Malgun Gothic" w:hAnsi="Times New Roman" w:cs="Times New Roman"/>
              </w:rPr>
              <w:t>0.125)*</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9A9598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0.024 (0.134)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DB75D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-0.366 (0.488)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E4499F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0.963 (</w:t>
            </w:r>
            <w:proofErr w:type="gramStart"/>
            <w:r w:rsidRPr="00034341">
              <w:rPr>
                <w:rFonts w:ascii="Times New Roman" w:eastAsia="Malgun Gothic" w:hAnsi="Times New Roman" w:cs="Times New Roman"/>
              </w:rPr>
              <w:t>0.491)*</w:t>
            </w:r>
            <w:proofErr w:type="gramEnd"/>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D4536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-0.791 (0.583)</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491789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0.748 (0.543)</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BCC9D6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-0.359 (0.309)</w:t>
            </w:r>
          </w:p>
        </w:tc>
      </w:tr>
      <w:tr w:rsidR="00716277" w:rsidRPr="00034341" w14:paraId="410A7A36"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6CA4841"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Yeongdeungpo</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42906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0.504 (</w:t>
            </w:r>
            <w:proofErr w:type="gramStart"/>
            <w:r w:rsidRPr="00034341">
              <w:rPr>
                <w:rFonts w:ascii="Times New Roman" w:eastAsia="Malgun Gothic" w:hAnsi="Times New Roman" w:cs="Times New Roman"/>
              </w:rPr>
              <w:t>0.130)*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9AA680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0.222 (0.142)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65BF9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-1.077 (1.275)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74D98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2.500 (</w:t>
            </w:r>
            <w:proofErr w:type="gramStart"/>
            <w:r w:rsidRPr="00034341">
              <w:rPr>
                <w:rFonts w:ascii="Times New Roman" w:eastAsia="Malgun Gothic" w:hAnsi="Times New Roman" w:cs="Times New Roman"/>
              </w:rPr>
              <w:t>1.274)*</w:t>
            </w:r>
            <w:proofErr w:type="gramEnd"/>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0C9F4A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0.688 (0.543)</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EBC422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-0.359 (0.476)</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742999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0.928 (</w:t>
            </w:r>
            <w:proofErr w:type="gramStart"/>
            <w:r w:rsidRPr="00034341">
              <w:rPr>
                <w:rFonts w:ascii="Times New Roman" w:eastAsia="Malgun Gothic" w:hAnsi="Times New Roman" w:cs="Times New Roman"/>
              </w:rPr>
              <w:t>0.398)*</w:t>
            </w:r>
            <w:proofErr w:type="gramEnd"/>
            <w:r w:rsidRPr="00034341">
              <w:rPr>
                <w:rFonts w:ascii="Times New Roman" w:eastAsia="Malgun Gothic" w:hAnsi="Times New Roman" w:cs="Times New Roman"/>
              </w:rPr>
              <w:t>*</w:t>
            </w:r>
          </w:p>
        </w:tc>
      </w:tr>
      <w:tr w:rsidR="00716277" w:rsidRPr="00034341" w14:paraId="241A3626"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9FF5357"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Seocho</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32D15C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0.853 (</w:t>
            </w:r>
            <w:proofErr w:type="gramStart"/>
            <w:r w:rsidRPr="00034341">
              <w:rPr>
                <w:rFonts w:ascii="Times New Roman" w:eastAsia="Malgun Gothic" w:hAnsi="Times New Roman" w:cs="Times New Roman"/>
              </w:rPr>
              <w:t>0.130)*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3A8958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-0.074 (0.136)</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57E5FE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0.211 (0.638)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C30CE7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0.465 (0.636)</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76CBC7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0.024 (0.432)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87CF6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-0.241 (0.392)</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2D04B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0.172 (0.210)</w:t>
            </w:r>
          </w:p>
        </w:tc>
      </w:tr>
      <w:tr w:rsidR="00716277" w:rsidRPr="00034341" w14:paraId="27CA5F29"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C9C1D0F"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Geumcheon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C13865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0.548 (</w:t>
            </w:r>
            <w:proofErr w:type="gramStart"/>
            <w:r w:rsidRPr="00034341">
              <w:rPr>
                <w:rFonts w:ascii="Times New Roman" w:eastAsia="Malgun Gothic" w:hAnsi="Times New Roman" w:cs="Times New Roman"/>
              </w:rPr>
              <w:t>0.161)*</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41592C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-0.134 (0.180)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AD51C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-0.862 (1.917)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6265B6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4.808 (</w:t>
            </w:r>
            <w:proofErr w:type="gramStart"/>
            <w:r w:rsidRPr="00034341">
              <w:rPr>
                <w:rFonts w:ascii="Times New Roman" w:eastAsia="Malgun Gothic" w:hAnsi="Times New Roman" w:cs="Times New Roman"/>
              </w:rPr>
              <w:t>1.895)*</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8DC67A"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0.463 (0.280)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040F6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-0.060 (0.269)</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D007D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1.231 (</w:t>
            </w:r>
            <w:proofErr w:type="gramStart"/>
            <w:r w:rsidRPr="00034341">
              <w:rPr>
                <w:rFonts w:ascii="Times New Roman" w:eastAsia="Malgun Gothic" w:hAnsi="Times New Roman" w:cs="Times New Roman"/>
              </w:rPr>
              <w:t>0.335)*</w:t>
            </w:r>
            <w:proofErr w:type="gramEnd"/>
            <w:r w:rsidRPr="00034341">
              <w:rPr>
                <w:rFonts w:ascii="Times New Roman" w:eastAsia="Malgun Gothic" w:hAnsi="Times New Roman" w:cs="Times New Roman"/>
              </w:rPr>
              <w:t>*</w:t>
            </w:r>
          </w:p>
        </w:tc>
      </w:tr>
      <w:tr w:rsidR="00716277" w:rsidRPr="00034341" w14:paraId="266540DE"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9B1726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Yongsan</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7D957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0.588 (</w:t>
            </w:r>
            <w:proofErr w:type="gramStart"/>
            <w:r w:rsidRPr="00034341">
              <w:rPr>
                <w:rFonts w:ascii="Times New Roman" w:eastAsia="Malgun Gothic" w:hAnsi="Times New Roman" w:cs="Times New Roman"/>
              </w:rPr>
              <w:t>0.126)*</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7DC69E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-0.054 (0.132)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D76AB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-2.322 (1.684)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C25668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3.292 (</w:t>
            </w:r>
            <w:proofErr w:type="gramStart"/>
            <w:r w:rsidRPr="00034341">
              <w:rPr>
                <w:rFonts w:ascii="Times New Roman" w:eastAsia="Malgun Gothic" w:hAnsi="Times New Roman" w:cs="Times New Roman"/>
              </w:rPr>
              <w:t>1.776)*</w:t>
            </w:r>
            <w:proofErr w:type="gramEnd"/>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DB8C3A"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0.240 (0.384)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9F9405" w14:textId="77777777" w:rsidR="00716277" w:rsidRPr="00034341" w:rsidRDefault="00716277" w:rsidP="00A177A0">
            <w:pPr>
              <w:pStyle w:val="EndNoteBibliography"/>
              <w:rPr>
                <w:rFonts w:ascii="Times New Roman" w:eastAsia="Malgun Gothic" w:hAnsi="Times New Roman" w:cs="Times New Roman"/>
              </w:rPr>
            </w:pPr>
            <m:oMathPara>
              <m:oMath>
                <m:r>
                  <m:rPr>
                    <m:sty m:val="p"/>
                  </m:rPr>
                  <w:rPr>
                    <w:rFonts w:ascii="Cambria Math" w:eastAsia="Malgun Gothic" w:hAnsi="Cambria Math" w:cs="Times New Roman"/>
                  </w:rPr>
                  <m:t>-0.034 (0.345)</m:t>
                </m:r>
              </m:oMath>
            </m:oMathPara>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FE3C8A"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0.023 (0.214)</w:t>
            </w:r>
          </w:p>
        </w:tc>
      </w:tr>
      <w:tr w:rsidR="00716277" w:rsidRPr="00034341" w14:paraId="3115FF1F"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5764A1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Mapo</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605D64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1.082 (</w:t>
            </w:r>
            <w:proofErr w:type="gramStart"/>
            <w:r w:rsidRPr="00034341">
              <w:rPr>
                <w:rFonts w:ascii="Times New Roman" w:eastAsia="Malgun Gothic" w:hAnsi="Times New Roman" w:cs="Times New Roman"/>
              </w:rPr>
              <w:t>0.126)*</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8F983C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-0.388 (</w:t>
            </w:r>
            <w:proofErr w:type="gramStart"/>
            <w:r w:rsidRPr="00034341">
              <w:rPr>
                <w:rFonts w:ascii="Times New Roman" w:eastAsia="Malgun Gothic" w:hAnsi="Times New Roman" w:cs="Times New Roman"/>
              </w:rPr>
              <w:t>0.139)*</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74084F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-0.579 (1.216)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39C94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0.065 (1.241)</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EA8E1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0.042 (0.481)</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158F8A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-0.205 (0.425)</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D47A87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0.309 (0.275)</w:t>
            </w:r>
          </w:p>
        </w:tc>
      </w:tr>
      <w:tr w:rsidR="00716277" w:rsidRPr="00034341" w14:paraId="6F588554"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3E91CB5"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Seongdong</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FF1A6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0.529 (</w:t>
            </w:r>
            <w:proofErr w:type="gramStart"/>
            <w:r w:rsidRPr="00034341">
              <w:rPr>
                <w:rFonts w:ascii="Times New Roman" w:eastAsia="Malgun Gothic" w:hAnsi="Times New Roman" w:cs="Times New Roman"/>
              </w:rPr>
              <w:t>0.133)*</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5A5BD2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0.013 (0.140)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256A78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-0.681 (1.698)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165095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2.418 (1.712)</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24CDD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0.233 (0.379)</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F871A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-0.083 (0.343)</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2D5D1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0.225 (0.210)</w:t>
            </w:r>
          </w:p>
        </w:tc>
      </w:tr>
      <w:tr w:rsidR="00716277" w:rsidRPr="00034341" w14:paraId="5FA23731"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1FFE92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Dongdaemun</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9FED0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0.833 (</w:t>
            </w:r>
            <w:proofErr w:type="gramStart"/>
            <w:r w:rsidRPr="00034341">
              <w:rPr>
                <w:rFonts w:ascii="Times New Roman" w:eastAsia="Malgun Gothic" w:hAnsi="Times New Roman" w:cs="Times New Roman"/>
              </w:rPr>
              <w:t>0.112)*</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56304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-0.494 (</w:t>
            </w:r>
            <w:proofErr w:type="gramStart"/>
            <w:r w:rsidRPr="00034341">
              <w:rPr>
                <w:rFonts w:ascii="Times New Roman" w:eastAsia="Malgun Gothic" w:hAnsi="Times New Roman" w:cs="Times New Roman"/>
              </w:rPr>
              <w:t>0.120)*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86760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-8.239 (</w:t>
            </w:r>
            <w:proofErr w:type="gramStart"/>
            <w:r w:rsidRPr="00034341">
              <w:rPr>
                <w:rFonts w:ascii="Times New Roman" w:eastAsia="Malgun Gothic" w:hAnsi="Times New Roman" w:cs="Times New Roman"/>
              </w:rPr>
              <w:t>3.009)*</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96B7FE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8.891 (</w:t>
            </w:r>
            <w:proofErr w:type="gramStart"/>
            <w:r w:rsidRPr="00034341">
              <w:rPr>
                <w:rFonts w:ascii="Times New Roman" w:eastAsia="Malgun Gothic" w:hAnsi="Times New Roman" w:cs="Times New Roman"/>
              </w:rPr>
              <w:t>2.993)*</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C17919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-0.148 (0.503)</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386C3A"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0.506 (0.456)</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9CACE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1.702 (</w:t>
            </w:r>
            <w:proofErr w:type="gramStart"/>
            <w:r w:rsidRPr="00034341">
              <w:rPr>
                <w:rFonts w:ascii="Times New Roman" w:eastAsia="Malgun Gothic" w:hAnsi="Times New Roman" w:cs="Times New Roman"/>
              </w:rPr>
              <w:t>0.405)*</w:t>
            </w:r>
            <w:proofErr w:type="gramEnd"/>
            <w:r w:rsidRPr="00034341">
              <w:rPr>
                <w:rFonts w:ascii="Times New Roman" w:eastAsia="Malgun Gothic" w:hAnsi="Times New Roman" w:cs="Times New Roman"/>
              </w:rPr>
              <w:t>*</w:t>
            </w:r>
          </w:p>
        </w:tc>
      </w:tr>
      <w:tr w:rsidR="00716277" w:rsidRPr="00034341" w14:paraId="1193266E"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D2C36C1"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Seodaemun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3D6FCA"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0.667 (</w:t>
            </w:r>
            <w:proofErr w:type="gramStart"/>
            <w:r w:rsidRPr="00034341">
              <w:rPr>
                <w:rFonts w:ascii="Times New Roman" w:eastAsia="Malgun Gothic" w:hAnsi="Times New Roman" w:cs="Times New Roman"/>
              </w:rPr>
              <w:t>0.131)*</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3F684F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0.046 (0.158)</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357660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-2.436 (2.092)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F2B94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3.929 (</w:t>
            </w:r>
            <w:proofErr w:type="gramStart"/>
            <w:r w:rsidRPr="00034341">
              <w:rPr>
                <w:rFonts w:ascii="Times New Roman" w:eastAsia="Malgun Gothic" w:hAnsi="Times New Roman" w:cs="Times New Roman"/>
              </w:rPr>
              <w:t>2.074)*</w:t>
            </w:r>
            <w:proofErr w:type="gramEnd"/>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BB516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0.451 (0.352)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92ED07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-0.262 (0.315)</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400E66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0.111 (0.234)</w:t>
            </w:r>
          </w:p>
        </w:tc>
      </w:tr>
      <w:tr w:rsidR="00716277" w:rsidRPr="00034341" w14:paraId="5C2E9DEF"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3601D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lastRenderedPageBreak/>
              <w:t>Guro</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F21BB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0.642 (</w:t>
            </w:r>
            <w:proofErr w:type="gramStart"/>
            <w:r w:rsidRPr="00034341">
              <w:rPr>
                <w:rFonts w:ascii="Times New Roman" w:eastAsia="Malgun Gothic" w:hAnsi="Times New Roman" w:cs="Times New Roman"/>
              </w:rPr>
              <w:t>0.120)*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1EA15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-0.101 (0.125)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212AC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-9.015 (</w:t>
            </w:r>
            <w:proofErr w:type="gramStart"/>
            <w:r w:rsidRPr="00034341">
              <w:rPr>
                <w:rFonts w:ascii="Times New Roman" w:eastAsia="Malgun Gothic" w:hAnsi="Times New Roman" w:cs="Times New Roman"/>
              </w:rPr>
              <w:t>2.796)*</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771E9E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9.902 (</w:t>
            </w:r>
            <w:proofErr w:type="gramStart"/>
            <w:r w:rsidRPr="00034341">
              <w:rPr>
                <w:rFonts w:ascii="Times New Roman" w:eastAsia="Malgun Gothic" w:hAnsi="Times New Roman" w:cs="Times New Roman"/>
              </w:rPr>
              <w:t>2.784)*</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27412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-0.211 (0.516)</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4FC114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0.577 (0.515)</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530620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2.231 (</w:t>
            </w:r>
            <w:proofErr w:type="gramStart"/>
            <w:r w:rsidRPr="00034341">
              <w:rPr>
                <w:rFonts w:ascii="Times New Roman" w:eastAsia="Malgun Gothic" w:hAnsi="Times New Roman" w:cs="Times New Roman"/>
              </w:rPr>
              <w:t>0.581)*</w:t>
            </w:r>
            <w:proofErr w:type="gramEnd"/>
            <w:r w:rsidRPr="00034341">
              <w:rPr>
                <w:rFonts w:ascii="Times New Roman" w:eastAsia="Malgun Gothic" w:hAnsi="Times New Roman" w:cs="Times New Roman"/>
              </w:rPr>
              <w:t>*</w:t>
            </w:r>
          </w:p>
        </w:tc>
      </w:tr>
      <w:tr w:rsidR="00716277" w:rsidRPr="00034341" w14:paraId="255B2C52"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36DB46B"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Songpa</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2AF112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1.016 (</w:t>
            </w:r>
            <w:proofErr w:type="gramStart"/>
            <w:r w:rsidRPr="00034341">
              <w:rPr>
                <w:rFonts w:ascii="Times New Roman" w:eastAsia="Malgun Gothic" w:hAnsi="Times New Roman" w:cs="Times New Roman"/>
              </w:rPr>
              <w:t>0.118)*</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131424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-0.507 (</w:t>
            </w:r>
            <w:proofErr w:type="gramStart"/>
            <w:r w:rsidRPr="00034341">
              <w:rPr>
                <w:rFonts w:ascii="Times New Roman" w:eastAsia="Malgun Gothic" w:hAnsi="Times New Roman" w:cs="Times New Roman"/>
              </w:rPr>
              <w:t>0.128)*</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C7AFF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-0.799 (2.460)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B5CC2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1.632 (2.538)</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566BE7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0.221 (0.847)</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A5356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0.142 (0.738)</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9FE219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1.241 (</w:t>
            </w:r>
            <w:proofErr w:type="gramStart"/>
            <w:r w:rsidRPr="00034341">
              <w:rPr>
                <w:rFonts w:ascii="Times New Roman" w:eastAsia="Malgun Gothic" w:hAnsi="Times New Roman" w:cs="Times New Roman"/>
              </w:rPr>
              <w:t>0.531)*</w:t>
            </w:r>
            <w:proofErr w:type="gramEnd"/>
            <w:r w:rsidRPr="00034341">
              <w:rPr>
                <w:rFonts w:ascii="Times New Roman" w:eastAsia="Malgun Gothic" w:hAnsi="Times New Roman" w:cs="Times New Roman"/>
              </w:rPr>
              <w:t>*</w:t>
            </w:r>
          </w:p>
        </w:tc>
      </w:tr>
      <w:tr w:rsidR="00716277" w:rsidRPr="00034341" w14:paraId="759ED620"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BFFB83"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Gangseo</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120B37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0.825 (</w:t>
            </w:r>
            <w:proofErr w:type="gramStart"/>
            <w:r w:rsidRPr="00034341">
              <w:rPr>
                <w:rFonts w:ascii="Times New Roman" w:eastAsia="Malgun Gothic" w:hAnsi="Times New Roman" w:cs="Times New Roman"/>
              </w:rPr>
              <w:t>0.141)*</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E92DFF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-0.060 (0.155)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3A7A00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-2.703 (4.360)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0B2684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2.034 (4.054)</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57802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-0.419 (0.720)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DC248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-0.145 (0.703)</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71DFA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0.825 (0.510)</w:t>
            </w:r>
          </w:p>
        </w:tc>
      </w:tr>
      <w:tr w:rsidR="00716277" w:rsidRPr="00034341" w14:paraId="45F52763"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9897824"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Seongbuk</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D2FA4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0.699 (</w:t>
            </w:r>
            <w:proofErr w:type="gramStart"/>
            <w:r w:rsidRPr="00034341">
              <w:rPr>
                <w:rFonts w:ascii="Times New Roman" w:eastAsia="Malgun Gothic" w:hAnsi="Times New Roman" w:cs="Times New Roman"/>
              </w:rPr>
              <w:t>0.138)*</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D88A0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-0.574 (</w:t>
            </w:r>
            <w:proofErr w:type="gramStart"/>
            <w:r w:rsidRPr="00034341">
              <w:rPr>
                <w:rFonts w:ascii="Times New Roman" w:eastAsia="Malgun Gothic" w:hAnsi="Times New Roman" w:cs="Times New Roman"/>
              </w:rPr>
              <w:t>0.152)*</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3306C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-8.176 (5.003)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B97E5E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2.380 (4.867)</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5B67B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-0.097 (0.505)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6A6DC6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-0.144 (0.487)</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623E1A"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2.094 (</w:t>
            </w:r>
            <w:proofErr w:type="gramStart"/>
            <w:r w:rsidRPr="00034341">
              <w:rPr>
                <w:rFonts w:ascii="Times New Roman" w:eastAsia="Malgun Gothic" w:hAnsi="Times New Roman" w:cs="Times New Roman"/>
              </w:rPr>
              <w:t>0.424)*</w:t>
            </w:r>
            <w:proofErr w:type="gramEnd"/>
            <w:r w:rsidRPr="00034341">
              <w:rPr>
                <w:rFonts w:ascii="Times New Roman" w:eastAsia="Malgun Gothic" w:hAnsi="Times New Roman" w:cs="Times New Roman"/>
              </w:rPr>
              <w:t>*</w:t>
            </w:r>
          </w:p>
        </w:tc>
      </w:tr>
      <w:tr w:rsidR="00716277" w:rsidRPr="00034341" w14:paraId="4653CFA2"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F4E6CA"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Gwangjin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646CDD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0.475 (</w:t>
            </w:r>
            <w:proofErr w:type="gramStart"/>
            <w:r w:rsidRPr="00034341">
              <w:rPr>
                <w:rFonts w:ascii="Times New Roman" w:eastAsia="Malgun Gothic" w:hAnsi="Times New Roman" w:cs="Times New Roman"/>
              </w:rPr>
              <w:t>0.127)*</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5529D2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0.138 (0.136)</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D62921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-4.049 (3.769)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98A6DE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6.533 (4.178)</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EA79EC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0.249 (0.554)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81DF14"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0.212 (0.519)</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57C60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-0.004 (0.318)</w:t>
            </w:r>
          </w:p>
        </w:tc>
      </w:tr>
      <w:tr w:rsidR="00716277" w:rsidRPr="00034341" w14:paraId="24E3A9C3"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8514755"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Dongjak</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2A345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0.780 (</w:t>
            </w:r>
            <w:proofErr w:type="gramStart"/>
            <w:r w:rsidRPr="00034341">
              <w:rPr>
                <w:rFonts w:ascii="Times New Roman" w:eastAsia="Malgun Gothic" w:hAnsi="Times New Roman" w:cs="Times New Roman"/>
              </w:rPr>
              <w:t>0.127)*</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25AFE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0.019 (0.139)</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D9749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2.418 (2.815)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5B14C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-3.052 (2.856)</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539189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0.774 (</w:t>
            </w:r>
            <w:proofErr w:type="gramStart"/>
            <w:r w:rsidRPr="00034341">
              <w:rPr>
                <w:rFonts w:ascii="Times New Roman" w:eastAsia="Malgun Gothic" w:hAnsi="Times New Roman" w:cs="Times New Roman"/>
              </w:rPr>
              <w:t>0.434)*</w:t>
            </w:r>
            <w:proofErr w:type="gram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71543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-1.157 (</w:t>
            </w:r>
            <w:proofErr w:type="gramStart"/>
            <w:r w:rsidRPr="00034341">
              <w:rPr>
                <w:rFonts w:ascii="Times New Roman" w:eastAsia="Malgun Gothic" w:hAnsi="Times New Roman" w:cs="Times New Roman"/>
              </w:rPr>
              <w:t>0.398)*</w:t>
            </w:r>
            <w:proofErr w:type="gramEnd"/>
            <w:r w:rsidRPr="00034341">
              <w:rPr>
                <w:rFonts w:ascii="Times New Roman" w:eastAsia="Malgun Gothic" w:hAnsi="Times New Roman" w:cs="Times New Roman"/>
              </w:rPr>
              <w:t>*</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B78E8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0.280 (0.229)</w:t>
            </w:r>
          </w:p>
        </w:tc>
      </w:tr>
      <w:tr w:rsidR="00716277" w:rsidRPr="00034341" w14:paraId="09A6B3FE"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CF453B6"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Gangdong</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3C5DF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0.545 (</w:t>
            </w:r>
            <w:proofErr w:type="gramStart"/>
            <w:r w:rsidRPr="00034341">
              <w:rPr>
                <w:rFonts w:ascii="Times New Roman" w:eastAsia="Malgun Gothic" w:hAnsi="Times New Roman" w:cs="Times New Roman"/>
              </w:rPr>
              <w:t>0.124)*</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ED6EF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-0.303 (</w:t>
            </w:r>
            <w:proofErr w:type="gramStart"/>
            <w:r w:rsidRPr="00034341">
              <w:rPr>
                <w:rFonts w:ascii="Times New Roman" w:eastAsia="Malgun Gothic" w:hAnsi="Times New Roman" w:cs="Times New Roman"/>
              </w:rPr>
              <w:t>0.130)*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C720A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-2.378 (4.051)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3D34A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1.345 (4.109)</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19161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0.647 (0.462)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F70AE0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-0.645 (0.428)</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0D1BF5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1.585 (</w:t>
            </w:r>
            <w:proofErr w:type="gramStart"/>
            <w:r w:rsidRPr="00034341">
              <w:rPr>
                <w:rFonts w:ascii="Times New Roman" w:eastAsia="Malgun Gothic" w:hAnsi="Times New Roman" w:cs="Times New Roman"/>
              </w:rPr>
              <w:t>0.335)*</w:t>
            </w:r>
            <w:proofErr w:type="gramEnd"/>
            <w:r w:rsidRPr="00034341">
              <w:rPr>
                <w:rFonts w:ascii="Times New Roman" w:eastAsia="Malgun Gothic" w:hAnsi="Times New Roman" w:cs="Times New Roman"/>
              </w:rPr>
              <w:t>*</w:t>
            </w:r>
          </w:p>
        </w:tc>
      </w:tr>
      <w:tr w:rsidR="00716277" w:rsidRPr="00034341" w14:paraId="253AB92A"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B53D803"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Nowon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92CE0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0.568 (</w:t>
            </w:r>
            <w:proofErr w:type="gramStart"/>
            <w:r w:rsidRPr="00034341">
              <w:rPr>
                <w:rFonts w:ascii="Times New Roman" w:eastAsia="Malgun Gothic" w:hAnsi="Times New Roman" w:cs="Times New Roman"/>
              </w:rPr>
              <w:t>0.133)*</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CF6F07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-0.268 (</w:t>
            </w:r>
            <w:proofErr w:type="gramStart"/>
            <w:r w:rsidRPr="00034341">
              <w:rPr>
                <w:rFonts w:ascii="Times New Roman" w:eastAsia="Malgun Gothic" w:hAnsi="Times New Roman" w:cs="Times New Roman"/>
              </w:rPr>
              <w:t>0.144)*</w:t>
            </w:r>
            <w:proofErr w:type="gram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73936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-2.999 (3.678)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4EA49D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-1.675 (3.642)</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1F367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0.059 (0.472)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7783A29"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-0.641 (0.451)</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5BF7B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1.481 (</w:t>
            </w:r>
            <w:proofErr w:type="gramStart"/>
            <w:r w:rsidRPr="00034341">
              <w:rPr>
                <w:rFonts w:ascii="Times New Roman" w:eastAsia="Malgun Gothic" w:hAnsi="Times New Roman" w:cs="Times New Roman"/>
              </w:rPr>
              <w:t>0.335)*</w:t>
            </w:r>
            <w:proofErr w:type="gramEnd"/>
            <w:r w:rsidRPr="00034341">
              <w:rPr>
                <w:rFonts w:ascii="Times New Roman" w:eastAsia="Malgun Gothic" w:hAnsi="Times New Roman" w:cs="Times New Roman"/>
              </w:rPr>
              <w:t>*</w:t>
            </w:r>
          </w:p>
        </w:tc>
      </w:tr>
      <w:tr w:rsidR="00716277" w:rsidRPr="00034341" w14:paraId="4EEA7BE5"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8DE5500"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Gangbuk</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46FCB8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0.612 (</w:t>
            </w:r>
            <w:proofErr w:type="gramStart"/>
            <w:r w:rsidRPr="00034341">
              <w:rPr>
                <w:rFonts w:ascii="Times New Roman" w:eastAsia="Malgun Gothic" w:hAnsi="Times New Roman" w:cs="Times New Roman"/>
              </w:rPr>
              <w:t>0.143)*</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E09EF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-0.228 (0.148)</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73E384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0.276 (4.421)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902B70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-1.560 (4.387)</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33F48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0.135 (0.411)</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381A3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-0.125 (0.381)</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F5159A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0.978 (</w:t>
            </w:r>
            <w:proofErr w:type="gramStart"/>
            <w:r w:rsidRPr="00034341">
              <w:rPr>
                <w:rFonts w:ascii="Times New Roman" w:eastAsia="Malgun Gothic" w:hAnsi="Times New Roman" w:cs="Times New Roman"/>
              </w:rPr>
              <w:t>0.327)*</w:t>
            </w:r>
            <w:proofErr w:type="gramEnd"/>
            <w:r w:rsidRPr="00034341">
              <w:rPr>
                <w:rFonts w:ascii="Times New Roman" w:eastAsia="Malgun Gothic" w:hAnsi="Times New Roman" w:cs="Times New Roman"/>
              </w:rPr>
              <w:t>*</w:t>
            </w:r>
          </w:p>
        </w:tc>
      </w:tr>
      <w:tr w:rsidR="00716277" w:rsidRPr="00034341" w14:paraId="242255EF"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49FDA8F"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Yangcheon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39055A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0.782 (</w:t>
            </w:r>
            <w:proofErr w:type="gramStart"/>
            <w:r w:rsidRPr="00034341">
              <w:rPr>
                <w:rFonts w:ascii="Times New Roman" w:eastAsia="Malgun Gothic" w:hAnsi="Times New Roman" w:cs="Times New Roman"/>
              </w:rPr>
              <w:t>0.146)*</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3338A6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-0.221 (0.167)</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50EF2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-0.975 (4.453)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F46AC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-1.565 (4.219)</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B282C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0.263 (0.459)</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4F1430"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-0.309 (0.443)</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C6226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0.614 (</w:t>
            </w:r>
            <w:proofErr w:type="gramStart"/>
            <w:r w:rsidRPr="00034341">
              <w:rPr>
                <w:rFonts w:ascii="Times New Roman" w:eastAsia="Malgun Gothic" w:hAnsi="Times New Roman" w:cs="Times New Roman"/>
              </w:rPr>
              <w:t>0.282)*</w:t>
            </w:r>
            <w:proofErr w:type="gramEnd"/>
            <w:r w:rsidRPr="00034341">
              <w:rPr>
                <w:rFonts w:ascii="Times New Roman" w:eastAsia="Malgun Gothic" w:hAnsi="Times New Roman" w:cs="Times New Roman"/>
              </w:rPr>
              <w:t>*</w:t>
            </w:r>
          </w:p>
        </w:tc>
      </w:tr>
      <w:tr w:rsidR="00716277" w:rsidRPr="00034341" w14:paraId="03DDC8A7"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447721D"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Jungnang</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3F1968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0.683 (</w:t>
            </w:r>
            <w:proofErr w:type="gramStart"/>
            <w:r w:rsidRPr="00034341">
              <w:rPr>
                <w:rFonts w:ascii="Times New Roman" w:eastAsia="Malgun Gothic" w:hAnsi="Times New Roman" w:cs="Times New Roman"/>
              </w:rPr>
              <w:t>0.143)*</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628AAA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-0.208 (0.157)</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126F0C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-2.904 (5.560)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EFD9BD"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0.003 (5.426)</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580DA2A"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0.363 (0.494)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B3E4112"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-0.353 (0.452)</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5311C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0.551 (</w:t>
            </w:r>
            <w:proofErr w:type="gramStart"/>
            <w:r w:rsidRPr="00034341">
              <w:rPr>
                <w:rFonts w:ascii="Times New Roman" w:eastAsia="Malgun Gothic" w:hAnsi="Times New Roman" w:cs="Times New Roman"/>
              </w:rPr>
              <w:t>0.316)*</w:t>
            </w:r>
            <w:proofErr w:type="gramEnd"/>
          </w:p>
        </w:tc>
      </w:tr>
      <w:tr w:rsidR="00716277" w:rsidRPr="00034341" w14:paraId="51CCB77C"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E675B8C"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Dobong</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30027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0.703 (</w:t>
            </w:r>
            <w:proofErr w:type="gramStart"/>
            <w:r w:rsidRPr="00034341">
              <w:rPr>
                <w:rFonts w:ascii="Times New Roman" w:eastAsia="Malgun Gothic" w:hAnsi="Times New Roman" w:cs="Times New Roman"/>
              </w:rPr>
              <w:t>0.122)*</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2DC868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-0.308 (</w:t>
            </w:r>
            <w:proofErr w:type="gramStart"/>
            <w:r w:rsidRPr="00034341">
              <w:rPr>
                <w:rFonts w:ascii="Times New Roman" w:eastAsia="Malgun Gothic" w:hAnsi="Times New Roman" w:cs="Times New Roman"/>
              </w:rPr>
              <w:t>0.136)*</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227C7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2.257 (3.832)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30E496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-3.408 (3.988)</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23FD7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0.416 (0.338)</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C0A045"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-0.435 (0.305)</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D13436"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0.772 (</w:t>
            </w:r>
            <w:proofErr w:type="gramStart"/>
            <w:r w:rsidRPr="00034341">
              <w:rPr>
                <w:rFonts w:ascii="Times New Roman" w:eastAsia="Malgun Gothic" w:hAnsi="Times New Roman" w:cs="Times New Roman"/>
              </w:rPr>
              <w:t>0.224)*</w:t>
            </w:r>
            <w:proofErr w:type="gramEnd"/>
            <w:r w:rsidRPr="00034341">
              <w:rPr>
                <w:rFonts w:ascii="Times New Roman" w:eastAsia="Malgun Gothic" w:hAnsi="Times New Roman" w:cs="Times New Roman"/>
              </w:rPr>
              <w:t>*</w:t>
            </w:r>
          </w:p>
        </w:tc>
      </w:tr>
      <w:tr w:rsidR="00716277" w:rsidRPr="00034341" w14:paraId="0B03E809"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A7EEE9" w14:textId="77777777" w:rsidR="00716277" w:rsidRPr="00034341" w:rsidRDefault="00716277" w:rsidP="00A177A0">
            <w:pPr>
              <w:pStyle w:val="EndNoteBibliography"/>
              <w:rPr>
                <w:rFonts w:ascii="Times New Roman" w:eastAsia="Malgun Gothic" w:hAnsi="Times New Roman" w:cs="Times New Roman"/>
              </w:rPr>
            </w:pPr>
            <w:proofErr w:type="spellStart"/>
            <w:r w:rsidRPr="00034341">
              <w:rPr>
                <w:rFonts w:ascii="Times New Roman" w:eastAsia="Malgun Gothic" w:hAnsi="Times New Roman" w:cs="Times New Roman"/>
              </w:rPr>
              <w:t>Gwanak</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85297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0.822 (</w:t>
            </w:r>
            <w:proofErr w:type="gramStart"/>
            <w:r w:rsidRPr="00034341">
              <w:rPr>
                <w:rFonts w:ascii="Times New Roman" w:eastAsia="Malgun Gothic" w:hAnsi="Times New Roman" w:cs="Times New Roman"/>
              </w:rPr>
              <w:t>0.140)*</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D94F613"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-0.101 (0.145)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6B11F0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-6.201 (6.173)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40121FF"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2.750 (6.365)</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81F92B"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0.220 (0.832)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40D60A"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-0.703 (0.785)</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601B4C"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0.874 (</w:t>
            </w:r>
            <w:proofErr w:type="gramStart"/>
            <w:r w:rsidRPr="00034341">
              <w:rPr>
                <w:rFonts w:ascii="Times New Roman" w:eastAsia="Malgun Gothic" w:hAnsi="Times New Roman" w:cs="Times New Roman"/>
              </w:rPr>
              <w:t>0.406)*</w:t>
            </w:r>
            <w:proofErr w:type="gramEnd"/>
            <w:r w:rsidRPr="00034341">
              <w:rPr>
                <w:rFonts w:ascii="Times New Roman" w:eastAsia="Malgun Gothic" w:hAnsi="Times New Roman" w:cs="Times New Roman"/>
              </w:rPr>
              <w:t>*</w:t>
            </w:r>
          </w:p>
        </w:tc>
      </w:tr>
      <w:tr w:rsidR="00716277" w:rsidRPr="00034341" w14:paraId="5D6781C7" w14:textId="77777777" w:rsidTr="00A177A0">
        <w:trPr>
          <w:gridAfter w:val="1"/>
          <w:wAfter w:w="55" w:type="dxa"/>
          <w:trHeight w:val="373"/>
        </w:trPr>
        <w:tc>
          <w:tcPr>
            <w:tcW w:w="1543"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FE9684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Eunpyeong</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53334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0.935 (</w:t>
            </w:r>
            <w:proofErr w:type="gramStart"/>
            <w:r w:rsidRPr="00034341">
              <w:rPr>
                <w:rFonts w:ascii="Times New Roman" w:eastAsia="Malgun Gothic" w:hAnsi="Times New Roman" w:cs="Times New Roman"/>
              </w:rPr>
              <w:t>0.145)*</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E40F4E"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-0.445 (</w:t>
            </w:r>
            <w:proofErr w:type="gramStart"/>
            <w:r w:rsidRPr="00034341">
              <w:rPr>
                <w:rFonts w:ascii="Times New Roman" w:eastAsia="Malgun Gothic" w:hAnsi="Times New Roman" w:cs="Times New Roman"/>
              </w:rPr>
              <w:t>0.163)*</w:t>
            </w:r>
            <w:proofErr w:type="gramEnd"/>
            <w:r w:rsidRPr="00034341">
              <w:rPr>
                <w:rFonts w:ascii="Times New Roman" w:eastAsia="Malgun Gothic" w:hAnsi="Times New Roman" w:cs="Times New Roman"/>
              </w:rPr>
              <w: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2BE04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-2.770 (4.855)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046EAF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1.384 (5.043)</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AFE468"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0.551 (0.472)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5DA6737"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-0.353 (0.429)</w:t>
            </w:r>
          </w:p>
        </w:tc>
        <w:tc>
          <w:tcPr>
            <w:tcW w:w="17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6B65F01" w14:textId="77777777" w:rsidR="00716277" w:rsidRPr="00034341" w:rsidRDefault="00716277" w:rsidP="00A177A0">
            <w:pPr>
              <w:pStyle w:val="EndNoteBibliography"/>
              <w:rPr>
                <w:rFonts w:ascii="Times New Roman" w:eastAsia="Malgun Gothic" w:hAnsi="Times New Roman" w:cs="Times New Roman"/>
              </w:rPr>
            </w:pPr>
            <w:r w:rsidRPr="00034341">
              <w:rPr>
                <w:rFonts w:ascii="Times New Roman" w:eastAsia="Malgun Gothic" w:hAnsi="Times New Roman" w:cs="Times New Roman"/>
              </w:rPr>
              <w:t>0.894 (</w:t>
            </w:r>
            <w:proofErr w:type="gramStart"/>
            <w:r w:rsidRPr="00034341">
              <w:rPr>
                <w:rFonts w:ascii="Times New Roman" w:eastAsia="Malgun Gothic" w:hAnsi="Times New Roman" w:cs="Times New Roman"/>
              </w:rPr>
              <w:t>0.326)*</w:t>
            </w:r>
            <w:proofErr w:type="gramEnd"/>
            <w:r w:rsidRPr="00034341">
              <w:rPr>
                <w:rFonts w:ascii="Times New Roman" w:eastAsia="Malgun Gothic" w:hAnsi="Times New Roman" w:cs="Times New Roman"/>
              </w:rPr>
              <w:t>*</w:t>
            </w:r>
          </w:p>
        </w:tc>
      </w:tr>
    </w:tbl>
    <w:p w14:paraId="66EA9605" w14:textId="77777777" w:rsidR="00716277" w:rsidRDefault="00716277" w:rsidP="00716277">
      <w:pPr>
        <w:pStyle w:val="EndNoteBibliography"/>
        <w:spacing w:after="0"/>
        <w:rPr>
          <w:rFonts w:ascii="Times New Roman" w:eastAsia="Malgun Gothic" w:hAnsi="Times New Roman" w:cs="Times New Roman"/>
        </w:rPr>
      </w:pPr>
    </w:p>
    <w:p w14:paraId="508A18C7" w14:textId="77777777" w:rsidR="00716277" w:rsidRDefault="00716277" w:rsidP="00716277">
      <w:pPr>
        <w:pStyle w:val="EndNoteBibliography"/>
        <w:spacing w:after="0"/>
        <w:ind w:left="720" w:hanging="720"/>
        <w:rPr>
          <w:rFonts w:ascii="Times New Roman" w:eastAsia="Malgun Gothic" w:hAnsi="Times New Roman" w:cs="Times New Roman"/>
          <w:b/>
          <w:bCs/>
        </w:rPr>
      </w:pPr>
    </w:p>
    <w:p w14:paraId="5CE577C3" w14:textId="77777777" w:rsidR="00716277" w:rsidRDefault="00716277" w:rsidP="00716277">
      <w:pPr>
        <w:pStyle w:val="EndNoteBibliography"/>
        <w:spacing w:after="0"/>
        <w:ind w:left="720" w:hanging="720"/>
        <w:rPr>
          <w:rFonts w:ascii="Times New Roman" w:eastAsia="Malgun Gothic" w:hAnsi="Times New Roman" w:cs="Times New Roman"/>
          <w:b/>
          <w:bCs/>
        </w:rPr>
      </w:pPr>
    </w:p>
    <w:tbl>
      <w:tblPr>
        <w:tblW w:w="13025" w:type="dxa"/>
        <w:tblCellMar>
          <w:left w:w="0" w:type="dxa"/>
          <w:right w:w="0" w:type="dxa"/>
        </w:tblCellMar>
        <w:tblLook w:val="0600" w:firstRow="0" w:lastRow="0" w:firstColumn="0" w:lastColumn="0" w:noHBand="1" w:noVBand="1"/>
      </w:tblPr>
      <w:tblGrid>
        <w:gridCol w:w="1602"/>
        <w:gridCol w:w="1705"/>
        <w:gridCol w:w="1595"/>
        <w:gridCol w:w="1632"/>
        <w:gridCol w:w="1522"/>
        <w:gridCol w:w="1705"/>
        <w:gridCol w:w="1632"/>
        <w:gridCol w:w="1632"/>
      </w:tblGrid>
      <w:tr w:rsidR="00716277" w:rsidRPr="00034341" w14:paraId="5C4BA4EC" w14:textId="77777777" w:rsidTr="00A177A0">
        <w:trPr>
          <w:trHeight w:val="351"/>
        </w:trPr>
        <w:tc>
          <w:tcPr>
            <w:tcW w:w="13025" w:type="dxa"/>
            <w:gridSpan w:val="8"/>
            <w:tcBorders>
              <w:top w:val="single" w:sz="8" w:space="0" w:color="000000"/>
              <w:left w:val="single" w:sz="8" w:space="0" w:color="000000"/>
              <w:bottom w:val="nil"/>
              <w:right w:val="single" w:sz="8" w:space="0" w:color="000000"/>
            </w:tcBorders>
            <w:shd w:val="clear" w:color="auto" w:fill="auto"/>
            <w:tcMar>
              <w:top w:w="10" w:type="dxa"/>
              <w:left w:w="10" w:type="dxa"/>
              <w:bottom w:w="0" w:type="dxa"/>
              <w:right w:w="10" w:type="dxa"/>
            </w:tcMar>
            <w:vAlign w:val="center"/>
            <w:hideMark/>
          </w:tcPr>
          <w:p w14:paraId="6A305C23" w14:textId="77777777" w:rsidR="00716277" w:rsidRPr="00034341" w:rsidRDefault="00716277" w:rsidP="00A177A0">
            <w:pPr>
              <w:pStyle w:val="EndNoteBibliography"/>
              <w:ind w:left="720" w:hanging="720"/>
              <w:rPr>
                <w:rFonts w:ascii="Times New Roman" w:eastAsia="Malgun Gothic" w:hAnsi="Times New Roman" w:cs="Times New Roman"/>
                <w:b/>
                <w:bCs/>
              </w:rPr>
            </w:pPr>
            <w:r w:rsidRPr="00034341">
              <w:rPr>
                <w:rFonts w:ascii="Times New Roman" w:eastAsia="Malgun Gothic" w:hAnsi="Times New Roman" w:cs="Times New Roman"/>
                <w:b/>
                <w:bCs/>
                <w:i/>
                <w:iCs/>
              </w:rPr>
              <w:lastRenderedPageBreak/>
              <w:t xml:space="preserve">Estimation results for equation mobility: </w:t>
            </w:r>
          </w:p>
        </w:tc>
      </w:tr>
      <w:tr w:rsidR="00716277" w:rsidRPr="00034341" w14:paraId="50C12722" w14:textId="77777777" w:rsidTr="00A177A0">
        <w:trPr>
          <w:trHeight w:val="373"/>
        </w:trPr>
        <w:tc>
          <w:tcPr>
            <w:tcW w:w="13025" w:type="dxa"/>
            <w:gridSpan w:val="8"/>
            <w:tcBorders>
              <w:top w:val="nil"/>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D02D563" w14:textId="77777777" w:rsidR="00716277" w:rsidRPr="00034341" w:rsidRDefault="00716277" w:rsidP="00A177A0">
            <w:pPr>
              <w:pStyle w:val="EndNoteBibliography"/>
              <w:ind w:left="720" w:hanging="720"/>
              <w:rPr>
                <w:rFonts w:ascii="Times New Roman" w:eastAsia="Malgun Gothic" w:hAnsi="Times New Roman" w:cs="Times New Roman"/>
                <w:b/>
                <w:bCs/>
              </w:rPr>
            </w:pPr>
            <w:r w:rsidRPr="00034341">
              <w:rPr>
                <w:rFonts w:ascii="Times New Roman" w:eastAsia="Malgun Gothic" w:hAnsi="Times New Roman" w:cs="Times New Roman"/>
                <w:b/>
                <w:bCs/>
                <w:i/>
                <w:iCs/>
              </w:rPr>
              <w:t xml:space="preserve">mobility = </w:t>
            </w:r>
            <w:proofErr w:type="gramStart"/>
            <w:r w:rsidRPr="00034341">
              <w:rPr>
                <w:rFonts w:ascii="Times New Roman" w:eastAsia="Malgun Gothic" w:hAnsi="Times New Roman" w:cs="Times New Roman"/>
                <w:b/>
                <w:bCs/>
                <w:i/>
                <w:iCs/>
              </w:rPr>
              <w:t>incidences.l</w:t>
            </w:r>
            <w:proofErr w:type="gramEnd"/>
            <w:r w:rsidRPr="00034341">
              <w:rPr>
                <w:rFonts w:ascii="Times New Roman" w:eastAsia="Malgun Gothic" w:hAnsi="Times New Roman" w:cs="Times New Roman"/>
                <w:b/>
                <w:bCs/>
                <w:i/>
                <w:iCs/>
              </w:rPr>
              <w:t xml:space="preserve">1 + mobility.l1 + policy.l1 + incidences.l2 + mobility.l2 + policy.l2 + const + trend + </w:t>
            </w:r>
            <w:proofErr w:type="spellStart"/>
            <w:r w:rsidRPr="00034341">
              <w:rPr>
                <w:rFonts w:ascii="Times New Roman" w:eastAsia="Malgun Gothic" w:hAnsi="Times New Roman" w:cs="Times New Roman"/>
                <w:b/>
                <w:bCs/>
                <w:i/>
                <w:iCs/>
              </w:rPr>
              <w:t>vaccination_rate</w:t>
            </w:r>
            <w:proofErr w:type="spellEnd"/>
          </w:p>
        </w:tc>
      </w:tr>
      <w:tr w:rsidR="00716277" w:rsidRPr="00034341" w14:paraId="2D93DEEF"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D0719F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DIST</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47C180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Incidence.l1</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7B2DC0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Incidence.l2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3B09CD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Mobility.l1</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97DADD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Mobility.l2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582BA6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Policy.l1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3356B6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Policy.l2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365A5BB"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Vacc_rate</w:t>
            </w:r>
            <w:proofErr w:type="spellEnd"/>
          </w:p>
        </w:tc>
      </w:tr>
      <w:tr w:rsidR="00716277" w:rsidRPr="00034341" w14:paraId="4F88CB35"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CDC552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Total</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BBD3A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-0.046 (</w:t>
            </w:r>
            <w:proofErr w:type="gramStart"/>
            <w:r w:rsidRPr="00034341">
              <w:rPr>
                <w:rFonts w:ascii="Times New Roman" w:eastAsia="Malgun Gothic" w:hAnsi="Times New Roman" w:cs="Times New Roman"/>
              </w:rPr>
              <w:t>0.014)*</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B435C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0.002 (0.016)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F806B1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0.249 (0.158)</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C9909A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0.075 (0.152)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61328C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-2.054 (</w:t>
            </w:r>
            <w:proofErr w:type="gramStart"/>
            <w:r w:rsidRPr="00034341">
              <w:rPr>
                <w:rFonts w:ascii="Times New Roman" w:eastAsia="Malgun Gothic" w:hAnsi="Times New Roman" w:cs="Times New Roman"/>
              </w:rPr>
              <w:t>0.910)*</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10121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1.249 (0.819)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93C8B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2.225 (</w:t>
            </w:r>
            <w:proofErr w:type="gramStart"/>
            <w:r w:rsidRPr="00034341">
              <w:rPr>
                <w:rFonts w:ascii="Times New Roman" w:eastAsia="Malgun Gothic" w:hAnsi="Times New Roman" w:cs="Times New Roman"/>
              </w:rPr>
              <w:t>0.694)*</w:t>
            </w:r>
            <w:proofErr w:type="gramEnd"/>
            <w:r w:rsidRPr="00034341">
              <w:rPr>
                <w:rFonts w:ascii="Times New Roman" w:eastAsia="Malgun Gothic" w:hAnsi="Times New Roman" w:cs="Times New Roman"/>
              </w:rPr>
              <w:t>*</w:t>
            </w:r>
          </w:p>
        </w:tc>
      </w:tr>
      <w:tr w:rsidR="00716277" w:rsidRPr="00034341" w14:paraId="65230C4C"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DE8943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Jung</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8A9AE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-0.058 (0.040)</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66688F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-0.048 (0.044)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A0F97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-0.035 (0.157)</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88E471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-0.157 (0.157)</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54AB59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-0.375 (</w:t>
            </w:r>
            <w:proofErr w:type="gramStart"/>
            <w:r w:rsidRPr="00034341">
              <w:rPr>
                <w:rFonts w:ascii="Times New Roman" w:eastAsia="Malgun Gothic" w:hAnsi="Times New Roman" w:cs="Times New Roman"/>
              </w:rPr>
              <w:t>0.093)*</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E25597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0.091 (0.082)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9E519F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0.249 (</w:t>
            </w:r>
            <w:proofErr w:type="gramStart"/>
            <w:r w:rsidRPr="00034341">
              <w:rPr>
                <w:rFonts w:ascii="Times New Roman" w:eastAsia="Malgun Gothic" w:hAnsi="Times New Roman" w:cs="Times New Roman"/>
              </w:rPr>
              <w:t>0.068)*</w:t>
            </w:r>
            <w:proofErr w:type="gramEnd"/>
            <w:r w:rsidRPr="00034341">
              <w:rPr>
                <w:rFonts w:ascii="Times New Roman" w:eastAsia="Malgun Gothic" w:hAnsi="Times New Roman" w:cs="Times New Roman"/>
              </w:rPr>
              <w:t>*</w:t>
            </w:r>
          </w:p>
        </w:tc>
      </w:tr>
      <w:tr w:rsidR="00716277" w:rsidRPr="00034341" w14:paraId="169793BE"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C9BB68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Jongno</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CB5F04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-0.069 (</w:t>
            </w:r>
            <w:proofErr w:type="gramStart"/>
            <w:r w:rsidRPr="00034341">
              <w:rPr>
                <w:rFonts w:ascii="Times New Roman" w:eastAsia="Malgun Gothic" w:hAnsi="Times New Roman" w:cs="Times New Roman"/>
              </w:rPr>
              <w:t>0.036)*</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CF6CB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-0.001 (0.036)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8BA18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0.246 (0.176)</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C045C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0.086 (0.180)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840E02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-0.263 (</w:t>
            </w:r>
            <w:proofErr w:type="gramStart"/>
            <w:r w:rsidRPr="00034341">
              <w:rPr>
                <w:rFonts w:ascii="Times New Roman" w:eastAsia="Malgun Gothic" w:hAnsi="Times New Roman" w:cs="Times New Roman"/>
              </w:rPr>
              <w:t>0.089)*</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BE4C76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0.155 (</w:t>
            </w:r>
            <w:proofErr w:type="gramStart"/>
            <w:r w:rsidRPr="00034341">
              <w:rPr>
                <w:rFonts w:ascii="Times New Roman" w:eastAsia="Malgun Gothic" w:hAnsi="Times New Roman" w:cs="Times New Roman"/>
              </w:rPr>
              <w:t>0.077)*</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C2CF4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0.178 (</w:t>
            </w:r>
            <w:proofErr w:type="gramStart"/>
            <w:r w:rsidRPr="00034341">
              <w:rPr>
                <w:rFonts w:ascii="Times New Roman" w:eastAsia="Malgun Gothic" w:hAnsi="Times New Roman" w:cs="Times New Roman"/>
              </w:rPr>
              <w:t>0.078)*</w:t>
            </w:r>
            <w:proofErr w:type="gramEnd"/>
            <w:r w:rsidRPr="00034341">
              <w:rPr>
                <w:rFonts w:ascii="Times New Roman" w:eastAsia="Malgun Gothic" w:hAnsi="Times New Roman" w:cs="Times New Roman"/>
              </w:rPr>
              <w:t>*</w:t>
            </w:r>
          </w:p>
        </w:tc>
      </w:tr>
      <w:tr w:rsidR="00716277" w:rsidRPr="00034341" w14:paraId="606D989E"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00BA08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Gangnam</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1A90A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-0.061 (0.038)</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B2CD55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0.028 (0.041)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201A06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0.080 (0.148)</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3729C6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-0.069 (0.149)</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E6FC3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-0.561 (</w:t>
            </w:r>
            <w:proofErr w:type="gramStart"/>
            <w:r w:rsidRPr="00034341">
              <w:rPr>
                <w:rFonts w:ascii="Times New Roman" w:eastAsia="Malgun Gothic" w:hAnsi="Times New Roman" w:cs="Times New Roman"/>
              </w:rPr>
              <w:t>0.176)*</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E670A9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0.093 (0.164)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20F4F9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0.186 (</w:t>
            </w:r>
            <w:proofErr w:type="gramStart"/>
            <w:r w:rsidRPr="00034341">
              <w:rPr>
                <w:rFonts w:ascii="Times New Roman" w:eastAsia="Malgun Gothic" w:hAnsi="Times New Roman" w:cs="Times New Roman"/>
              </w:rPr>
              <w:t>0.094)*</w:t>
            </w:r>
            <w:proofErr w:type="gramEnd"/>
          </w:p>
        </w:tc>
      </w:tr>
      <w:tr w:rsidR="00716277" w:rsidRPr="00034341" w14:paraId="5A366F34"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784BEC9"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Yeongdeungpo</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98199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-0.033 (</w:t>
            </w:r>
            <w:proofErr w:type="gramStart"/>
            <w:r w:rsidRPr="00034341">
              <w:rPr>
                <w:rFonts w:ascii="Times New Roman" w:eastAsia="Malgun Gothic" w:hAnsi="Times New Roman" w:cs="Times New Roman"/>
              </w:rPr>
              <w:t>0.015)*</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81B416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-0.026 (0.017)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A9BE9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0.237 (0.149)</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300EE4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0.088 (0.149)</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5C23B1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-0.140 (</w:t>
            </w:r>
            <w:proofErr w:type="gramStart"/>
            <w:r w:rsidRPr="00034341">
              <w:rPr>
                <w:rFonts w:ascii="Times New Roman" w:eastAsia="Malgun Gothic" w:hAnsi="Times New Roman" w:cs="Times New Roman"/>
              </w:rPr>
              <w:t>0.063)*</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762A42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0.104 (</w:t>
            </w:r>
            <w:proofErr w:type="gramStart"/>
            <w:r w:rsidRPr="00034341">
              <w:rPr>
                <w:rFonts w:ascii="Times New Roman" w:eastAsia="Malgun Gothic" w:hAnsi="Times New Roman" w:cs="Times New Roman"/>
              </w:rPr>
              <w:t>0.056)*</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E400CC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0.143 (</w:t>
            </w:r>
            <w:proofErr w:type="gramStart"/>
            <w:r w:rsidRPr="00034341">
              <w:rPr>
                <w:rFonts w:ascii="Times New Roman" w:eastAsia="Malgun Gothic" w:hAnsi="Times New Roman" w:cs="Times New Roman"/>
              </w:rPr>
              <w:t>0.046)*</w:t>
            </w:r>
            <w:proofErr w:type="gramEnd"/>
            <w:r w:rsidRPr="00034341">
              <w:rPr>
                <w:rFonts w:ascii="Times New Roman" w:eastAsia="Malgun Gothic" w:hAnsi="Times New Roman" w:cs="Times New Roman"/>
              </w:rPr>
              <w:t>*</w:t>
            </w:r>
          </w:p>
        </w:tc>
      </w:tr>
      <w:tr w:rsidR="00716277" w:rsidRPr="00034341" w14:paraId="096646F8"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554F9F9"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Seocho</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806CEB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-0.076 (</w:t>
            </w:r>
            <w:proofErr w:type="gramStart"/>
            <w:r w:rsidRPr="00034341">
              <w:rPr>
                <w:rFonts w:ascii="Times New Roman" w:eastAsia="Malgun Gothic" w:hAnsi="Times New Roman" w:cs="Times New Roman"/>
              </w:rPr>
              <w:t>0.030)*</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35866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0.026 (0.032)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872905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0.120 (0.148)</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E18087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0.034 (0.148)</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B08785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-0.254 (</w:t>
            </w:r>
            <w:proofErr w:type="gramStart"/>
            <w:r w:rsidRPr="00034341">
              <w:rPr>
                <w:rFonts w:ascii="Times New Roman" w:eastAsia="Malgun Gothic" w:hAnsi="Times New Roman" w:cs="Times New Roman"/>
              </w:rPr>
              <w:t>0.100)*</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EFCAE2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0.040 (0.091)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EB1787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0.074 (0.049)</w:t>
            </w:r>
          </w:p>
        </w:tc>
      </w:tr>
      <w:tr w:rsidR="00716277" w:rsidRPr="00034341" w14:paraId="305CA783"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3BD493F"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Geumcheon</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AFD5B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-0.032 (</w:t>
            </w:r>
            <w:proofErr w:type="gramStart"/>
            <w:r w:rsidRPr="00034341">
              <w:rPr>
                <w:rFonts w:ascii="Times New Roman" w:eastAsia="Malgun Gothic" w:hAnsi="Times New Roman" w:cs="Times New Roman"/>
              </w:rPr>
              <w:t>0.011)*</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7A6D9E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-0.010 (0.013)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7020F2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-0.102 (0.136)</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50CAA7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-0.126 (0.135)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F4091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-0.048 (</w:t>
            </w:r>
            <w:proofErr w:type="gramStart"/>
            <w:r w:rsidRPr="00034341">
              <w:rPr>
                <w:rFonts w:ascii="Times New Roman" w:eastAsia="Malgun Gothic" w:hAnsi="Times New Roman" w:cs="Times New Roman"/>
              </w:rPr>
              <w:t>0.020)*</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0CC4B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0.002 (0.019)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6E37DC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0.084 (</w:t>
            </w:r>
            <w:proofErr w:type="gramStart"/>
            <w:r w:rsidRPr="00034341">
              <w:rPr>
                <w:rFonts w:ascii="Times New Roman" w:eastAsia="Malgun Gothic" w:hAnsi="Times New Roman" w:cs="Times New Roman"/>
              </w:rPr>
              <w:t>0.024)*</w:t>
            </w:r>
            <w:proofErr w:type="gramEnd"/>
            <w:r w:rsidRPr="00034341">
              <w:rPr>
                <w:rFonts w:ascii="Times New Roman" w:eastAsia="Malgun Gothic" w:hAnsi="Times New Roman" w:cs="Times New Roman"/>
              </w:rPr>
              <w:t>*</w:t>
            </w:r>
          </w:p>
        </w:tc>
      </w:tr>
      <w:tr w:rsidR="00716277" w:rsidRPr="00034341" w14:paraId="76F64AC0"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D93283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Yongsan</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7B188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-0.019 (0.012)</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68DC9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-0.003 (0.013)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E4709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0.597 (</w:t>
            </w:r>
            <w:proofErr w:type="gramStart"/>
            <w:r w:rsidRPr="00034341">
              <w:rPr>
                <w:rFonts w:ascii="Times New Roman" w:eastAsia="Malgun Gothic" w:hAnsi="Times New Roman" w:cs="Times New Roman"/>
              </w:rPr>
              <w:t>0.160)*</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DC1215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0.189 (0.168)</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529969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-0.062 (</w:t>
            </w:r>
            <w:proofErr w:type="gramStart"/>
            <w:r w:rsidRPr="00034341">
              <w:rPr>
                <w:rFonts w:ascii="Times New Roman" w:eastAsia="Malgun Gothic" w:hAnsi="Times New Roman" w:cs="Times New Roman"/>
              </w:rPr>
              <w:t>0.036)*</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7832CB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0.080 (</w:t>
            </w:r>
            <w:proofErr w:type="gramStart"/>
            <w:r w:rsidRPr="00034341">
              <w:rPr>
                <w:rFonts w:ascii="Times New Roman" w:eastAsia="Malgun Gothic" w:hAnsi="Times New Roman" w:cs="Times New Roman"/>
              </w:rPr>
              <w:t>0.033)*</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E567C9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0.017 (0.020)</w:t>
            </w:r>
          </w:p>
        </w:tc>
      </w:tr>
      <w:tr w:rsidR="00716277" w:rsidRPr="00034341" w14:paraId="06BECD57"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9E93C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Mapo</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B98D01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-0.042 (</w:t>
            </w:r>
            <w:proofErr w:type="gramStart"/>
            <w:r w:rsidRPr="00034341">
              <w:rPr>
                <w:rFonts w:ascii="Times New Roman" w:eastAsia="Malgun Gothic" w:hAnsi="Times New Roman" w:cs="Times New Roman"/>
              </w:rPr>
              <w:t>0.016)*</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0744AD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0.008 (0.017)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68DCD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0.543 (</w:t>
            </w:r>
            <w:proofErr w:type="gramStart"/>
            <w:r w:rsidRPr="00034341">
              <w:rPr>
                <w:rFonts w:ascii="Times New Roman" w:eastAsia="Malgun Gothic" w:hAnsi="Times New Roman" w:cs="Times New Roman"/>
              </w:rPr>
              <w:t>0.151)*</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9EC4AA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0.251 (0.154)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F8541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-0.067 (0.060)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9BDC58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0.123 (</w:t>
            </w:r>
            <w:proofErr w:type="gramStart"/>
            <w:r w:rsidRPr="00034341">
              <w:rPr>
                <w:rFonts w:ascii="Times New Roman" w:eastAsia="Malgun Gothic" w:hAnsi="Times New Roman" w:cs="Times New Roman"/>
              </w:rPr>
              <w:t>0.053)*</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04F8C1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0.030 (0.034)</w:t>
            </w:r>
          </w:p>
        </w:tc>
      </w:tr>
      <w:tr w:rsidR="00716277" w:rsidRPr="00034341" w14:paraId="7F080087"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0D83ACD"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Seongdong</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254BB8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-0.015 (0.012)</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AB1EA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-0.022 (</w:t>
            </w:r>
            <w:proofErr w:type="gramStart"/>
            <w:r w:rsidRPr="00034341">
              <w:rPr>
                <w:rFonts w:ascii="Times New Roman" w:eastAsia="Malgun Gothic" w:hAnsi="Times New Roman" w:cs="Times New Roman"/>
              </w:rPr>
              <w:t>0.012)*</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C2F89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0.287 (</w:t>
            </w:r>
            <w:proofErr w:type="gramStart"/>
            <w:r w:rsidRPr="00034341">
              <w:rPr>
                <w:rFonts w:ascii="Times New Roman" w:eastAsia="Malgun Gothic" w:hAnsi="Times New Roman" w:cs="Times New Roman"/>
              </w:rPr>
              <w:t>0.151)*</w:t>
            </w:r>
            <w:proofErr w:type="gramEnd"/>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C81E4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0.044 (0.152)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C3EB76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-0.069 (</w:t>
            </w:r>
            <w:proofErr w:type="gramStart"/>
            <w:r w:rsidRPr="00034341">
              <w:rPr>
                <w:rFonts w:ascii="Times New Roman" w:eastAsia="Malgun Gothic" w:hAnsi="Times New Roman" w:cs="Times New Roman"/>
              </w:rPr>
              <w:t>0.034)*</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D0EBEE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0.033 (0.031)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BFD2D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0.043 (</w:t>
            </w:r>
            <w:proofErr w:type="gramStart"/>
            <w:r w:rsidRPr="00034341">
              <w:rPr>
                <w:rFonts w:ascii="Times New Roman" w:eastAsia="Malgun Gothic" w:hAnsi="Times New Roman" w:cs="Times New Roman"/>
              </w:rPr>
              <w:t>0.019)*</w:t>
            </w:r>
            <w:proofErr w:type="gramEnd"/>
            <w:r w:rsidRPr="00034341">
              <w:rPr>
                <w:rFonts w:ascii="Times New Roman" w:eastAsia="Malgun Gothic" w:hAnsi="Times New Roman" w:cs="Times New Roman"/>
              </w:rPr>
              <w:t>*</w:t>
            </w:r>
          </w:p>
        </w:tc>
      </w:tr>
      <w:tr w:rsidR="00716277" w:rsidRPr="00034341" w14:paraId="0E4E15DE"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109425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Dongdaemun</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B43C54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-0.014 (</w:t>
            </w:r>
            <w:proofErr w:type="gramStart"/>
            <w:r w:rsidRPr="00034341">
              <w:rPr>
                <w:rFonts w:ascii="Times New Roman" w:eastAsia="Malgun Gothic" w:hAnsi="Times New Roman" w:cs="Times New Roman"/>
              </w:rPr>
              <w:t>0.005)*</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F3E00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0.004 (0.006)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3E63EF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0.498 (</w:t>
            </w:r>
            <w:proofErr w:type="gramStart"/>
            <w:r w:rsidRPr="00034341">
              <w:rPr>
                <w:rFonts w:ascii="Times New Roman" w:eastAsia="Malgun Gothic" w:hAnsi="Times New Roman" w:cs="Times New Roman"/>
              </w:rPr>
              <w:t>0.146)*</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30A5C1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0.134 (0.145)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F7B36A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-0.063 (</w:t>
            </w:r>
            <w:proofErr w:type="gramStart"/>
            <w:r w:rsidRPr="00034341">
              <w:rPr>
                <w:rFonts w:ascii="Times New Roman" w:eastAsia="Malgun Gothic" w:hAnsi="Times New Roman" w:cs="Times New Roman"/>
              </w:rPr>
              <w:t>0.024)*</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4EC277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0.059 (</w:t>
            </w:r>
            <w:proofErr w:type="gramStart"/>
            <w:r w:rsidRPr="00034341">
              <w:rPr>
                <w:rFonts w:ascii="Times New Roman" w:eastAsia="Malgun Gothic" w:hAnsi="Times New Roman" w:cs="Times New Roman"/>
              </w:rPr>
              <w:t>0.022)*</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B1E94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0.034 (</w:t>
            </w:r>
            <w:proofErr w:type="gramStart"/>
            <w:r w:rsidRPr="00034341">
              <w:rPr>
                <w:rFonts w:ascii="Times New Roman" w:eastAsia="Malgun Gothic" w:hAnsi="Times New Roman" w:cs="Times New Roman"/>
              </w:rPr>
              <w:t>0.020)*</w:t>
            </w:r>
            <w:proofErr w:type="gramEnd"/>
          </w:p>
        </w:tc>
      </w:tr>
      <w:tr w:rsidR="00716277" w:rsidRPr="00034341" w14:paraId="3F06607B"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4A9A26A"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Seodaemun</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C8A24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-0.028 (</w:t>
            </w:r>
            <w:proofErr w:type="gramStart"/>
            <w:r w:rsidRPr="00034341">
              <w:rPr>
                <w:rFonts w:ascii="Times New Roman" w:eastAsia="Malgun Gothic" w:hAnsi="Times New Roman" w:cs="Times New Roman"/>
              </w:rPr>
              <w:t>0.010)*</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E05B17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0.008 (0.011)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B75125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0.504 (</w:t>
            </w:r>
            <w:proofErr w:type="gramStart"/>
            <w:r w:rsidRPr="00034341">
              <w:rPr>
                <w:rFonts w:ascii="Times New Roman" w:eastAsia="Malgun Gothic" w:hAnsi="Times New Roman" w:cs="Times New Roman"/>
              </w:rPr>
              <w:t>0.152)*</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54E839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0.100 (0.150)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1AA00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-0.053 (</w:t>
            </w:r>
            <w:proofErr w:type="gramStart"/>
            <w:r w:rsidRPr="00034341">
              <w:rPr>
                <w:rFonts w:ascii="Times New Roman" w:eastAsia="Malgun Gothic" w:hAnsi="Times New Roman" w:cs="Times New Roman"/>
              </w:rPr>
              <w:t>0.026)*</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7A0F8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0.052 (</w:t>
            </w:r>
            <w:proofErr w:type="gramStart"/>
            <w:r w:rsidRPr="00034341">
              <w:rPr>
                <w:rFonts w:ascii="Times New Roman" w:eastAsia="Malgun Gothic" w:hAnsi="Times New Roman" w:cs="Times New Roman"/>
              </w:rPr>
              <w:t>0.023)*</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DB25F7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0.023 (0.017)</w:t>
            </w:r>
          </w:p>
        </w:tc>
      </w:tr>
      <w:tr w:rsidR="00716277" w:rsidRPr="00034341" w14:paraId="2D490C05"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2B0245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lastRenderedPageBreak/>
              <w:t>Guro</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6E759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-0.014 (</w:t>
            </w:r>
            <w:proofErr w:type="gramStart"/>
            <w:r w:rsidRPr="00034341">
              <w:rPr>
                <w:rFonts w:ascii="Times New Roman" w:eastAsia="Malgun Gothic" w:hAnsi="Times New Roman" w:cs="Times New Roman"/>
              </w:rPr>
              <w:t>0.006)*</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A2223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0.005 (0.006)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072AD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0.664 (</w:t>
            </w:r>
            <w:proofErr w:type="gramStart"/>
            <w:r w:rsidRPr="00034341">
              <w:rPr>
                <w:rFonts w:ascii="Times New Roman" w:eastAsia="Malgun Gothic" w:hAnsi="Times New Roman" w:cs="Times New Roman"/>
              </w:rPr>
              <w:t>0.145)*</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04317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-0.237 (0.144)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2E93E4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-0.037 (0.027)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07D4A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0.009 (0.027)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C7706B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0.041 (0.030)</w:t>
            </w:r>
          </w:p>
        </w:tc>
      </w:tr>
      <w:tr w:rsidR="00716277" w:rsidRPr="00034341" w14:paraId="54727349"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65EF38E"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Songpa</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3B2835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-0.014 (</w:t>
            </w:r>
            <w:proofErr w:type="gramStart"/>
            <w:r w:rsidRPr="00034341">
              <w:rPr>
                <w:rFonts w:ascii="Times New Roman" w:eastAsia="Malgun Gothic" w:hAnsi="Times New Roman" w:cs="Times New Roman"/>
              </w:rPr>
              <w:t>0.008)*</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64E0D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-0.002 (0.009)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12823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0.522 (</w:t>
            </w:r>
            <w:proofErr w:type="gramStart"/>
            <w:r w:rsidRPr="00034341">
              <w:rPr>
                <w:rFonts w:ascii="Times New Roman" w:eastAsia="Malgun Gothic" w:hAnsi="Times New Roman" w:cs="Times New Roman"/>
              </w:rPr>
              <w:t>0.167)*</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19E68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0.128 (0.172)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AD702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-0.103 (</w:t>
            </w:r>
            <w:proofErr w:type="gramStart"/>
            <w:r w:rsidRPr="00034341">
              <w:rPr>
                <w:rFonts w:ascii="Times New Roman" w:eastAsia="Malgun Gothic" w:hAnsi="Times New Roman" w:cs="Times New Roman"/>
              </w:rPr>
              <w:t>0.057)*</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CB4984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0.099 (</w:t>
            </w:r>
            <w:proofErr w:type="gramStart"/>
            <w:r w:rsidRPr="00034341">
              <w:rPr>
                <w:rFonts w:ascii="Times New Roman" w:eastAsia="Malgun Gothic" w:hAnsi="Times New Roman" w:cs="Times New Roman"/>
              </w:rPr>
              <w:t>0.050)*</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741DAC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0.064 (</w:t>
            </w:r>
            <w:proofErr w:type="gramStart"/>
            <w:r w:rsidRPr="00034341">
              <w:rPr>
                <w:rFonts w:ascii="Times New Roman" w:eastAsia="Malgun Gothic" w:hAnsi="Times New Roman" w:cs="Times New Roman"/>
              </w:rPr>
              <w:t>0.036)*</w:t>
            </w:r>
            <w:proofErr w:type="gramEnd"/>
          </w:p>
        </w:tc>
      </w:tr>
      <w:tr w:rsidR="00716277" w:rsidRPr="00034341" w14:paraId="16B5FD58"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5BD8871"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Gangseo</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28377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-0.012 (</w:t>
            </w:r>
            <w:proofErr w:type="gramStart"/>
            <w:r w:rsidRPr="00034341">
              <w:rPr>
                <w:rFonts w:ascii="Times New Roman" w:eastAsia="Malgun Gothic" w:hAnsi="Times New Roman" w:cs="Times New Roman"/>
              </w:rPr>
              <w:t>0.005)*</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8E5611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-0.007 (0.006)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2CBAA4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0.468 (</w:t>
            </w:r>
            <w:proofErr w:type="gramStart"/>
            <w:r w:rsidRPr="00034341">
              <w:rPr>
                <w:rFonts w:ascii="Times New Roman" w:eastAsia="Malgun Gothic" w:hAnsi="Times New Roman" w:cs="Times New Roman"/>
              </w:rPr>
              <w:t>0.161)*</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A4FE1E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-0.020 (0.150)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599FD5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-0.050 (</w:t>
            </w:r>
            <w:proofErr w:type="gramStart"/>
            <w:r w:rsidRPr="00034341">
              <w:rPr>
                <w:rFonts w:ascii="Times New Roman" w:eastAsia="Malgun Gothic" w:hAnsi="Times New Roman" w:cs="Times New Roman"/>
              </w:rPr>
              <w:t>0.027)*</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97A7D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0.032 (0.026)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0F1C1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0.055 (</w:t>
            </w:r>
            <w:proofErr w:type="gramStart"/>
            <w:r w:rsidRPr="00034341">
              <w:rPr>
                <w:rFonts w:ascii="Times New Roman" w:eastAsia="Malgun Gothic" w:hAnsi="Times New Roman" w:cs="Times New Roman"/>
              </w:rPr>
              <w:t>0.019)*</w:t>
            </w:r>
            <w:proofErr w:type="gramEnd"/>
            <w:r w:rsidRPr="00034341">
              <w:rPr>
                <w:rFonts w:ascii="Times New Roman" w:eastAsia="Malgun Gothic" w:hAnsi="Times New Roman" w:cs="Times New Roman"/>
              </w:rPr>
              <w:t>*</w:t>
            </w:r>
          </w:p>
        </w:tc>
      </w:tr>
      <w:tr w:rsidR="00716277" w:rsidRPr="00034341" w14:paraId="61C05E18"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EC4E206"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Seongbuk</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21FDDD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-0.015 (</w:t>
            </w:r>
            <w:proofErr w:type="gramStart"/>
            <w:r w:rsidRPr="00034341">
              <w:rPr>
                <w:rFonts w:ascii="Times New Roman" w:eastAsia="Malgun Gothic" w:hAnsi="Times New Roman" w:cs="Times New Roman"/>
              </w:rPr>
              <w:t>0.004)*</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8E5CE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-0.001 (0.005)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8E843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0.782 (</w:t>
            </w:r>
            <w:proofErr w:type="gramStart"/>
            <w:r w:rsidRPr="00034341">
              <w:rPr>
                <w:rFonts w:ascii="Times New Roman" w:eastAsia="Malgun Gothic" w:hAnsi="Times New Roman" w:cs="Times New Roman"/>
              </w:rPr>
              <w:t>0.156)*</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973600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0.120 (0.152)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3837A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-0.004 (0.016)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BCABB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0.033 (</w:t>
            </w:r>
            <w:proofErr w:type="gramStart"/>
            <w:r w:rsidRPr="00034341">
              <w:rPr>
                <w:rFonts w:ascii="Times New Roman" w:eastAsia="Malgun Gothic" w:hAnsi="Times New Roman" w:cs="Times New Roman"/>
              </w:rPr>
              <w:t>0.015)*</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15148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0.025 (</w:t>
            </w:r>
            <w:proofErr w:type="gramStart"/>
            <w:r w:rsidRPr="00034341">
              <w:rPr>
                <w:rFonts w:ascii="Times New Roman" w:eastAsia="Malgun Gothic" w:hAnsi="Times New Roman" w:cs="Times New Roman"/>
              </w:rPr>
              <w:t>0.013)*</w:t>
            </w:r>
            <w:proofErr w:type="gramEnd"/>
          </w:p>
        </w:tc>
      </w:tr>
      <w:tr w:rsidR="00716277" w:rsidRPr="00034341" w14:paraId="30D08FD4"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E6B8A1"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Gwangjin</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D45C04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-0.008 (</w:t>
            </w:r>
            <w:proofErr w:type="gramStart"/>
            <w:r w:rsidRPr="00034341">
              <w:rPr>
                <w:rFonts w:ascii="Times New Roman" w:eastAsia="Malgun Gothic" w:hAnsi="Times New Roman" w:cs="Times New Roman"/>
              </w:rPr>
              <w:t>0.005)*</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7EDF15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-0.002 (0.005)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E51052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0.866 (</w:t>
            </w:r>
            <w:proofErr w:type="gramStart"/>
            <w:r w:rsidRPr="00034341">
              <w:rPr>
                <w:rFonts w:ascii="Times New Roman" w:eastAsia="Malgun Gothic" w:hAnsi="Times New Roman" w:cs="Times New Roman"/>
              </w:rPr>
              <w:t>0.144)*</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540766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0.177 (0.160)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50A115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-0.013 (0.021)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E48605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0.059 (</w:t>
            </w:r>
            <w:proofErr w:type="gramStart"/>
            <w:r w:rsidRPr="00034341">
              <w:rPr>
                <w:rFonts w:ascii="Times New Roman" w:eastAsia="Malgun Gothic" w:hAnsi="Times New Roman" w:cs="Times New Roman"/>
              </w:rPr>
              <w:t>0.020)*</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A3ED3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-0.002 (0.012)</w:t>
            </w:r>
          </w:p>
        </w:tc>
      </w:tr>
      <w:tr w:rsidR="00716277" w:rsidRPr="00034341" w14:paraId="35F9A61C"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C2A95FA"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Dongjak</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C8691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-0.022 (</w:t>
            </w:r>
            <w:proofErr w:type="gramStart"/>
            <w:r w:rsidRPr="00034341">
              <w:rPr>
                <w:rFonts w:ascii="Times New Roman" w:eastAsia="Malgun Gothic" w:hAnsi="Times New Roman" w:cs="Times New Roman"/>
              </w:rPr>
              <w:t>0.007)*</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7580C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0.008 (0.008)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5DB680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0.691 (</w:t>
            </w:r>
            <w:proofErr w:type="gramStart"/>
            <w:r w:rsidRPr="00034341">
              <w:rPr>
                <w:rFonts w:ascii="Times New Roman" w:eastAsia="Malgun Gothic" w:hAnsi="Times New Roman" w:cs="Times New Roman"/>
              </w:rPr>
              <w:t>0.153)*</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32C4C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0.125 (0.155)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FB4309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-0.004 (0.023)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B97F2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0.026 (0.022)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4EE02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0.011 (0.012)</w:t>
            </w:r>
          </w:p>
        </w:tc>
      </w:tr>
      <w:tr w:rsidR="00716277" w:rsidRPr="00034341" w14:paraId="77688CF3"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56662A1"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Gangdong</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E287E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-0.009 (</w:t>
            </w:r>
            <w:proofErr w:type="gramStart"/>
            <w:r w:rsidRPr="00034341">
              <w:rPr>
                <w:rFonts w:ascii="Times New Roman" w:eastAsia="Malgun Gothic" w:hAnsi="Times New Roman" w:cs="Times New Roman"/>
              </w:rPr>
              <w:t>0.005)*</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48401A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-0.001 (0.005)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7405CF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0.699 (</w:t>
            </w:r>
            <w:proofErr w:type="gramStart"/>
            <w:r w:rsidRPr="00034341">
              <w:rPr>
                <w:rFonts w:ascii="Times New Roman" w:eastAsia="Malgun Gothic" w:hAnsi="Times New Roman" w:cs="Times New Roman"/>
              </w:rPr>
              <w:t>0.163)*</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3BBF9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0.176 (0.165)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E318C0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-0.027 (0.019)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D5946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0.047 (</w:t>
            </w:r>
            <w:proofErr w:type="gramStart"/>
            <w:r w:rsidRPr="00034341">
              <w:rPr>
                <w:rFonts w:ascii="Times New Roman" w:eastAsia="Malgun Gothic" w:hAnsi="Times New Roman" w:cs="Times New Roman"/>
              </w:rPr>
              <w:t>0.017)*</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5AA0AA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0.016 (0.013)</w:t>
            </w:r>
          </w:p>
        </w:tc>
      </w:tr>
      <w:tr w:rsidR="00716277" w:rsidRPr="00034341" w14:paraId="0E590A0C"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0F43B05"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Nowon</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488E22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-0.015 (</w:t>
            </w:r>
            <w:proofErr w:type="gramStart"/>
            <w:r w:rsidRPr="00034341">
              <w:rPr>
                <w:rFonts w:ascii="Times New Roman" w:eastAsia="Malgun Gothic" w:hAnsi="Times New Roman" w:cs="Times New Roman"/>
              </w:rPr>
              <w:t>0.006)*</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58692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-0.002 (0.006)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C7D07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0.723 (</w:t>
            </w:r>
            <w:proofErr w:type="gramStart"/>
            <w:r w:rsidRPr="00034341">
              <w:rPr>
                <w:rFonts w:ascii="Times New Roman" w:eastAsia="Malgun Gothic" w:hAnsi="Times New Roman" w:cs="Times New Roman"/>
              </w:rPr>
              <w:t>0.153)*</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095DAC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0.148 (0.152)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F8216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-0.017 (0.020)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26921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0.043 (</w:t>
            </w:r>
            <w:proofErr w:type="gramStart"/>
            <w:r w:rsidRPr="00034341">
              <w:rPr>
                <w:rFonts w:ascii="Times New Roman" w:eastAsia="Malgun Gothic" w:hAnsi="Times New Roman" w:cs="Times New Roman"/>
              </w:rPr>
              <w:t>0.019)*</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BBF20C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0.018 (0.014)</w:t>
            </w:r>
          </w:p>
        </w:tc>
      </w:tr>
      <w:tr w:rsidR="00716277" w:rsidRPr="00034341" w14:paraId="1A9C360B"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8E33818"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Gangbuk</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FEB9A0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-0.012 (</w:t>
            </w:r>
            <w:proofErr w:type="gramStart"/>
            <w:r w:rsidRPr="00034341">
              <w:rPr>
                <w:rFonts w:ascii="Times New Roman" w:eastAsia="Malgun Gothic" w:hAnsi="Times New Roman" w:cs="Times New Roman"/>
              </w:rPr>
              <w:t>0.005)*</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C7FF56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0.000 (0.005)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3F7210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0.625 (</w:t>
            </w:r>
            <w:proofErr w:type="gramStart"/>
            <w:r w:rsidRPr="00034341">
              <w:rPr>
                <w:rFonts w:ascii="Times New Roman" w:eastAsia="Malgun Gothic" w:hAnsi="Times New Roman" w:cs="Times New Roman"/>
              </w:rPr>
              <w:t>0.145)*</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B9E50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0.166 (0.144)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930F5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-0.017 (0.013)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C0240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0.031 (</w:t>
            </w:r>
            <w:proofErr w:type="gramStart"/>
            <w:r w:rsidRPr="00034341">
              <w:rPr>
                <w:rFonts w:ascii="Times New Roman" w:eastAsia="Malgun Gothic" w:hAnsi="Times New Roman" w:cs="Times New Roman"/>
              </w:rPr>
              <w:t>0.012)*</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2329C1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0.017 (0.011)</w:t>
            </w:r>
          </w:p>
        </w:tc>
      </w:tr>
      <w:tr w:rsidR="00716277" w:rsidRPr="00034341" w14:paraId="694C5394"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5D2034F"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Yangcheon</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D5DA3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-0.019 (</w:t>
            </w:r>
            <w:proofErr w:type="gramStart"/>
            <w:r w:rsidRPr="00034341">
              <w:rPr>
                <w:rFonts w:ascii="Times New Roman" w:eastAsia="Malgun Gothic" w:hAnsi="Times New Roman" w:cs="Times New Roman"/>
              </w:rPr>
              <w:t>0.005)*</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208A9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0.006 (0.005)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72190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0.798 (</w:t>
            </w:r>
            <w:proofErr w:type="gramStart"/>
            <w:r w:rsidRPr="00034341">
              <w:rPr>
                <w:rFonts w:ascii="Times New Roman" w:eastAsia="Malgun Gothic" w:hAnsi="Times New Roman" w:cs="Times New Roman"/>
              </w:rPr>
              <w:t>0.139)*</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635F3C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-0.076 (0.132)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ED6373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-0.019 (0.014)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B121B7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0.027 (</w:t>
            </w:r>
            <w:proofErr w:type="gramStart"/>
            <w:r w:rsidRPr="00034341">
              <w:rPr>
                <w:rFonts w:ascii="Times New Roman" w:eastAsia="Malgun Gothic" w:hAnsi="Times New Roman" w:cs="Times New Roman"/>
              </w:rPr>
              <w:t>0.014)*</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0B48B2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0.011 (0.009)</w:t>
            </w:r>
          </w:p>
        </w:tc>
      </w:tr>
      <w:tr w:rsidR="00716277" w:rsidRPr="00034341" w14:paraId="3F1FEE4B"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02F35E0"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Jungnang</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E32957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-0.011 (</w:t>
            </w:r>
            <w:proofErr w:type="gramStart"/>
            <w:r w:rsidRPr="00034341">
              <w:rPr>
                <w:rFonts w:ascii="Times New Roman" w:eastAsia="Malgun Gothic" w:hAnsi="Times New Roman" w:cs="Times New Roman"/>
              </w:rPr>
              <w:t>0.004)*</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59BB2F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0.003 (0.004)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12DA04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0.515 (</w:t>
            </w:r>
            <w:proofErr w:type="gramStart"/>
            <w:r w:rsidRPr="00034341">
              <w:rPr>
                <w:rFonts w:ascii="Times New Roman" w:eastAsia="Malgun Gothic" w:hAnsi="Times New Roman" w:cs="Times New Roman"/>
              </w:rPr>
              <w:t>0.138)*</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E6B530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0.224 (0.134)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65D486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-0.011 (0.012)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B0545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0.020 (</w:t>
            </w:r>
            <w:proofErr w:type="gramStart"/>
            <w:r w:rsidRPr="00034341">
              <w:rPr>
                <w:rFonts w:ascii="Times New Roman" w:eastAsia="Malgun Gothic" w:hAnsi="Times New Roman" w:cs="Times New Roman"/>
              </w:rPr>
              <w:t>0.011)*</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A15AA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0.007 (0.008)</w:t>
            </w:r>
          </w:p>
        </w:tc>
      </w:tr>
      <w:tr w:rsidR="00716277" w:rsidRPr="00034341" w14:paraId="75618087"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7059879"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Dobong</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CB7430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-0.007 (</w:t>
            </w:r>
            <w:proofErr w:type="gramStart"/>
            <w:r w:rsidRPr="00034341">
              <w:rPr>
                <w:rFonts w:ascii="Times New Roman" w:eastAsia="Malgun Gothic" w:hAnsi="Times New Roman" w:cs="Times New Roman"/>
              </w:rPr>
              <w:t>0.004)*</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92708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-0.005 (0.005)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5F3CBD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0.545 (</w:t>
            </w:r>
            <w:proofErr w:type="gramStart"/>
            <w:r w:rsidRPr="00034341">
              <w:rPr>
                <w:rFonts w:ascii="Times New Roman" w:eastAsia="Malgun Gothic" w:hAnsi="Times New Roman" w:cs="Times New Roman"/>
              </w:rPr>
              <w:t>0.129)*</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4E037C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0.172 (0.134)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C7742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-0.015 (0.011)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BFC6E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0.020 (</w:t>
            </w:r>
            <w:proofErr w:type="gramStart"/>
            <w:r w:rsidRPr="00034341">
              <w:rPr>
                <w:rFonts w:ascii="Times New Roman" w:eastAsia="Malgun Gothic" w:hAnsi="Times New Roman" w:cs="Times New Roman"/>
              </w:rPr>
              <w:t>0.010)*</w:t>
            </w:r>
            <w:proofErr w:type="gram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3D368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0.014 (</w:t>
            </w:r>
            <w:proofErr w:type="gramStart"/>
            <w:r w:rsidRPr="00034341">
              <w:rPr>
                <w:rFonts w:ascii="Times New Roman" w:eastAsia="Malgun Gothic" w:hAnsi="Times New Roman" w:cs="Times New Roman"/>
              </w:rPr>
              <w:t>0.008)*</w:t>
            </w:r>
            <w:proofErr w:type="gramEnd"/>
          </w:p>
        </w:tc>
      </w:tr>
      <w:tr w:rsidR="00716277" w:rsidRPr="00034341" w14:paraId="0B461D8E"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88CB0AE"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Gwanak</w:t>
            </w:r>
            <w:proofErr w:type="spell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862E3C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-0.007 (</w:t>
            </w:r>
            <w:proofErr w:type="gramStart"/>
            <w:r w:rsidRPr="00034341">
              <w:rPr>
                <w:rFonts w:ascii="Times New Roman" w:eastAsia="Malgun Gothic" w:hAnsi="Times New Roman" w:cs="Times New Roman"/>
              </w:rPr>
              <w:t>0.003)*</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C9C1C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0.001 (0.004)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1AEF3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0.891 (</w:t>
            </w:r>
            <w:proofErr w:type="gramStart"/>
            <w:r w:rsidRPr="00034341">
              <w:rPr>
                <w:rFonts w:ascii="Times New Roman" w:eastAsia="Malgun Gothic" w:hAnsi="Times New Roman" w:cs="Times New Roman"/>
              </w:rPr>
              <w:t>0.153)*</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358E71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-0.096 (0.157)</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4A6B88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-0.011 (0.021)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B01AB9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0.029 (0.019)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21BC6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0.007 (0.010)</w:t>
            </w:r>
          </w:p>
        </w:tc>
      </w:tr>
      <w:tr w:rsidR="00716277" w:rsidRPr="00034341" w14:paraId="57D62A8B"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BE88B6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Eunpyeong</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338DEC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-0.007 (</w:t>
            </w:r>
            <w:proofErr w:type="gramStart"/>
            <w:r w:rsidRPr="00034341">
              <w:rPr>
                <w:rFonts w:ascii="Times New Roman" w:eastAsia="Malgun Gothic" w:hAnsi="Times New Roman" w:cs="Times New Roman"/>
              </w:rPr>
              <w:t>0.004)*</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7C896B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0.003 (0.004)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54B03C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0.525 (</w:t>
            </w:r>
            <w:proofErr w:type="gramStart"/>
            <w:r w:rsidRPr="00034341">
              <w:rPr>
                <w:rFonts w:ascii="Times New Roman" w:eastAsia="Malgun Gothic" w:hAnsi="Times New Roman" w:cs="Times New Roman"/>
              </w:rPr>
              <w:t>0.132)*</w:t>
            </w:r>
            <w:proofErr w:type="gramEnd"/>
            <w:r w:rsidRPr="00034341">
              <w:rPr>
                <w:rFonts w:ascii="Times New Roman" w:eastAsia="Malgun Gothic" w:hAnsi="Times New Roman" w:cs="Times New Roman"/>
              </w:rPr>
              <w:t>*</w:t>
            </w:r>
          </w:p>
        </w:tc>
        <w:tc>
          <w:tcPr>
            <w:tcW w:w="1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9DD01E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0.230 (</w:t>
            </w:r>
            <w:proofErr w:type="gramStart"/>
            <w:r w:rsidRPr="00034341">
              <w:rPr>
                <w:rFonts w:ascii="Times New Roman" w:eastAsia="Malgun Gothic" w:hAnsi="Times New Roman" w:cs="Times New Roman"/>
              </w:rPr>
              <w:t>0.137)*</w:t>
            </w:r>
            <w:proofErr w:type="gram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E9F94A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-0.021 (0.013)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167CF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0.028 (</w:t>
            </w:r>
            <w:proofErr w:type="gramStart"/>
            <w:r w:rsidRPr="00034341">
              <w:rPr>
                <w:rFonts w:ascii="Times New Roman" w:eastAsia="Malgun Gothic" w:hAnsi="Times New Roman" w:cs="Times New Roman"/>
              </w:rPr>
              <w:t>0.012)*</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C4254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0.006 (0.009)</w:t>
            </w:r>
          </w:p>
        </w:tc>
      </w:tr>
    </w:tbl>
    <w:p w14:paraId="4E2B00F8" w14:textId="77777777" w:rsidR="00716277" w:rsidRDefault="00716277" w:rsidP="00716277">
      <w:pPr>
        <w:pStyle w:val="EndNoteBibliography"/>
        <w:spacing w:after="0"/>
        <w:ind w:left="720" w:hanging="720"/>
        <w:rPr>
          <w:rFonts w:ascii="Times New Roman" w:eastAsia="Malgun Gothic" w:hAnsi="Times New Roman" w:cs="Times New Roman"/>
          <w:b/>
          <w:bCs/>
        </w:rPr>
      </w:pPr>
    </w:p>
    <w:p w14:paraId="62D10834" w14:textId="77777777" w:rsidR="00716277" w:rsidRDefault="00716277" w:rsidP="00716277">
      <w:pPr>
        <w:pStyle w:val="EndNoteBibliography"/>
        <w:spacing w:after="0"/>
        <w:ind w:left="720" w:hanging="720"/>
        <w:rPr>
          <w:rFonts w:ascii="Times New Roman" w:eastAsia="Malgun Gothic" w:hAnsi="Times New Roman" w:cs="Times New Roman"/>
          <w:b/>
          <w:bCs/>
        </w:rPr>
      </w:pPr>
    </w:p>
    <w:p w14:paraId="08349221" w14:textId="77777777" w:rsidR="00716277" w:rsidRDefault="00716277" w:rsidP="00716277">
      <w:pPr>
        <w:pStyle w:val="EndNoteBibliography"/>
        <w:spacing w:after="0"/>
        <w:ind w:left="720" w:hanging="720"/>
        <w:rPr>
          <w:rFonts w:ascii="Times New Roman" w:eastAsia="Malgun Gothic" w:hAnsi="Times New Roman" w:cs="Times New Roman"/>
          <w:b/>
          <w:bCs/>
        </w:rPr>
      </w:pPr>
    </w:p>
    <w:tbl>
      <w:tblPr>
        <w:tblW w:w="12878" w:type="dxa"/>
        <w:tblCellMar>
          <w:left w:w="0" w:type="dxa"/>
          <w:right w:w="0" w:type="dxa"/>
        </w:tblCellMar>
        <w:tblLook w:val="0600" w:firstRow="0" w:lastRow="0" w:firstColumn="0" w:lastColumn="0" w:noHBand="1" w:noVBand="1"/>
      </w:tblPr>
      <w:tblGrid>
        <w:gridCol w:w="1602"/>
        <w:gridCol w:w="1632"/>
        <w:gridCol w:w="1632"/>
        <w:gridCol w:w="1595"/>
        <w:gridCol w:w="1485"/>
        <w:gridCol w:w="1632"/>
        <w:gridCol w:w="1595"/>
        <w:gridCol w:w="1705"/>
      </w:tblGrid>
      <w:tr w:rsidR="00716277" w:rsidRPr="00034341" w14:paraId="3D4FE2D4" w14:textId="77777777" w:rsidTr="00A177A0">
        <w:trPr>
          <w:trHeight w:val="351"/>
        </w:trPr>
        <w:tc>
          <w:tcPr>
            <w:tcW w:w="12878" w:type="dxa"/>
            <w:gridSpan w:val="8"/>
            <w:tcBorders>
              <w:top w:val="single" w:sz="8" w:space="0" w:color="000000"/>
              <w:left w:val="single" w:sz="8" w:space="0" w:color="000000"/>
              <w:bottom w:val="nil"/>
              <w:right w:val="single" w:sz="8" w:space="0" w:color="000000"/>
            </w:tcBorders>
            <w:shd w:val="clear" w:color="auto" w:fill="auto"/>
            <w:tcMar>
              <w:top w:w="10" w:type="dxa"/>
              <w:left w:w="10" w:type="dxa"/>
              <w:bottom w:w="0" w:type="dxa"/>
              <w:right w:w="10" w:type="dxa"/>
            </w:tcMar>
            <w:vAlign w:val="center"/>
            <w:hideMark/>
          </w:tcPr>
          <w:p w14:paraId="63D6AA4B" w14:textId="77777777" w:rsidR="00716277" w:rsidRPr="00034341" w:rsidRDefault="00716277" w:rsidP="00A177A0">
            <w:pPr>
              <w:pStyle w:val="EndNoteBibliography"/>
              <w:ind w:left="720" w:hanging="720"/>
              <w:rPr>
                <w:rFonts w:ascii="Times New Roman" w:eastAsia="Malgun Gothic" w:hAnsi="Times New Roman" w:cs="Times New Roman"/>
                <w:b/>
                <w:bCs/>
              </w:rPr>
            </w:pPr>
            <w:r w:rsidRPr="00034341">
              <w:rPr>
                <w:rFonts w:ascii="Times New Roman" w:eastAsia="Malgun Gothic" w:hAnsi="Times New Roman" w:cs="Times New Roman"/>
                <w:b/>
                <w:bCs/>
                <w:i/>
                <w:iCs/>
              </w:rPr>
              <w:lastRenderedPageBreak/>
              <w:t xml:space="preserve">Estimation results for equation policy: </w:t>
            </w:r>
          </w:p>
        </w:tc>
      </w:tr>
      <w:tr w:rsidR="00716277" w:rsidRPr="00034341" w14:paraId="51F702EF" w14:textId="77777777" w:rsidTr="00A177A0">
        <w:trPr>
          <w:trHeight w:val="373"/>
        </w:trPr>
        <w:tc>
          <w:tcPr>
            <w:tcW w:w="12878" w:type="dxa"/>
            <w:gridSpan w:val="8"/>
            <w:tcBorders>
              <w:top w:val="nil"/>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CBDA1DA" w14:textId="4C1304E4" w:rsidR="00716277" w:rsidRPr="00034341" w:rsidRDefault="00716277" w:rsidP="00A177A0">
            <w:pPr>
              <w:pStyle w:val="EndNoteBibliography"/>
              <w:ind w:left="720" w:hanging="720"/>
              <w:rPr>
                <w:rFonts w:ascii="Times New Roman" w:eastAsia="Malgun Gothic" w:hAnsi="Times New Roman" w:cs="Times New Roman"/>
                <w:b/>
                <w:bCs/>
              </w:rPr>
            </w:pPr>
            <w:r w:rsidRPr="00034341">
              <w:rPr>
                <w:rFonts w:ascii="Times New Roman" w:eastAsia="Malgun Gothic" w:hAnsi="Times New Roman" w:cs="Times New Roman"/>
                <w:b/>
                <w:bCs/>
                <w:i/>
                <w:iCs/>
              </w:rPr>
              <w:t xml:space="preserve">policy = </w:t>
            </w:r>
            <w:proofErr w:type="gramStart"/>
            <w:r w:rsidRPr="00034341">
              <w:rPr>
                <w:rFonts w:ascii="Times New Roman" w:eastAsia="Malgun Gothic" w:hAnsi="Times New Roman" w:cs="Times New Roman"/>
                <w:b/>
                <w:bCs/>
                <w:i/>
                <w:iCs/>
              </w:rPr>
              <w:t>incidences.l</w:t>
            </w:r>
            <w:proofErr w:type="gramEnd"/>
            <w:r w:rsidRPr="00034341">
              <w:rPr>
                <w:rFonts w:ascii="Times New Roman" w:eastAsia="Malgun Gothic" w:hAnsi="Times New Roman" w:cs="Times New Roman"/>
                <w:b/>
                <w:bCs/>
                <w:i/>
                <w:iCs/>
              </w:rPr>
              <w:t>1 + mobility.l1 + policy.l1 + incidences.l2 + mobility.l2 + policy.l2 + const + trend</w:t>
            </w:r>
            <w:r>
              <w:rPr>
                <w:rFonts w:ascii="Times New Roman" w:eastAsia="Malgun Gothic" w:hAnsi="Times New Roman" w:cs="Times New Roman" w:hint="eastAsia"/>
                <w:b/>
                <w:bCs/>
                <w:i/>
                <w:iCs/>
              </w:rPr>
              <w:t xml:space="preserve"> + </w:t>
            </w:r>
            <w:proofErr w:type="spellStart"/>
            <w:r w:rsidRPr="00034341">
              <w:rPr>
                <w:rFonts w:ascii="Times New Roman" w:eastAsia="Malgun Gothic" w:hAnsi="Times New Roman" w:cs="Times New Roman"/>
                <w:b/>
                <w:bCs/>
                <w:i/>
                <w:iCs/>
              </w:rPr>
              <w:t>vaccination_rate</w:t>
            </w:r>
            <w:proofErr w:type="spellEnd"/>
          </w:p>
        </w:tc>
      </w:tr>
      <w:tr w:rsidR="00716277" w:rsidRPr="00034341" w14:paraId="296040C7"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C38636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DIST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A49C1A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Incidence.l1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96103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Incidence.l2</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9F8AF7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Mobility.l1</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470963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Mobility.l2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E3F8CF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Policy.l1</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7103A3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Policy.l2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49669A8"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Vacc_rate</w:t>
            </w:r>
            <w:proofErr w:type="spellEnd"/>
          </w:p>
        </w:tc>
      </w:tr>
      <w:tr w:rsidR="00716277" w:rsidRPr="00034341" w14:paraId="0183E114"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CA1D79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Total</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7D9097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-0.003 (0.004)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4CB78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0.014 (</w:t>
            </w:r>
            <w:proofErr w:type="gramStart"/>
            <w:r w:rsidRPr="00034341">
              <w:rPr>
                <w:rFonts w:ascii="Times New Roman" w:eastAsia="Malgun Gothic" w:hAnsi="Times New Roman" w:cs="Times New Roman"/>
              </w:rPr>
              <w:t>0.004)*</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62990B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-0.006 (0.042)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3A1415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0.016 (0.041)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54EC1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0.785 (</w:t>
            </w:r>
            <w:proofErr w:type="gramStart"/>
            <w:r w:rsidRPr="00034341">
              <w:rPr>
                <w:rFonts w:ascii="Times New Roman" w:eastAsia="Malgun Gothic" w:hAnsi="Times New Roman" w:cs="Times New Roman"/>
              </w:rPr>
              <w:t>0.242)*</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F30D3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-0.195 (0.218)</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4FF55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-0.576 (</w:t>
            </w:r>
            <w:proofErr w:type="gramStart"/>
            <w:r w:rsidRPr="00034341">
              <w:rPr>
                <w:rFonts w:ascii="Times New Roman" w:eastAsia="Malgun Gothic" w:hAnsi="Times New Roman" w:cs="Times New Roman"/>
              </w:rPr>
              <w:t>0.185)*</w:t>
            </w:r>
            <w:proofErr w:type="gramEnd"/>
            <w:r w:rsidRPr="00034341">
              <w:rPr>
                <w:rFonts w:ascii="Times New Roman" w:eastAsia="Malgun Gothic" w:hAnsi="Times New Roman" w:cs="Times New Roman"/>
              </w:rPr>
              <w:t>*</w:t>
            </w:r>
          </w:p>
        </w:tc>
      </w:tr>
      <w:tr w:rsidR="00716277" w:rsidRPr="00034341" w14:paraId="0BF34DF3"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B5E60E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Jung</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EB8774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-0.010 (0.105)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5C5B42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0.239 (</w:t>
            </w:r>
            <w:proofErr w:type="gramStart"/>
            <w:r w:rsidRPr="00034341">
              <w:rPr>
                <w:rFonts w:ascii="Times New Roman" w:eastAsia="Malgun Gothic" w:hAnsi="Times New Roman" w:cs="Times New Roman"/>
              </w:rPr>
              <w:t>0.113)*</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C9D9E6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-0.411 (0.408)</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5D1B11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0.049 (0.409)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883FF5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0.876 (</w:t>
            </w:r>
            <w:proofErr w:type="gramStart"/>
            <w:r w:rsidRPr="00034341">
              <w:rPr>
                <w:rFonts w:ascii="Times New Roman" w:eastAsia="Malgun Gothic" w:hAnsi="Times New Roman" w:cs="Times New Roman"/>
              </w:rPr>
              <w:t>0.241)*</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E6D49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-0.230 (0.213)</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475881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-0.408 (</w:t>
            </w:r>
            <w:proofErr w:type="gramStart"/>
            <w:r w:rsidRPr="00034341">
              <w:rPr>
                <w:rFonts w:ascii="Times New Roman" w:eastAsia="Malgun Gothic" w:hAnsi="Times New Roman" w:cs="Times New Roman"/>
              </w:rPr>
              <w:t>0.175)*</w:t>
            </w:r>
            <w:proofErr w:type="gramEnd"/>
            <w:r w:rsidRPr="00034341">
              <w:rPr>
                <w:rFonts w:ascii="Times New Roman" w:eastAsia="Malgun Gothic" w:hAnsi="Times New Roman" w:cs="Times New Roman"/>
              </w:rPr>
              <w:t>*</w:t>
            </w:r>
          </w:p>
        </w:tc>
      </w:tr>
      <w:tr w:rsidR="00716277" w:rsidRPr="00034341" w14:paraId="1C042848"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0022A7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Jongno</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E23B9C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0.051 (0.112)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9AB0A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-0.001 (0.113)</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77DAB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-0.798 (0.547)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0DCB6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-0.348 (0.560)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1405E0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0.721 (</w:t>
            </w:r>
            <w:proofErr w:type="gramStart"/>
            <w:r w:rsidRPr="00034341">
              <w:rPr>
                <w:rFonts w:ascii="Times New Roman" w:eastAsia="Malgun Gothic" w:hAnsi="Times New Roman" w:cs="Times New Roman"/>
              </w:rPr>
              <w:t>0.278)*</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D63C37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-0.286 (0.240)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74EFB1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-0.124 (0.244)</w:t>
            </w:r>
          </w:p>
        </w:tc>
      </w:tr>
      <w:tr w:rsidR="00716277" w:rsidRPr="00034341" w14:paraId="50F43E4A"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68A141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Gangnam</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31B09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0.031 (0.048)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F4F67F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0.093 (</w:t>
            </w:r>
            <w:proofErr w:type="gramStart"/>
            <w:r w:rsidRPr="00034341">
              <w:rPr>
                <w:rFonts w:ascii="Times New Roman" w:eastAsia="Malgun Gothic" w:hAnsi="Times New Roman" w:cs="Times New Roman"/>
              </w:rPr>
              <w:t>0.052)*</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4545EE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-0.173 (0.190)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C9742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-0.051 (0.191)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7A94E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0.693 (</w:t>
            </w:r>
            <w:proofErr w:type="gramStart"/>
            <w:r w:rsidRPr="00034341">
              <w:rPr>
                <w:rFonts w:ascii="Times New Roman" w:eastAsia="Malgun Gothic" w:hAnsi="Times New Roman" w:cs="Times New Roman"/>
              </w:rPr>
              <w:t>0.226)*</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3B012E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-0.045 (0.211)</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4D0FFD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-0.275 (</w:t>
            </w:r>
            <w:proofErr w:type="gramStart"/>
            <w:r w:rsidRPr="00034341">
              <w:rPr>
                <w:rFonts w:ascii="Times New Roman" w:eastAsia="Malgun Gothic" w:hAnsi="Times New Roman" w:cs="Times New Roman"/>
              </w:rPr>
              <w:t>0.120)*</w:t>
            </w:r>
            <w:proofErr w:type="gramEnd"/>
            <w:r w:rsidRPr="00034341">
              <w:rPr>
                <w:rFonts w:ascii="Times New Roman" w:eastAsia="Malgun Gothic" w:hAnsi="Times New Roman" w:cs="Times New Roman"/>
              </w:rPr>
              <w:t>*</w:t>
            </w:r>
          </w:p>
        </w:tc>
      </w:tr>
      <w:tr w:rsidR="00716277" w:rsidRPr="00034341" w14:paraId="45AF6EB3"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5066C88"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Yeongdeungpo</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27E7A7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0.020 (0.058)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2D17F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0.134 (</w:t>
            </w:r>
            <w:proofErr w:type="gramStart"/>
            <w:r w:rsidRPr="00034341">
              <w:rPr>
                <w:rFonts w:ascii="Times New Roman" w:eastAsia="Malgun Gothic" w:hAnsi="Times New Roman" w:cs="Times New Roman"/>
              </w:rPr>
              <w:t>0.064)*</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FE79A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-0.633 (0.572)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8D408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-0.184 (0.572)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7F22F0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0.721 (</w:t>
            </w:r>
            <w:proofErr w:type="gramStart"/>
            <w:r w:rsidRPr="00034341">
              <w:rPr>
                <w:rFonts w:ascii="Times New Roman" w:eastAsia="Malgun Gothic" w:hAnsi="Times New Roman" w:cs="Times New Roman"/>
              </w:rPr>
              <w:t>0.244)*</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101F24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-0.251 (0.214)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2B99C5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-0.498 (</w:t>
            </w:r>
            <w:proofErr w:type="gramStart"/>
            <w:r w:rsidRPr="00034341">
              <w:rPr>
                <w:rFonts w:ascii="Times New Roman" w:eastAsia="Malgun Gothic" w:hAnsi="Times New Roman" w:cs="Times New Roman"/>
              </w:rPr>
              <w:t>0.179)*</w:t>
            </w:r>
            <w:proofErr w:type="gramEnd"/>
            <w:r w:rsidRPr="00034341">
              <w:rPr>
                <w:rFonts w:ascii="Times New Roman" w:eastAsia="Malgun Gothic" w:hAnsi="Times New Roman" w:cs="Times New Roman"/>
              </w:rPr>
              <w:t>*</w:t>
            </w:r>
          </w:p>
        </w:tc>
      </w:tr>
      <w:tr w:rsidR="00716277" w:rsidRPr="00034341" w14:paraId="5D350396"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36B299"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Seocho</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B6E952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0.001 (0.077)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C5D303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0.145 (</w:t>
            </w:r>
            <w:proofErr w:type="gramStart"/>
            <w:r w:rsidRPr="00034341">
              <w:rPr>
                <w:rFonts w:ascii="Times New Roman" w:eastAsia="Malgun Gothic" w:hAnsi="Times New Roman" w:cs="Times New Roman"/>
              </w:rPr>
              <w:t>0.081)*</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E0FA48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-0.294 (0.378)</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27436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-0.135 (0.377)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252A6E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0.694 (</w:t>
            </w:r>
            <w:proofErr w:type="gramStart"/>
            <w:r w:rsidRPr="00034341">
              <w:rPr>
                <w:rFonts w:ascii="Times New Roman" w:eastAsia="Malgun Gothic" w:hAnsi="Times New Roman" w:cs="Times New Roman"/>
              </w:rPr>
              <w:t>0.256)*</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7D8F05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-0.102 (0.232)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89E57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-0.155 (0.125)</w:t>
            </w:r>
          </w:p>
        </w:tc>
      </w:tr>
      <w:tr w:rsidR="00716277" w:rsidRPr="00034341" w14:paraId="13C07F27"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D766FC"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Geumcheon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396B50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0.334 (</w:t>
            </w:r>
            <w:proofErr w:type="gramStart"/>
            <w:r w:rsidRPr="00034341">
              <w:rPr>
                <w:rFonts w:ascii="Times New Roman" w:eastAsia="Malgun Gothic" w:hAnsi="Times New Roman" w:cs="Times New Roman"/>
              </w:rPr>
              <w:t>0.123)*</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7AC95F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0.058 (0.137)</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01908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-0.054 (1.456)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1156B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-0.003 (1.439)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37962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0.851 (</w:t>
            </w:r>
            <w:proofErr w:type="gramStart"/>
            <w:r w:rsidRPr="00034341">
              <w:rPr>
                <w:rFonts w:ascii="Times New Roman" w:eastAsia="Malgun Gothic" w:hAnsi="Times New Roman" w:cs="Times New Roman"/>
              </w:rPr>
              <w:t>0.213)*</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187218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-0.200 (0.204)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1DA14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-0.850 (</w:t>
            </w:r>
            <w:proofErr w:type="gramStart"/>
            <w:r w:rsidRPr="00034341">
              <w:rPr>
                <w:rFonts w:ascii="Times New Roman" w:eastAsia="Malgun Gothic" w:hAnsi="Times New Roman" w:cs="Times New Roman"/>
              </w:rPr>
              <w:t>0.255)*</w:t>
            </w:r>
            <w:proofErr w:type="gramEnd"/>
            <w:r w:rsidRPr="00034341">
              <w:rPr>
                <w:rFonts w:ascii="Times New Roman" w:eastAsia="Malgun Gothic" w:hAnsi="Times New Roman" w:cs="Times New Roman"/>
              </w:rPr>
              <w:t>*</w:t>
            </w:r>
          </w:p>
        </w:tc>
      </w:tr>
      <w:tr w:rsidR="00716277" w:rsidRPr="00034341" w14:paraId="684B6DAC"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ADABFA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Yongsan</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F7444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0.080 (0.082)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D02629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0.180 (</w:t>
            </w:r>
            <w:proofErr w:type="gramStart"/>
            <w:r w:rsidRPr="00034341">
              <w:rPr>
                <w:rFonts w:ascii="Times New Roman" w:eastAsia="Malgun Gothic" w:hAnsi="Times New Roman" w:cs="Times New Roman"/>
              </w:rPr>
              <w:t>0.087)*</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F8DAAD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-2.187 (</w:t>
            </w:r>
            <w:proofErr w:type="gramStart"/>
            <w:r w:rsidRPr="00034341">
              <w:rPr>
                <w:rFonts w:ascii="Times New Roman" w:eastAsia="Malgun Gothic" w:hAnsi="Times New Roman" w:cs="Times New Roman"/>
              </w:rPr>
              <w:t>1.101)*</w:t>
            </w:r>
            <w:proofErr w:type="gramEnd"/>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E03F3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0.674 (1.161)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E7036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0.558 (</w:t>
            </w:r>
            <w:proofErr w:type="gramStart"/>
            <w:r w:rsidRPr="00034341">
              <w:rPr>
                <w:rFonts w:ascii="Times New Roman" w:eastAsia="Malgun Gothic" w:hAnsi="Times New Roman" w:cs="Times New Roman"/>
              </w:rPr>
              <w:t>0.251)*</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79F35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-0.036 (0.226)</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B7811B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-0.186 (0.140)</w:t>
            </w:r>
          </w:p>
        </w:tc>
      </w:tr>
      <w:tr w:rsidR="00716277" w:rsidRPr="00034341" w14:paraId="4927BB84"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0BB3D1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Mapo</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22B05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-0.037 (0.063)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FD4849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0.227 (</w:t>
            </w:r>
            <w:proofErr w:type="gramStart"/>
            <w:r w:rsidRPr="00034341">
              <w:rPr>
                <w:rFonts w:ascii="Times New Roman" w:eastAsia="Malgun Gothic" w:hAnsi="Times New Roman" w:cs="Times New Roman"/>
              </w:rPr>
              <w:t>0.070)*</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6EEDC5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-0.329 (0.612)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48890E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-0.044 (0.624)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62C0C2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0.740 (</w:t>
            </w:r>
            <w:proofErr w:type="gramStart"/>
            <w:r w:rsidRPr="00034341">
              <w:rPr>
                <w:rFonts w:ascii="Times New Roman" w:eastAsia="Malgun Gothic" w:hAnsi="Times New Roman" w:cs="Times New Roman"/>
              </w:rPr>
              <w:t>0.242)*</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DB991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-0.220 (0.214)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D8C445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-0.339 (</w:t>
            </w:r>
            <w:proofErr w:type="gramStart"/>
            <w:r w:rsidRPr="00034341">
              <w:rPr>
                <w:rFonts w:ascii="Times New Roman" w:eastAsia="Malgun Gothic" w:hAnsi="Times New Roman" w:cs="Times New Roman"/>
              </w:rPr>
              <w:t>0.138)*</w:t>
            </w:r>
            <w:proofErr w:type="gramEnd"/>
            <w:r w:rsidRPr="00034341">
              <w:rPr>
                <w:rFonts w:ascii="Times New Roman" w:eastAsia="Malgun Gothic" w:hAnsi="Times New Roman" w:cs="Times New Roman"/>
              </w:rPr>
              <w:t>*</w:t>
            </w:r>
          </w:p>
        </w:tc>
      </w:tr>
      <w:tr w:rsidR="00716277" w:rsidRPr="00034341" w14:paraId="0177006D"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451A0FB"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Seongdong</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99717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0.055 (0.083)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BA373A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0.170 (</w:t>
            </w:r>
            <w:proofErr w:type="gramStart"/>
            <w:r w:rsidRPr="00034341">
              <w:rPr>
                <w:rFonts w:ascii="Times New Roman" w:eastAsia="Malgun Gothic" w:hAnsi="Times New Roman" w:cs="Times New Roman"/>
              </w:rPr>
              <w:t>0.088)*</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98535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-1.524 (1.067)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6C2E92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-0.295 (1.076)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E7688B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0.650 (</w:t>
            </w:r>
            <w:proofErr w:type="gramStart"/>
            <w:r w:rsidRPr="00034341">
              <w:rPr>
                <w:rFonts w:ascii="Times New Roman" w:eastAsia="Malgun Gothic" w:hAnsi="Times New Roman" w:cs="Times New Roman"/>
              </w:rPr>
              <w:t>0.238)*</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4683D6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-0.091 (0.216)</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099A7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-0.285 (</w:t>
            </w:r>
            <w:proofErr w:type="gramStart"/>
            <w:r w:rsidRPr="00034341">
              <w:rPr>
                <w:rFonts w:ascii="Times New Roman" w:eastAsia="Malgun Gothic" w:hAnsi="Times New Roman" w:cs="Times New Roman"/>
              </w:rPr>
              <w:t>0.132)*</w:t>
            </w:r>
            <w:proofErr w:type="gramEnd"/>
            <w:r w:rsidRPr="00034341">
              <w:rPr>
                <w:rFonts w:ascii="Times New Roman" w:eastAsia="Malgun Gothic" w:hAnsi="Times New Roman" w:cs="Times New Roman"/>
              </w:rPr>
              <w:t>*</w:t>
            </w:r>
          </w:p>
        </w:tc>
      </w:tr>
      <w:tr w:rsidR="00716277" w:rsidRPr="00034341" w14:paraId="7F63EC9C"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D58168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Dongdaemun</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66584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0.011 (0.053)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C56339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0.101 (</w:t>
            </w:r>
            <w:proofErr w:type="gramStart"/>
            <w:r w:rsidRPr="00034341">
              <w:rPr>
                <w:rFonts w:ascii="Times New Roman" w:eastAsia="Malgun Gothic" w:hAnsi="Times New Roman" w:cs="Times New Roman"/>
              </w:rPr>
              <w:t>0.057)*</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20571A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-0.744 (1.427)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5E713E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-0.794 (1.420)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F349C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0.901 (</w:t>
            </w:r>
            <w:proofErr w:type="gramStart"/>
            <w:r w:rsidRPr="00034341">
              <w:rPr>
                <w:rFonts w:ascii="Times New Roman" w:eastAsia="Malgun Gothic" w:hAnsi="Times New Roman" w:cs="Times New Roman"/>
              </w:rPr>
              <w:t>0.238)*</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C622E5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-0.250 (0.216)</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D995BC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-0.410 (</w:t>
            </w:r>
            <w:proofErr w:type="gramStart"/>
            <w:r w:rsidRPr="00034341">
              <w:rPr>
                <w:rFonts w:ascii="Times New Roman" w:eastAsia="Malgun Gothic" w:hAnsi="Times New Roman" w:cs="Times New Roman"/>
              </w:rPr>
              <w:t>0.192)*</w:t>
            </w:r>
            <w:proofErr w:type="gramEnd"/>
            <w:r w:rsidRPr="00034341">
              <w:rPr>
                <w:rFonts w:ascii="Times New Roman" w:eastAsia="Malgun Gothic" w:hAnsi="Times New Roman" w:cs="Times New Roman"/>
              </w:rPr>
              <w:t>*</w:t>
            </w:r>
          </w:p>
        </w:tc>
      </w:tr>
      <w:tr w:rsidR="00716277" w:rsidRPr="00034341" w14:paraId="54ECFF86"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7929C3"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Seodaemun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E43F8E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0.140 (0.086)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0AF9DD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0.206 (</w:t>
            </w:r>
            <w:proofErr w:type="gramStart"/>
            <w:r w:rsidRPr="00034341">
              <w:rPr>
                <w:rFonts w:ascii="Times New Roman" w:eastAsia="Malgun Gothic" w:hAnsi="Times New Roman" w:cs="Times New Roman"/>
              </w:rPr>
              <w:t>0.103)*</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4618B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-0.237 (1.364)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30053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-0.262 (1.352)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545FBA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0.763 (</w:t>
            </w:r>
            <w:proofErr w:type="gramStart"/>
            <w:r w:rsidRPr="00034341">
              <w:rPr>
                <w:rFonts w:ascii="Times New Roman" w:eastAsia="Malgun Gothic" w:hAnsi="Times New Roman" w:cs="Times New Roman"/>
              </w:rPr>
              <w:t>0.230)*</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D4379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-0.223 (0.205)</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0659AB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-0.429 (</w:t>
            </w:r>
            <w:proofErr w:type="gramStart"/>
            <w:r w:rsidRPr="00034341">
              <w:rPr>
                <w:rFonts w:ascii="Times New Roman" w:eastAsia="Malgun Gothic" w:hAnsi="Times New Roman" w:cs="Times New Roman"/>
              </w:rPr>
              <w:t>0.152)*</w:t>
            </w:r>
            <w:proofErr w:type="gramEnd"/>
            <w:r w:rsidRPr="00034341">
              <w:rPr>
                <w:rFonts w:ascii="Times New Roman" w:eastAsia="Malgun Gothic" w:hAnsi="Times New Roman" w:cs="Times New Roman"/>
              </w:rPr>
              <w:t>*</w:t>
            </w:r>
          </w:p>
        </w:tc>
      </w:tr>
      <w:tr w:rsidR="00716277" w:rsidRPr="00034341" w14:paraId="095BC598"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313957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lastRenderedPageBreak/>
              <w:t>Guro</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15AD48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0.049 (0.053)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97D2A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0.094 (</w:t>
            </w:r>
            <w:proofErr w:type="gramStart"/>
            <w:r w:rsidRPr="00034341">
              <w:rPr>
                <w:rFonts w:ascii="Times New Roman" w:eastAsia="Malgun Gothic" w:hAnsi="Times New Roman" w:cs="Times New Roman"/>
              </w:rPr>
              <w:t>0.056)*</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F7A00F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-0.383 (1.244)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6835CC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0.563 (1.239)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88ABA0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0.976 (</w:t>
            </w:r>
            <w:proofErr w:type="gramStart"/>
            <w:r w:rsidRPr="00034341">
              <w:rPr>
                <w:rFonts w:ascii="Times New Roman" w:eastAsia="Malgun Gothic" w:hAnsi="Times New Roman" w:cs="Times New Roman"/>
              </w:rPr>
              <w:t>0.230)*</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0F447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-0.241 (0.229)</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DC212E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-0.841 (</w:t>
            </w:r>
            <w:proofErr w:type="gramStart"/>
            <w:r w:rsidRPr="00034341">
              <w:rPr>
                <w:rFonts w:ascii="Times New Roman" w:eastAsia="Malgun Gothic" w:hAnsi="Times New Roman" w:cs="Times New Roman"/>
              </w:rPr>
              <w:t>0.258)*</w:t>
            </w:r>
            <w:proofErr w:type="gramEnd"/>
            <w:r w:rsidRPr="00034341">
              <w:rPr>
                <w:rFonts w:ascii="Times New Roman" w:eastAsia="Malgun Gothic" w:hAnsi="Times New Roman" w:cs="Times New Roman"/>
              </w:rPr>
              <w:t>*</w:t>
            </w:r>
          </w:p>
        </w:tc>
      </w:tr>
      <w:tr w:rsidR="00716277" w:rsidRPr="00034341" w14:paraId="7D79FEA5"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0B80900"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Songpa</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F3E01F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-0.044 (0.035)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DF419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0.116 (</w:t>
            </w:r>
            <w:proofErr w:type="gramStart"/>
            <w:r w:rsidRPr="00034341">
              <w:rPr>
                <w:rFonts w:ascii="Times New Roman" w:eastAsia="Malgun Gothic" w:hAnsi="Times New Roman" w:cs="Times New Roman"/>
              </w:rPr>
              <w:t>0.038)*</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E33EC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-1.011 (0.734)</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3EC2FB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0.276 (0.757)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6F0182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0.775 (</w:t>
            </w:r>
            <w:proofErr w:type="gramStart"/>
            <w:r w:rsidRPr="00034341">
              <w:rPr>
                <w:rFonts w:ascii="Times New Roman" w:eastAsia="Malgun Gothic" w:hAnsi="Times New Roman" w:cs="Times New Roman"/>
              </w:rPr>
              <w:t>0.253)*</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DBC71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-0.171 (0.220)</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170BFC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-0.318 (</w:t>
            </w:r>
            <w:proofErr w:type="gramStart"/>
            <w:r w:rsidRPr="00034341">
              <w:rPr>
                <w:rFonts w:ascii="Times New Roman" w:eastAsia="Malgun Gothic" w:hAnsi="Times New Roman" w:cs="Times New Roman"/>
              </w:rPr>
              <w:t>0.158)*</w:t>
            </w:r>
            <w:proofErr w:type="gramEnd"/>
            <w:r w:rsidRPr="00034341">
              <w:rPr>
                <w:rFonts w:ascii="Times New Roman" w:eastAsia="Malgun Gothic" w:hAnsi="Times New Roman" w:cs="Times New Roman"/>
              </w:rPr>
              <w:t>*</w:t>
            </w:r>
          </w:p>
        </w:tc>
      </w:tr>
      <w:tr w:rsidR="00716277" w:rsidRPr="00034341" w14:paraId="2CC62FB0"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C2AF97A"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Gangseo</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7B188A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-0.023 (0.052)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D32AA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0.134 (</w:t>
            </w:r>
            <w:proofErr w:type="gramStart"/>
            <w:r w:rsidRPr="00034341">
              <w:rPr>
                <w:rFonts w:ascii="Times New Roman" w:eastAsia="Malgun Gothic" w:hAnsi="Times New Roman" w:cs="Times New Roman"/>
              </w:rPr>
              <w:t>0.057)*</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18424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0.327 (1.592)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B3701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0.161 (1.480)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DF009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0.947 (</w:t>
            </w:r>
            <w:proofErr w:type="gramStart"/>
            <w:r w:rsidRPr="00034341">
              <w:rPr>
                <w:rFonts w:ascii="Times New Roman" w:eastAsia="Malgun Gothic" w:hAnsi="Times New Roman" w:cs="Times New Roman"/>
              </w:rPr>
              <w:t>0.263)*</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1264E1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-0.201 (0.257)</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58F7D4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-0.384 (</w:t>
            </w:r>
            <w:proofErr w:type="gramStart"/>
            <w:r w:rsidRPr="00034341">
              <w:rPr>
                <w:rFonts w:ascii="Times New Roman" w:eastAsia="Malgun Gothic" w:hAnsi="Times New Roman" w:cs="Times New Roman"/>
              </w:rPr>
              <w:t>0.186)*</w:t>
            </w:r>
            <w:proofErr w:type="gramEnd"/>
            <w:r w:rsidRPr="00034341">
              <w:rPr>
                <w:rFonts w:ascii="Times New Roman" w:eastAsia="Malgun Gothic" w:hAnsi="Times New Roman" w:cs="Times New Roman"/>
              </w:rPr>
              <w:t>*</w:t>
            </w:r>
          </w:p>
        </w:tc>
      </w:tr>
      <w:tr w:rsidR="00716277" w:rsidRPr="00034341" w14:paraId="1245E54E"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A20486E"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Seongbuk</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387877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-0.024 (0.070)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164C27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0.115 (0.077)</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18507B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-2.431 (2.552)</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8642C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-0.185 (2.482)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4BC04A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0.675 (</w:t>
            </w:r>
            <w:proofErr w:type="gramStart"/>
            <w:r w:rsidRPr="00034341">
              <w:rPr>
                <w:rFonts w:ascii="Times New Roman" w:eastAsia="Malgun Gothic" w:hAnsi="Times New Roman" w:cs="Times New Roman"/>
              </w:rPr>
              <w:t>0.257)*</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C0BAEB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-0.157 (0.248)</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73AB53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-0.236 (0.216)</w:t>
            </w:r>
          </w:p>
        </w:tc>
      </w:tr>
      <w:tr w:rsidR="00716277" w:rsidRPr="00034341" w14:paraId="1F8F0222"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E7AA646"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Gwangjin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249831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0.076 (0.055)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93754B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0.145 (</w:t>
            </w:r>
            <w:proofErr w:type="gramStart"/>
            <w:r w:rsidRPr="00034341">
              <w:rPr>
                <w:rFonts w:ascii="Times New Roman" w:eastAsia="Malgun Gothic" w:hAnsi="Times New Roman" w:cs="Times New Roman"/>
              </w:rPr>
              <w:t>0.059)*</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B9A2E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-1.895 (1.628)</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EAB817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-1.032 (1.805)</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4935EC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0.579 (</w:t>
            </w:r>
            <w:proofErr w:type="gramStart"/>
            <w:r w:rsidRPr="00034341">
              <w:rPr>
                <w:rFonts w:ascii="Times New Roman" w:eastAsia="Malgun Gothic" w:hAnsi="Times New Roman" w:cs="Times New Roman"/>
              </w:rPr>
              <w:t>0.240)*</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A7748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-0.224 (0.224)</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72EF58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-0.245 (</w:t>
            </w:r>
            <w:proofErr w:type="gramStart"/>
            <w:r w:rsidRPr="00034341">
              <w:rPr>
                <w:rFonts w:ascii="Times New Roman" w:eastAsia="Malgun Gothic" w:hAnsi="Times New Roman" w:cs="Times New Roman"/>
              </w:rPr>
              <w:t>0.137)*</w:t>
            </w:r>
            <w:proofErr w:type="gramEnd"/>
          </w:p>
        </w:tc>
      </w:tr>
      <w:tr w:rsidR="00716277" w:rsidRPr="00034341" w14:paraId="0E3AF4E9"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C519902"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Dongjak</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67C69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0.154 (</w:t>
            </w:r>
            <w:proofErr w:type="gramStart"/>
            <w:r w:rsidRPr="00034341">
              <w:rPr>
                <w:rFonts w:ascii="Times New Roman" w:eastAsia="Malgun Gothic" w:hAnsi="Times New Roman" w:cs="Times New Roman"/>
              </w:rPr>
              <w:t>0.077)*</w:t>
            </w:r>
            <w:proofErr w:type="gramEnd"/>
            <w:r w:rsidRPr="00034341">
              <w:rPr>
                <w:rFonts w:ascii="Times New Roman" w:eastAsia="Malgun Gothic" w:hAnsi="Times New Roman" w:cs="Times New Roman"/>
              </w:rPr>
              <w:t>*</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53A085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-0.001 (0.084)</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5EACBA"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-0.531 (1.706)</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1151B1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-1.483 (1.730)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BDDC3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0.682 (</w:t>
            </w:r>
            <w:proofErr w:type="gramStart"/>
            <w:r w:rsidRPr="00034341">
              <w:rPr>
                <w:rFonts w:ascii="Times New Roman" w:eastAsia="Malgun Gothic" w:hAnsi="Times New Roman" w:cs="Times New Roman"/>
              </w:rPr>
              <w:t>0.263)*</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B5D1B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-0.204 (0.241)</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93A577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-0.213 (0.139)</w:t>
            </w:r>
          </w:p>
        </w:tc>
      </w:tr>
      <w:tr w:rsidR="00716277" w:rsidRPr="00034341" w14:paraId="5F0E02A4"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6D23F5A"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Gangdong</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D515B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-0.114 (0.070)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AF0C4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0.146 (</w:t>
            </w:r>
            <w:proofErr w:type="gramStart"/>
            <w:r w:rsidRPr="00034341">
              <w:rPr>
                <w:rFonts w:ascii="Times New Roman" w:eastAsia="Malgun Gothic" w:hAnsi="Times New Roman" w:cs="Times New Roman"/>
              </w:rPr>
              <w:t>0.074)*</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57626B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-2.866 (2.295)</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B7A26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-0.935 (2.328)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FDF240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0.768 (</w:t>
            </w:r>
            <w:proofErr w:type="gramStart"/>
            <w:r w:rsidRPr="00034341">
              <w:rPr>
                <w:rFonts w:ascii="Times New Roman" w:eastAsia="Malgun Gothic" w:hAnsi="Times New Roman" w:cs="Times New Roman"/>
              </w:rPr>
              <w:t>0.262)*</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E76517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-0.284 (0.242)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1F7D1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-0.139 (0.190)</w:t>
            </w:r>
          </w:p>
        </w:tc>
      </w:tr>
      <w:tr w:rsidR="00716277" w:rsidRPr="00034341" w14:paraId="21EA6018"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882505"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Nowon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D0109A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-0.109 (0.073)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BDD426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0.140 (</w:t>
            </w:r>
            <w:proofErr w:type="gramStart"/>
            <w:r w:rsidRPr="00034341">
              <w:rPr>
                <w:rFonts w:ascii="Times New Roman" w:eastAsia="Malgun Gothic" w:hAnsi="Times New Roman" w:cs="Times New Roman"/>
              </w:rPr>
              <w:t>0.079)*</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248924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-1.052 (2.011)</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5207E1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-1.581 (1.991)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9313F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0.896 (</w:t>
            </w:r>
            <w:proofErr w:type="gramStart"/>
            <w:r w:rsidRPr="00034341">
              <w:rPr>
                <w:rFonts w:ascii="Times New Roman" w:eastAsia="Malgun Gothic" w:hAnsi="Times New Roman" w:cs="Times New Roman"/>
              </w:rPr>
              <w:t>0.258)*</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7711CF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-0.389 (0.246)</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970A80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-0.077 (0.183)</w:t>
            </w:r>
          </w:p>
        </w:tc>
      </w:tr>
      <w:tr w:rsidR="00716277" w:rsidRPr="00034341" w14:paraId="159F1FBA"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754CDD"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Gangbuk</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12937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-0.078 (0.083)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5AF827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0.194 (</w:t>
            </w:r>
            <w:proofErr w:type="gramStart"/>
            <w:r w:rsidRPr="00034341">
              <w:rPr>
                <w:rFonts w:ascii="Times New Roman" w:eastAsia="Malgun Gothic" w:hAnsi="Times New Roman" w:cs="Times New Roman"/>
              </w:rPr>
              <w:t>0.086)*</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2CC0F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0.249 (2.569)</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4F44E6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-0.858 (2.548)</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708A8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1.107 (</w:t>
            </w:r>
            <w:proofErr w:type="gramStart"/>
            <w:r w:rsidRPr="00034341">
              <w:rPr>
                <w:rFonts w:ascii="Times New Roman" w:eastAsia="Malgun Gothic" w:hAnsi="Times New Roman" w:cs="Times New Roman"/>
              </w:rPr>
              <w:t>0.239)*</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77E3C7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-0.371 (</w:t>
            </w:r>
            <w:proofErr w:type="gramStart"/>
            <w:r w:rsidRPr="00034341">
              <w:rPr>
                <w:rFonts w:ascii="Times New Roman" w:eastAsia="Malgun Gothic" w:hAnsi="Times New Roman" w:cs="Times New Roman"/>
              </w:rPr>
              <w:t>0.221)*</w:t>
            </w:r>
            <w:proofErr w:type="gram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0E2BDF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-0.306 (0.190)</w:t>
            </w:r>
          </w:p>
        </w:tc>
      </w:tr>
      <w:tr w:rsidR="00716277" w:rsidRPr="00034341" w14:paraId="66B3AD93"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490D85F"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Yangcheon</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C9838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0.044 (0.073)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4C7870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0.198 (</w:t>
            </w:r>
            <w:proofErr w:type="gramStart"/>
            <w:r w:rsidRPr="00034341">
              <w:rPr>
                <w:rFonts w:ascii="Times New Roman" w:eastAsia="Malgun Gothic" w:hAnsi="Times New Roman" w:cs="Times New Roman"/>
              </w:rPr>
              <w:t>0.084)*</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594FE5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1.242 (2.230)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EE0E0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-1.061 (2.113)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A9E2B6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0.880 (</w:t>
            </w:r>
            <w:proofErr w:type="gramStart"/>
            <w:r w:rsidRPr="00034341">
              <w:rPr>
                <w:rFonts w:ascii="Times New Roman" w:eastAsia="Malgun Gothic" w:hAnsi="Times New Roman" w:cs="Times New Roman"/>
              </w:rPr>
              <w:t>0.230)*</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0F3824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-0.292 (0.222)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D9CDA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-0.351 (</w:t>
            </w:r>
            <w:proofErr w:type="gramStart"/>
            <w:r w:rsidRPr="00034341">
              <w:rPr>
                <w:rFonts w:ascii="Times New Roman" w:eastAsia="Malgun Gothic" w:hAnsi="Times New Roman" w:cs="Times New Roman"/>
              </w:rPr>
              <w:t>0.141)*</w:t>
            </w:r>
            <w:proofErr w:type="gramEnd"/>
            <w:r w:rsidRPr="00034341">
              <w:rPr>
                <w:rFonts w:ascii="Times New Roman" w:eastAsia="Malgun Gothic" w:hAnsi="Times New Roman" w:cs="Times New Roman"/>
              </w:rPr>
              <w:t>*</w:t>
            </w:r>
          </w:p>
        </w:tc>
      </w:tr>
      <w:tr w:rsidR="00716277" w:rsidRPr="00034341" w14:paraId="66426690"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616D0CC"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Jungnang</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454E74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0.106 (0.069)</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390EA5"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0.054 (0.075)</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FF39BD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1.477 (2.667)</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FAE8762"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-3.602 (2.603)</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58C933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0.871 (</w:t>
            </w:r>
            <w:proofErr w:type="gramStart"/>
            <w:r w:rsidRPr="00034341">
              <w:rPr>
                <w:rFonts w:ascii="Times New Roman" w:eastAsia="Malgun Gothic" w:hAnsi="Times New Roman" w:cs="Times New Roman"/>
              </w:rPr>
              <w:t>0.237)*</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CF986CB"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-0.291 (0.217)</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B4E85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-0.258 (</w:t>
            </w:r>
            <w:proofErr w:type="gramStart"/>
            <w:r w:rsidRPr="00034341">
              <w:rPr>
                <w:rFonts w:ascii="Times New Roman" w:eastAsia="Malgun Gothic" w:hAnsi="Times New Roman" w:cs="Times New Roman"/>
              </w:rPr>
              <w:t>0.151)*</w:t>
            </w:r>
            <w:proofErr w:type="gramEnd"/>
          </w:p>
        </w:tc>
      </w:tr>
      <w:tr w:rsidR="00716277" w:rsidRPr="00034341" w14:paraId="7087FA9D"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C65800D"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Dobong</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EE2F1D"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-0.118 (0.077)</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89254C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0.254 (</w:t>
            </w:r>
            <w:proofErr w:type="gramStart"/>
            <w:r w:rsidRPr="00034341">
              <w:rPr>
                <w:rFonts w:ascii="Times New Roman" w:eastAsia="Malgun Gothic" w:hAnsi="Times New Roman" w:cs="Times New Roman"/>
              </w:rPr>
              <w:t>0.086)*</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0CC6AF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-0.466 (2.418)</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D30FA9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-3.413 (2.516)</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B0A8A2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0.828 (</w:t>
            </w:r>
            <w:proofErr w:type="gramStart"/>
            <w:r w:rsidRPr="00034341">
              <w:rPr>
                <w:rFonts w:ascii="Times New Roman" w:eastAsia="Malgun Gothic" w:hAnsi="Times New Roman" w:cs="Times New Roman"/>
              </w:rPr>
              <w:t>0.213)*</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E623BC0"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-0.257 (0.192)</w:t>
            </w:r>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99B2931"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-0.186 (0.141)</w:t>
            </w:r>
          </w:p>
        </w:tc>
      </w:tr>
      <w:tr w:rsidR="00716277" w:rsidRPr="00034341" w14:paraId="02F208F5"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A6539F" w14:textId="77777777" w:rsidR="00716277" w:rsidRPr="00034341" w:rsidRDefault="00716277" w:rsidP="00A177A0">
            <w:pPr>
              <w:pStyle w:val="EndNoteBibliography"/>
              <w:ind w:left="720" w:hanging="720"/>
              <w:rPr>
                <w:rFonts w:ascii="Times New Roman" w:eastAsia="Malgun Gothic" w:hAnsi="Times New Roman" w:cs="Times New Roman"/>
              </w:rPr>
            </w:pPr>
            <w:proofErr w:type="spellStart"/>
            <w:r w:rsidRPr="00034341">
              <w:rPr>
                <w:rFonts w:ascii="Times New Roman" w:eastAsia="Malgun Gothic" w:hAnsi="Times New Roman" w:cs="Times New Roman"/>
              </w:rPr>
              <w:t>Gwanak</w:t>
            </w:r>
            <w:proofErr w:type="spellEnd"/>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6E2B489"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-0.039 (0.044)</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234A0F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0.087 (</w:t>
            </w:r>
            <w:proofErr w:type="gramStart"/>
            <w:r w:rsidRPr="00034341">
              <w:rPr>
                <w:rFonts w:ascii="Times New Roman" w:eastAsia="Malgun Gothic" w:hAnsi="Times New Roman" w:cs="Times New Roman"/>
              </w:rPr>
              <w:t>0.046)*</w:t>
            </w:r>
            <w:proofErr w:type="gramEnd"/>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10229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-1.145 (1.950)</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E0B9BD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-2.771 (2.010)</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E65C47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0.793 (</w:t>
            </w:r>
            <w:proofErr w:type="gramStart"/>
            <w:r w:rsidRPr="00034341">
              <w:rPr>
                <w:rFonts w:ascii="Times New Roman" w:eastAsia="Malgun Gothic" w:hAnsi="Times New Roman" w:cs="Times New Roman"/>
              </w:rPr>
              <w:t>0.263)*</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30039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-0.426 (</w:t>
            </w:r>
            <w:proofErr w:type="gramStart"/>
            <w:r w:rsidRPr="00034341">
              <w:rPr>
                <w:rFonts w:ascii="Times New Roman" w:eastAsia="Malgun Gothic" w:hAnsi="Times New Roman" w:cs="Times New Roman"/>
              </w:rPr>
              <w:t>0.248)*</w:t>
            </w:r>
            <w:proofErr w:type="gram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A07A92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-0.122 (0.128)</w:t>
            </w:r>
          </w:p>
        </w:tc>
      </w:tr>
      <w:tr w:rsidR="00716277" w:rsidRPr="00034341" w14:paraId="19413698" w14:textId="77777777" w:rsidTr="00A177A0">
        <w:trPr>
          <w:trHeight w:val="373"/>
        </w:trPr>
        <w:tc>
          <w:tcPr>
            <w:tcW w:w="1602"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4E434F"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Eunpyeong</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78F48C"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0.056 (0.062)</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4A7298"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0.172 (</w:t>
            </w:r>
            <w:proofErr w:type="gramStart"/>
            <w:r w:rsidRPr="00034341">
              <w:rPr>
                <w:rFonts w:ascii="Times New Roman" w:eastAsia="Malgun Gothic" w:hAnsi="Times New Roman" w:cs="Times New Roman"/>
              </w:rPr>
              <w:t>0.069)*</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1AF746"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0.058 (2.061)</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8D3244"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-2.473 (2.141)</w:t>
            </w:r>
          </w:p>
        </w:tc>
        <w:tc>
          <w:tcPr>
            <w:tcW w:w="163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DCE1B83"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0.774 (</w:t>
            </w:r>
            <w:proofErr w:type="gramStart"/>
            <w:r w:rsidRPr="00034341">
              <w:rPr>
                <w:rFonts w:ascii="Times New Roman" w:eastAsia="Malgun Gothic" w:hAnsi="Times New Roman" w:cs="Times New Roman"/>
              </w:rPr>
              <w:t>0.200)*</w:t>
            </w:r>
            <w:proofErr w:type="gramEnd"/>
            <w:r w:rsidRPr="00034341">
              <w:rPr>
                <w:rFonts w:ascii="Times New Roman" w:eastAsia="Malgun Gothic" w:hAnsi="Times New Roman" w:cs="Times New Roman"/>
              </w:rPr>
              <w:t>*</w:t>
            </w:r>
          </w:p>
        </w:tc>
        <w:tc>
          <w:tcPr>
            <w:tcW w:w="159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702755E"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-0.313 (</w:t>
            </w:r>
            <w:proofErr w:type="gramStart"/>
            <w:r w:rsidRPr="00034341">
              <w:rPr>
                <w:rFonts w:ascii="Times New Roman" w:eastAsia="Malgun Gothic" w:hAnsi="Times New Roman" w:cs="Times New Roman"/>
              </w:rPr>
              <w:t>0.182)*</w:t>
            </w:r>
            <w:proofErr w:type="gramEnd"/>
          </w:p>
        </w:tc>
        <w:tc>
          <w:tcPr>
            <w:tcW w:w="17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5D4587" w14:textId="77777777" w:rsidR="00716277" w:rsidRPr="00034341" w:rsidRDefault="00716277" w:rsidP="00A177A0">
            <w:pPr>
              <w:pStyle w:val="EndNoteBibliography"/>
              <w:ind w:left="720" w:hanging="720"/>
              <w:rPr>
                <w:rFonts w:ascii="Times New Roman" w:eastAsia="Malgun Gothic" w:hAnsi="Times New Roman" w:cs="Times New Roman"/>
              </w:rPr>
            </w:pPr>
            <w:r w:rsidRPr="00034341">
              <w:rPr>
                <w:rFonts w:ascii="Times New Roman" w:eastAsia="Malgun Gothic" w:hAnsi="Times New Roman" w:cs="Times New Roman"/>
              </w:rPr>
              <w:t>-0.421 (</w:t>
            </w:r>
            <w:proofErr w:type="gramStart"/>
            <w:r w:rsidRPr="00034341">
              <w:rPr>
                <w:rFonts w:ascii="Times New Roman" w:eastAsia="Malgun Gothic" w:hAnsi="Times New Roman" w:cs="Times New Roman"/>
              </w:rPr>
              <w:t>0.138)*</w:t>
            </w:r>
            <w:proofErr w:type="gramEnd"/>
            <w:r w:rsidRPr="00034341">
              <w:rPr>
                <w:rFonts w:ascii="Times New Roman" w:eastAsia="Malgun Gothic" w:hAnsi="Times New Roman" w:cs="Times New Roman"/>
              </w:rPr>
              <w:t>*</w:t>
            </w:r>
          </w:p>
        </w:tc>
      </w:tr>
    </w:tbl>
    <w:p w14:paraId="75D823EE" w14:textId="77777777" w:rsidR="00716277" w:rsidRPr="00034341" w:rsidRDefault="00716277" w:rsidP="00716277">
      <w:pPr>
        <w:pStyle w:val="EndNoteBibliography"/>
        <w:spacing w:after="0"/>
        <w:ind w:left="720" w:hanging="720"/>
        <w:rPr>
          <w:rFonts w:ascii="Times New Roman" w:eastAsia="Malgun Gothic" w:hAnsi="Times New Roman" w:cs="Times New Roman"/>
        </w:rPr>
      </w:pPr>
    </w:p>
    <w:p w14:paraId="7FE762EF" w14:textId="77777777" w:rsidR="00716277" w:rsidRDefault="00716277" w:rsidP="00716277">
      <w:pPr>
        <w:pStyle w:val="EndNoteBibliography"/>
        <w:spacing w:after="0"/>
        <w:ind w:left="720" w:hanging="720"/>
        <w:rPr>
          <w:rFonts w:ascii="Times New Roman" w:eastAsia="Malgun Gothic" w:hAnsi="Times New Roman" w:cs="Times New Roman"/>
          <w:b/>
          <w:bCs/>
        </w:rPr>
      </w:pPr>
    </w:p>
    <w:p w14:paraId="6ACB663B" w14:textId="77777777" w:rsidR="00716277" w:rsidRDefault="00716277" w:rsidP="00716277">
      <w:pPr>
        <w:pStyle w:val="EndNoteBibliography"/>
        <w:spacing w:after="0"/>
        <w:rPr>
          <w:rFonts w:ascii="Times New Roman" w:eastAsia="Malgun Gothic" w:hAnsi="Times New Roman" w:cs="Times New Roman"/>
          <w:b/>
          <w:bCs/>
        </w:rPr>
        <w:sectPr w:rsidR="00716277" w:rsidSect="00716277">
          <w:pgSz w:w="16838" w:h="11906" w:orient="landscape"/>
          <w:pgMar w:top="1800" w:right="1440" w:bottom="1800" w:left="1440" w:header="851" w:footer="992" w:gutter="0"/>
          <w:cols w:space="425"/>
          <w:docGrid w:type="lines" w:linePitch="326"/>
        </w:sectPr>
      </w:pPr>
    </w:p>
    <w:p w14:paraId="181DC592" w14:textId="77777777" w:rsidR="00716277" w:rsidRDefault="00716277" w:rsidP="00716277">
      <w:pPr>
        <w:pStyle w:val="EndNoteBibliography"/>
        <w:spacing w:after="0"/>
        <w:ind w:left="720" w:hanging="720"/>
        <w:rPr>
          <w:rFonts w:ascii="Times New Roman" w:eastAsia="Malgun Gothic" w:hAnsi="Times New Roman" w:cs="Times New Roman"/>
          <w:b/>
          <w:bCs/>
        </w:rPr>
      </w:pPr>
      <w:r>
        <w:rPr>
          <w:rFonts w:ascii="Times New Roman" w:eastAsia="Malgun Gothic" w:hAnsi="Times New Roman" w:cs="Times New Roman"/>
          <w:b/>
          <w:bCs/>
        </w:rPr>
        <w:lastRenderedPageBreak/>
        <w:br w:type="page"/>
      </w:r>
    </w:p>
    <w:p w14:paraId="49312750" w14:textId="77777777" w:rsidR="00716277" w:rsidRDefault="00716277" w:rsidP="00716277">
      <w:pPr>
        <w:pStyle w:val="EndNoteBibliography"/>
        <w:spacing w:after="0"/>
        <w:ind w:left="720" w:hanging="720"/>
        <w:rPr>
          <w:rFonts w:ascii="Times New Roman" w:eastAsia="Malgun Gothic" w:hAnsi="Times New Roman" w:cs="Times New Roman"/>
          <w:b/>
          <w:bCs/>
        </w:rPr>
      </w:pPr>
    </w:p>
    <w:p w14:paraId="7DBE0785" w14:textId="77777777" w:rsidR="00716277" w:rsidRPr="003B2F4B" w:rsidRDefault="00716277" w:rsidP="00716277">
      <w:pPr>
        <w:spacing w:line="276" w:lineRule="auto"/>
        <w:rPr>
          <w:rFonts w:ascii="Times New Roman" w:eastAsia="Malgun Gothic" w:hAnsi="Times New Roman" w:cs="Times New Roman"/>
          <w:b/>
          <w:bCs/>
        </w:rPr>
      </w:pPr>
      <w:r w:rsidRPr="003B2F4B">
        <w:rPr>
          <w:rFonts w:ascii="Times New Roman" w:eastAsia="Malgun Gothic" w:hAnsi="Times New Roman" w:cs="Times New Roman"/>
          <w:b/>
          <w:bCs/>
        </w:rPr>
        <w:t>Lag selection</w:t>
      </w:r>
    </w:p>
    <w:p w14:paraId="7E3362E3" w14:textId="77777777" w:rsidR="00716277" w:rsidRPr="007671FA" w:rsidRDefault="00716277" w:rsidP="00716277">
      <w:pPr>
        <w:spacing w:line="276" w:lineRule="auto"/>
        <w:rPr>
          <w:rFonts w:ascii="Times New Roman" w:eastAsia="Malgun Gothic" w:hAnsi="Times New Roman" w:cs="Times New Roman"/>
        </w:rPr>
      </w:pPr>
      <w:r w:rsidRPr="007671FA">
        <w:rPr>
          <w:rFonts w:ascii="Times New Roman" w:eastAsia="Malgun Gothic" w:hAnsi="Times New Roman" w:cs="Times New Roman"/>
        </w:rPr>
        <w:t>T</w:t>
      </w:r>
      <w:r w:rsidRPr="007671FA">
        <w:rPr>
          <w:rFonts w:ascii="Times New Roman" w:eastAsia="Malgun Gothic" w:hAnsi="Times New Roman" w:cs="Times New Roman" w:hint="eastAsia"/>
        </w:rPr>
        <w:t>able</w:t>
      </w:r>
      <w:r w:rsidRPr="007671FA">
        <w:rPr>
          <w:rFonts w:ascii="Times New Roman" w:eastAsia="Malgun Gothic" w:hAnsi="Times New Roman" w:cs="Times New Roman"/>
        </w:rPr>
        <w:t xml:space="preserve"> S1</w:t>
      </w:r>
    </w:p>
    <w:tbl>
      <w:tblPr>
        <w:tblStyle w:val="af2"/>
        <w:tblW w:w="11309" w:type="dxa"/>
        <w:tblInd w:w="-1777" w:type="dxa"/>
        <w:tblLayout w:type="fixed"/>
        <w:tblLook w:val="04A0" w:firstRow="1" w:lastRow="0" w:firstColumn="1" w:lastColumn="0" w:noHBand="0" w:noVBand="1"/>
      </w:tblPr>
      <w:tblGrid>
        <w:gridCol w:w="1162"/>
        <w:gridCol w:w="1058"/>
        <w:gridCol w:w="1058"/>
        <w:gridCol w:w="1058"/>
        <w:gridCol w:w="1058"/>
        <w:gridCol w:w="1058"/>
        <w:gridCol w:w="971"/>
        <w:gridCol w:w="971"/>
        <w:gridCol w:w="971"/>
        <w:gridCol w:w="972"/>
        <w:gridCol w:w="972"/>
      </w:tblGrid>
      <w:tr w:rsidR="00716277" w14:paraId="34C27C49" w14:textId="77777777" w:rsidTr="00A177A0">
        <w:tc>
          <w:tcPr>
            <w:tcW w:w="1162" w:type="dxa"/>
            <w:vAlign w:val="center"/>
          </w:tcPr>
          <w:p w14:paraId="14659C1F"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Criteria</w:t>
            </w:r>
          </w:p>
        </w:tc>
        <w:tc>
          <w:tcPr>
            <w:tcW w:w="1058" w:type="dxa"/>
            <w:vAlign w:val="center"/>
          </w:tcPr>
          <w:p w14:paraId="19231C45"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1</w:t>
            </w:r>
          </w:p>
        </w:tc>
        <w:tc>
          <w:tcPr>
            <w:tcW w:w="1058" w:type="dxa"/>
            <w:vAlign w:val="center"/>
          </w:tcPr>
          <w:p w14:paraId="73002FB9"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w:t>
            </w:r>
          </w:p>
        </w:tc>
        <w:tc>
          <w:tcPr>
            <w:tcW w:w="1058" w:type="dxa"/>
            <w:vAlign w:val="center"/>
          </w:tcPr>
          <w:p w14:paraId="6933AFEF"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3</w:t>
            </w:r>
          </w:p>
        </w:tc>
        <w:tc>
          <w:tcPr>
            <w:tcW w:w="1058" w:type="dxa"/>
            <w:vAlign w:val="center"/>
          </w:tcPr>
          <w:p w14:paraId="7EF15B08"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4</w:t>
            </w:r>
          </w:p>
        </w:tc>
        <w:tc>
          <w:tcPr>
            <w:tcW w:w="1058" w:type="dxa"/>
            <w:vAlign w:val="center"/>
          </w:tcPr>
          <w:p w14:paraId="0C3E41BD"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5</w:t>
            </w:r>
          </w:p>
        </w:tc>
        <w:tc>
          <w:tcPr>
            <w:tcW w:w="971" w:type="dxa"/>
            <w:vAlign w:val="center"/>
          </w:tcPr>
          <w:p w14:paraId="4B6C9E7D"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6</w:t>
            </w:r>
          </w:p>
        </w:tc>
        <w:tc>
          <w:tcPr>
            <w:tcW w:w="971" w:type="dxa"/>
            <w:vAlign w:val="center"/>
          </w:tcPr>
          <w:p w14:paraId="21090F68"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7</w:t>
            </w:r>
          </w:p>
        </w:tc>
        <w:tc>
          <w:tcPr>
            <w:tcW w:w="971" w:type="dxa"/>
            <w:vAlign w:val="center"/>
          </w:tcPr>
          <w:p w14:paraId="73A0D521"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8</w:t>
            </w:r>
          </w:p>
        </w:tc>
        <w:tc>
          <w:tcPr>
            <w:tcW w:w="972" w:type="dxa"/>
            <w:vAlign w:val="center"/>
          </w:tcPr>
          <w:p w14:paraId="7C1D56B5"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9</w:t>
            </w:r>
          </w:p>
        </w:tc>
        <w:tc>
          <w:tcPr>
            <w:tcW w:w="972" w:type="dxa"/>
            <w:vAlign w:val="center"/>
          </w:tcPr>
          <w:p w14:paraId="0C946A66"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10</w:t>
            </w:r>
          </w:p>
        </w:tc>
      </w:tr>
      <w:tr w:rsidR="00716277" w14:paraId="3ACDB05F" w14:textId="77777777" w:rsidTr="00A177A0">
        <w:tc>
          <w:tcPr>
            <w:tcW w:w="1162" w:type="dxa"/>
            <w:vAlign w:val="center"/>
          </w:tcPr>
          <w:p w14:paraId="2426BCF6"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AIC(n)</w:t>
            </w:r>
          </w:p>
        </w:tc>
        <w:tc>
          <w:tcPr>
            <w:tcW w:w="1058" w:type="dxa"/>
            <w:vAlign w:val="center"/>
          </w:tcPr>
          <w:p w14:paraId="7D2BE4EF"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-2.7</w:t>
            </w:r>
            <w:r>
              <w:rPr>
                <w:rFonts w:ascii="Times New Roman" w:eastAsia="Malgun Gothic" w:hAnsi="Times New Roman" w:cs="Times New Roman"/>
              </w:rPr>
              <w:t>1</w:t>
            </w:r>
          </w:p>
        </w:tc>
        <w:tc>
          <w:tcPr>
            <w:tcW w:w="1058" w:type="dxa"/>
            <w:vAlign w:val="center"/>
          </w:tcPr>
          <w:p w14:paraId="17FA8E2D"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-3.0</w:t>
            </w:r>
            <w:r>
              <w:rPr>
                <w:rFonts w:ascii="Times New Roman" w:eastAsia="Malgun Gothic" w:hAnsi="Times New Roman" w:cs="Times New Roman"/>
              </w:rPr>
              <w:t>7</w:t>
            </w:r>
          </w:p>
        </w:tc>
        <w:tc>
          <w:tcPr>
            <w:tcW w:w="1058" w:type="dxa"/>
            <w:vAlign w:val="center"/>
          </w:tcPr>
          <w:p w14:paraId="022D16AA"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-3.1</w:t>
            </w:r>
            <w:r>
              <w:rPr>
                <w:rFonts w:ascii="Times New Roman" w:eastAsia="Malgun Gothic" w:hAnsi="Times New Roman" w:cs="Times New Roman"/>
              </w:rPr>
              <w:t>1</w:t>
            </w:r>
          </w:p>
        </w:tc>
        <w:tc>
          <w:tcPr>
            <w:tcW w:w="1058" w:type="dxa"/>
            <w:vAlign w:val="center"/>
          </w:tcPr>
          <w:p w14:paraId="16CB21B8"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-3.55</w:t>
            </w:r>
          </w:p>
        </w:tc>
        <w:tc>
          <w:tcPr>
            <w:tcW w:w="1058" w:type="dxa"/>
            <w:vAlign w:val="center"/>
          </w:tcPr>
          <w:p w14:paraId="09D95EE6"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-3.72</w:t>
            </w:r>
          </w:p>
        </w:tc>
        <w:tc>
          <w:tcPr>
            <w:tcW w:w="971" w:type="dxa"/>
            <w:vAlign w:val="center"/>
          </w:tcPr>
          <w:p w14:paraId="731A59DF"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-3.7</w:t>
            </w:r>
            <w:r>
              <w:rPr>
                <w:rFonts w:ascii="Times New Roman" w:eastAsia="Malgun Gothic" w:hAnsi="Times New Roman" w:cs="Times New Roman"/>
              </w:rPr>
              <w:t>5</w:t>
            </w:r>
          </w:p>
        </w:tc>
        <w:tc>
          <w:tcPr>
            <w:tcW w:w="971" w:type="dxa"/>
            <w:vAlign w:val="center"/>
          </w:tcPr>
          <w:p w14:paraId="54F6A251"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w:t>
            </w:r>
            <w:r w:rsidRPr="007671FA">
              <w:rPr>
                <w:rFonts w:ascii="Times New Roman" w:eastAsia="Malgun Gothic" w:hAnsi="Times New Roman" w:cs="Times New Roman" w:hint="eastAsia"/>
              </w:rPr>
              <w:t>3.79</w:t>
            </w:r>
          </w:p>
        </w:tc>
        <w:tc>
          <w:tcPr>
            <w:tcW w:w="971" w:type="dxa"/>
            <w:vAlign w:val="center"/>
          </w:tcPr>
          <w:p w14:paraId="14BDE342"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-4.0</w:t>
            </w:r>
            <w:r w:rsidRPr="007671FA">
              <w:rPr>
                <w:rFonts w:ascii="Times New Roman" w:eastAsia="Malgun Gothic" w:hAnsi="Times New Roman" w:cs="Times New Roman" w:hint="eastAsia"/>
              </w:rPr>
              <w:t>5</w:t>
            </w:r>
          </w:p>
        </w:tc>
        <w:tc>
          <w:tcPr>
            <w:tcW w:w="972" w:type="dxa"/>
            <w:vAlign w:val="center"/>
          </w:tcPr>
          <w:p w14:paraId="53C408AF"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-4.0</w:t>
            </w:r>
            <w:r w:rsidRPr="007671FA">
              <w:rPr>
                <w:rFonts w:ascii="Times New Roman" w:eastAsia="Malgun Gothic" w:hAnsi="Times New Roman" w:cs="Times New Roman" w:hint="eastAsia"/>
              </w:rPr>
              <w:t>3</w:t>
            </w:r>
          </w:p>
        </w:tc>
        <w:tc>
          <w:tcPr>
            <w:tcW w:w="972" w:type="dxa"/>
            <w:shd w:val="clear" w:color="auto" w:fill="FFFF00"/>
            <w:vAlign w:val="center"/>
          </w:tcPr>
          <w:p w14:paraId="228DF3C6"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-4.1</w:t>
            </w:r>
            <w:r>
              <w:rPr>
                <w:rFonts w:ascii="Times New Roman" w:eastAsia="Malgun Gothic" w:hAnsi="Times New Roman" w:cs="Times New Roman"/>
              </w:rPr>
              <w:t>5</w:t>
            </w:r>
          </w:p>
        </w:tc>
      </w:tr>
      <w:tr w:rsidR="00716277" w14:paraId="782AE779" w14:textId="77777777" w:rsidTr="00A177A0">
        <w:tc>
          <w:tcPr>
            <w:tcW w:w="1162" w:type="dxa"/>
            <w:vAlign w:val="center"/>
          </w:tcPr>
          <w:p w14:paraId="7FF40440"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HQ(n)</w:t>
            </w:r>
          </w:p>
        </w:tc>
        <w:tc>
          <w:tcPr>
            <w:tcW w:w="1058" w:type="dxa"/>
            <w:vAlign w:val="center"/>
          </w:tcPr>
          <w:p w14:paraId="4F53FFFD"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-2.5</w:t>
            </w:r>
            <w:r>
              <w:rPr>
                <w:rFonts w:ascii="Times New Roman" w:eastAsia="Malgun Gothic" w:hAnsi="Times New Roman" w:cs="Times New Roman"/>
              </w:rPr>
              <w:t>1</w:t>
            </w:r>
          </w:p>
        </w:tc>
        <w:tc>
          <w:tcPr>
            <w:tcW w:w="1058" w:type="dxa"/>
            <w:vAlign w:val="center"/>
          </w:tcPr>
          <w:p w14:paraId="64906699"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-2.7</w:t>
            </w:r>
            <w:r>
              <w:rPr>
                <w:rFonts w:ascii="Times New Roman" w:eastAsia="Malgun Gothic" w:hAnsi="Times New Roman" w:cs="Times New Roman"/>
              </w:rPr>
              <w:t>4</w:t>
            </w:r>
          </w:p>
        </w:tc>
        <w:tc>
          <w:tcPr>
            <w:tcW w:w="1058" w:type="dxa"/>
            <w:vAlign w:val="center"/>
          </w:tcPr>
          <w:p w14:paraId="12BCE5AF"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-2.6</w:t>
            </w:r>
            <w:r>
              <w:rPr>
                <w:rFonts w:ascii="Times New Roman" w:eastAsia="Malgun Gothic" w:hAnsi="Times New Roman" w:cs="Times New Roman"/>
              </w:rPr>
              <w:t>6</w:t>
            </w:r>
          </w:p>
        </w:tc>
        <w:tc>
          <w:tcPr>
            <w:tcW w:w="1058" w:type="dxa"/>
            <w:vAlign w:val="center"/>
          </w:tcPr>
          <w:p w14:paraId="73C425D7"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-2.98</w:t>
            </w:r>
          </w:p>
        </w:tc>
        <w:tc>
          <w:tcPr>
            <w:tcW w:w="1058" w:type="dxa"/>
            <w:shd w:val="clear" w:color="auto" w:fill="FFFF00"/>
            <w:vAlign w:val="center"/>
          </w:tcPr>
          <w:p w14:paraId="46EC9CF2"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-3.03</w:t>
            </w:r>
          </w:p>
        </w:tc>
        <w:tc>
          <w:tcPr>
            <w:tcW w:w="971" w:type="dxa"/>
            <w:vAlign w:val="center"/>
          </w:tcPr>
          <w:p w14:paraId="7E4DC2B5"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w:t>
            </w:r>
            <w:r w:rsidRPr="007671FA">
              <w:rPr>
                <w:rFonts w:ascii="Times New Roman" w:eastAsia="Malgun Gothic" w:hAnsi="Times New Roman" w:cs="Times New Roman" w:hint="eastAsia"/>
              </w:rPr>
              <w:t>9</w:t>
            </w:r>
            <w:r>
              <w:rPr>
                <w:rFonts w:ascii="Times New Roman" w:eastAsia="Malgun Gothic" w:hAnsi="Times New Roman" w:cs="Times New Roman"/>
              </w:rPr>
              <w:t>4</w:t>
            </w:r>
          </w:p>
        </w:tc>
        <w:tc>
          <w:tcPr>
            <w:tcW w:w="971" w:type="dxa"/>
            <w:vAlign w:val="center"/>
          </w:tcPr>
          <w:p w14:paraId="08338EF2"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w:t>
            </w:r>
            <w:r w:rsidRPr="007671FA">
              <w:rPr>
                <w:rFonts w:ascii="Times New Roman" w:eastAsia="Malgun Gothic" w:hAnsi="Times New Roman" w:cs="Times New Roman" w:hint="eastAsia"/>
              </w:rPr>
              <w:t>8</w:t>
            </w:r>
            <w:r>
              <w:rPr>
                <w:rFonts w:ascii="Times New Roman" w:eastAsia="Malgun Gothic" w:hAnsi="Times New Roman" w:cs="Times New Roman"/>
              </w:rPr>
              <w:t>6</w:t>
            </w:r>
          </w:p>
        </w:tc>
        <w:tc>
          <w:tcPr>
            <w:tcW w:w="971" w:type="dxa"/>
            <w:vAlign w:val="center"/>
          </w:tcPr>
          <w:p w14:paraId="3CFF90B0"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w:t>
            </w:r>
            <w:r w:rsidRPr="007671FA">
              <w:rPr>
                <w:rFonts w:ascii="Times New Roman" w:eastAsia="Malgun Gothic" w:hAnsi="Times New Roman" w:cs="Times New Roman" w:hint="eastAsia"/>
              </w:rPr>
              <w:t>99</w:t>
            </w:r>
          </w:p>
        </w:tc>
        <w:tc>
          <w:tcPr>
            <w:tcW w:w="972" w:type="dxa"/>
            <w:vAlign w:val="center"/>
          </w:tcPr>
          <w:p w14:paraId="335E8150"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-2.8</w:t>
            </w:r>
            <w:r w:rsidRPr="007671FA">
              <w:rPr>
                <w:rFonts w:ascii="Times New Roman" w:eastAsia="Malgun Gothic" w:hAnsi="Times New Roman" w:cs="Times New Roman" w:hint="eastAsia"/>
              </w:rPr>
              <w:t>5</w:t>
            </w:r>
          </w:p>
        </w:tc>
        <w:tc>
          <w:tcPr>
            <w:tcW w:w="972" w:type="dxa"/>
            <w:vAlign w:val="center"/>
          </w:tcPr>
          <w:p w14:paraId="4B939794"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-2.8</w:t>
            </w:r>
            <w:r w:rsidRPr="007671FA">
              <w:rPr>
                <w:rFonts w:ascii="Times New Roman" w:eastAsia="Malgun Gothic" w:hAnsi="Times New Roman" w:cs="Times New Roman" w:hint="eastAsia"/>
              </w:rPr>
              <w:t>5</w:t>
            </w:r>
          </w:p>
        </w:tc>
      </w:tr>
      <w:tr w:rsidR="00716277" w14:paraId="71315C29" w14:textId="77777777" w:rsidTr="00A177A0">
        <w:tc>
          <w:tcPr>
            <w:tcW w:w="1162" w:type="dxa"/>
            <w:vAlign w:val="center"/>
          </w:tcPr>
          <w:p w14:paraId="20FEFD94"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SC(n)</w:t>
            </w:r>
          </w:p>
        </w:tc>
        <w:tc>
          <w:tcPr>
            <w:tcW w:w="1058" w:type="dxa"/>
            <w:vAlign w:val="center"/>
          </w:tcPr>
          <w:p w14:paraId="7152CA8A"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-2.19</w:t>
            </w:r>
          </w:p>
        </w:tc>
        <w:tc>
          <w:tcPr>
            <w:tcW w:w="1058" w:type="dxa"/>
            <w:shd w:val="clear" w:color="auto" w:fill="FFFF00"/>
            <w:vAlign w:val="center"/>
          </w:tcPr>
          <w:p w14:paraId="1030FDAE" w14:textId="77777777" w:rsidR="00716277" w:rsidRPr="007E6EC0" w:rsidRDefault="00716277" w:rsidP="00A177A0">
            <w:pPr>
              <w:spacing w:line="276" w:lineRule="auto"/>
              <w:rPr>
                <w:rFonts w:ascii="Times New Roman" w:eastAsia="Malgun Gothic" w:hAnsi="Times New Roman" w:cs="Times New Roman"/>
              </w:rPr>
            </w:pPr>
            <w:r w:rsidRPr="007E6EC0">
              <w:rPr>
                <w:rFonts w:ascii="Times New Roman" w:eastAsia="Malgun Gothic" w:hAnsi="Times New Roman" w:cs="Times New Roman"/>
              </w:rPr>
              <w:t>-2.24</w:t>
            </w:r>
          </w:p>
        </w:tc>
        <w:tc>
          <w:tcPr>
            <w:tcW w:w="1058" w:type="dxa"/>
            <w:vAlign w:val="center"/>
          </w:tcPr>
          <w:p w14:paraId="4280C51E"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-1.96</w:t>
            </w:r>
          </w:p>
        </w:tc>
        <w:tc>
          <w:tcPr>
            <w:tcW w:w="1058" w:type="dxa"/>
            <w:vAlign w:val="center"/>
          </w:tcPr>
          <w:p w14:paraId="6116DF9F"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w:t>
            </w:r>
            <w:r w:rsidRPr="007671FA">
              <w:rPr>
                <w:rFonts w:ascii="Times New Roman" w:eastAsia="Malgun Gothic" w:hAnsi="Times New Roman" w:cs="Times New Roman" w:hint="eastAsia"/>
              </w:rPr>
              <w:t>2.10</w:t>
            </w:r>
          </w:p>
        </w:tc>
        <w:tc>
          <w:tcPr>
            <w:tcW w:w="1058" w:type="dxa"/>
            <w:vAlign w:val="center"/>
          </w:tcPr>
          <w:p w14:paraId="458DBACA"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-1.</w:t>
            </w:r>
            <w:r w:rsidRPr="007671FA">
              <w:rPr>
                <w:rFonts w:ascii="Times New Roman" w:eastAsia="Malgun Gothic" w:hAnsi="Times New Roman" w:cs="Times New Roman" w:hint="eastAsia"/>
              </w:rPr>
              <w:t>9</w:t>
            </w:r>
            <w:r>
              <w:rPr>
                <w:rFonts w:ascii="Times New Roman" w:eastAsia="Malgun Gothic" w:hAnsi="Times New Roman" w:cs="Times New Roman"/>
              </w:rPr>
              <w:t>6</w:t>
            </w:r>
          </w:p>
        </w:tc>
        <w:tc>
          <w:tcPr>
            <w:tcW w:w="971" w:type="dxa"/>
            <w:vAlign w:val="center"/>
          </w:tcPr>
          <w:p w14:paraId="6943C407"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-1.</w:t>
            </w:r>
            <w:r w:rsidRPr="007671FA">
              <w:rPr>
                <w:rFonts w:ascii="Times New Roman" w:eastAsia="Malgun Gothic" w:hAnsi="Times New Roman" w:cs="Times New Roman" w:hint="eastAsia"/>
              </w:rPr>
              <w:t>67</w:t>
            </w:r>
          </w:p>
        </w:tc>
        <w:tc>
          <w:tcPr>
            <w:tcW w:w="971" w:type="dxa"/>
            <w:vAlign w:val="center"/>
          </w:tcPr>
          <w:p w14:paraId="67C428EA"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-1.</w:t>
            </w:r>
            <w:r w:rsidRPr="007671FA">
              <w:rPr>
                <w:rFonts w:ascii="Times New Roman" w:eastAsia="Malgun Gothic" w:hAnsi="Times New Roman" w:cs="Times New Roman" w:hint="eastAsia"/>
              </w:rPr>
              <w:t>40</w:t>
            </w:r>
          </w:p>
        </w:tc>
        <w:tc>
          <w:tcPr>
            <w:tcW w:w="971" w:type="dxa"/>
            <w:vAlign w:val="center"/>
          </w:tcPr>
          <w:p w14:paraId="6B629A2F"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-1.35</w:t>
            </w:r>
          </w:p>
        </w:tc>
        <w:tc>
          <w:tcPr>
            <w:tcW w:w="972" w:type="dxa"/>
            <w:vAlign w:val="center"/>
          </w:tcPr>
          <w:p w14:paraId="40C1DC9C"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-1.0</w:t>
            </w:r>
            <w:r>
              <w:rPr>
                <w:rFonts w:ascii="Times New Roman" w:eastAsia="Malgun Gothic" w:hAnsi="Times New Roman" w:cs="Times New Roman"/>
              </w:rPr>
              <w:t>2</w:t>
            </w:r>
          </w:p>
        </w:tc>
        <w:tc>
          <w:tcPr>
            <w:tcW w:w="972" w:type="dxa"/>
            <w:vAlign w:val="center"/>
          </w:tcPr>
          <w:p w14:paraId="683916EC" w14:textId="77777777" w:rsidR="00716277"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-0.8</w:t>
            </w:r>
            <w:r>
              <w:rPr>
                <w:rFonts w:ascii="Times New Roman" w:eastAsia="Malgun Gothic" w:hAnsi="Times New Roman" w:cs="Times New Roman"/>
              </w:rPr>
              <w:t>3</w:t>
            </w:r>
          </w:p>
        </w:tc>
      </w:tr>
      <w:tr w:rsidR="00716277" w14:paraId="69919DAA" w14:textId="77777777" w:rsidTr="00A177A0">
        <w:tc>
          <w:tcPr>
            <w:tcW w:w="1162" w:type="dxa"/>
            <w:vAlign w:val="center"/>
          </w:tcPr>
          <w:p w14:paraId="0DA9777A"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FPE(n)</w:t>
            </w:r>
          </w:p>
        </w:tc>
        <w:tc>
          <w:tcPr>
            <w:tcW w:w="1058" w:type="dxa"/>
            <w:vAlign w:val="center"/>
          </w:tcPr>
          <w:p w14:paraId="39592A0F"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w:t>
            </w:r>
            <w:r>
              <w:rPr>
                <w:rFonts w:ascii="Times New Roman" w:eastAsia="Malgun Gothic" w:hAnsi="Times New Roman" w:cs="Times New Roman"/>
              </w:rPr>
              <w:t>7</w:t>
            </w:r>
          </w:p>
        </w:tc>
        <w:tc>
          <w:tcPr>
            <w:tcW w:w="1058" w:type="dxa"/>
            <w:vAlign w:val="center"/>
          </w:tcPr>
          <w:p w14:paraId="2CAF57C5"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w:t>
            </w:r>
            <w:r>
              <w:rPr>
                <w:rFonts w:ascii="Times New Roman" w:eastAsia="Malgun Gothic" w:hAnsi="Times New Roman" w:cs="Times New Roman"/>
              </w:rPr>
              <w:t>5</w:t>
            </w:r>
          </w:p>
        </w:tc>
        <w:tc>
          <w:tcPr>
            <w:tcW w:w="1058" w:type="dxa"/>
            <w:vAlign w:val="center"/>
          </w:tcPr>
          <w:p w14:paraId="5DC6DDA2"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w:t>
            </w:r>
            <w:r>
              <w:rPr>
                <w:rFonts w:ascii="Times New Roman" w:eastAsia="Malgun Gothic" w:hAnsi="Times New Roman" w:cs="Times New Roman"/>
              </w:rPr>
              <w:t>5</w:t>
            </w:r>
          </w:p>
        </w:tc>
        <w:tc>
          <w:tcPr>
            <w:tcW w:w="1058" w:type="dxa"/>
            <w:vAlign w:val="center"/>
          </w:tcPr>
          <w:p w14:paraId="31316B1E"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w:t>
            </w:r>
            <w:r>
              <w:rPr>
                <w:rFonts w:ascii="Times New Roman" w:eastAsia="Malgun Gothic" w:hAnsi="Times New Roman" w:cs="Times New Roman"/>
              </w:rPr>
              <w:t>3</w:t>
            </w:r>
          </w:p>
        </w:tc>
        <w:tc>
          <w:tcPr>
            <w:tcW w:w="1058" w:type="dxa"/>
            <w:vAlign w:val="center"/>
          </w:tcPr>
          <w:p w14:paraId="4FE71A84"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w:t>
            </w:r>
            <w:r>
              <w:rPr>
                <w:rFonts w:ascii="Times New Roman" w:eastAsia="Malgun Gothic" w:hAnsi="Times New Roman" w:cs="Times New Roman"/>
              </w:rPr>
              <w:t>3</w:t>
            </w:r>
          </w:p>
        </w:tc>
        <w:tc>
          <w:tcPr>
            <w:tcW w:w="971" w:type="dxa"/>
            <w:vAlign w:val="center"/>
          </w:tcPr>
          <w:p w14:paraId="6FF111C4"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w:t>
            </w:r>
            <w:r>
              <w:rPr>
                <w:rFonts w:ascii="Times New Roman" w:eastAsia="Malgun Gothic" w:hAnsi="Times New Roman" w:cs="Times New Roman"/>
              </w:rPr>
              <w:t>3</w:t>
            </w:r>
          </w:p>
        </w:tc>
        <w:tc>
          <w:tcPr>
            <w:tcW w:w="971" w:type="dxa"/>
            <w:vAlign w:val="center"/>
          </w:tcPr>
          <w:p w14:paraId="0E4387EA"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w:t>
            </w:r>
            <w:r>
              <w:rPr>
                <w:rFonts w:ascii="Times New Roman" w:eastAsia="Malgun Gothic" w:hAnsi="Times New Roman" w:cs="Times New Roman"/>
              </w:rPr>
              <w:t>3</w:t>
            </w:r>
          </w:p>
        </w:tc>
        <w:tc>
          <w:tcPr>
            <w:tcW w:w="971" w:type="dxa"/>
            <w:shd w:val="clear" w:color="auto" w:fill="FFFF00"/>
            <w:vAlign w:val="center"/>
          </w:tcPr>
          <w:p w14:paraId="4FC1CB49"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0.02</w:t>
            </w:r>
          </w:p>
        </w:tc>
        <w:tc>
          <w:tcPr>
            <w:tcW w:w="972" w:type="dxa"/>
            <w:vAlign w:val="center"/>
          </w:tcPr>
          <w:p w14:paraId="58A0A0F6"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0.02</w:t>
            </w:r>
          </w:p>
        </w:tc>
        <w:tc>
          <w:tcPr>
            <w:tcW w:w="972" w:type="dxa"/>
            <w:vAlign w:val="center"/>
          </w:tcPr>
          <w:p w14:paraId="254BD75C" w14:textId="77777777" w:rsidR="00716277" w:rsidRPr="007671FA" w:rsidRDefault="00716277" w:rsidP="00A177A0">
            <w:pPr>
              <w:spacing w:line="276" w:lineRule="auto"/>
              <w:rPr>
                <w:rFonts w:ascii="Times New Roman" w:eastAsia="Malgun Gothic" w:hAnsi="Times New Roman" w:cs="Times New Roman"/>
              </w:rPr>
            </w:pPr>
            <w:r w:rsidRPr="007671FA">
              <w:rPr>
                <w:rFonts w:ascii="Times New Roman" w:eastAsia="Malgun Gothic" w:hAnsi="Times New Roman" w:cs="Times New Roman"/>
              </w:rPr>
              <w:t>0.02</w:t>
            </w:r>
          </w:p>
        </w:tc>
      </w:tr>
    </w:tbl>
    <w:p w14:paraId="125A7A46" w14:textId="77777777" w:rsidR="00716277" w:rsidRPr="007671FA" w:rsidRDefault="00716277" w:rsidP="00716277">
      <w:pPr>
        <w:spacing w:line="276" w:lineRule="auto"/>
        <w:rPr>
          <w:rFonts w:ascii="Times New Roman" w:eastAsia="Malgun Gothic" w:hAnsi="Times New Roman" w:cs="Times New Roman"/>
        </w:rPr>
      </w:pPr>
      <w:r w:rsidRPr="007671FA">
        <w:rPr>
          <w:rFonts w:ascii="Times New Roman" w:eastAsia="Malgun Gothic" w:hAnsi="Times New Roman" w:cs="Times New Roman"/>
        </w:rPr>
        <w:t>We considered four key criteria for determining the optimal lag length in our VAR model: Akaike Information Criterion (AIC), Hannan-Quinn Criterion (HQ), Schwarz Criterion (SC, also known as BIC), and Final Prediction Error (FPE). Each of these criteria offers a different perspective on balancing model fit and complexity. The AIC and FPE tend to favor models with more lags, potentially capturing more intricate relationships but also increasing the risk of overfitting. On the other hand, the HQ and SC criteria emphasize model simplicity, penalizing the inclusion of too many lags to reduce the chances of overfitting and improving model generalizability.</w:t>
      </w:r>
    </w:p>
    <w:p w14:paraId="5A3EF1E6" w14:textId="77777777" w:rsidR="00716277" w:rsidRPr="00716277" w:rsidRDefault="00716277" w:rsidP="00716277">
      <w:pPr>
        <w:spacing w:line="276" w:lineRule="auto"/>
        <w:rPr>
          <w:rFonts w:ascii="Times New Roman" w:eastAsia="Malgun Gothic" w:hAnsi="Times New Roman" w:cs="Times New Roman"/>
        </w:rPr>
      </w:pPr>
      <w:r w:rsidRPr="00B21CFC">
        <w:rPr>
          <w:rFonts w:ascii="Times New Roman" w:eastAsia="Malgun Gothic" w:hAnsi="Times New Roman" w:cs="Times New Roman"/>
        </w:rPr>
        <w:t>After evaluating all criteria, we selected a 2-week lag based on the Schwarz Criterion (SC), which is known for its conservative nature in selecting model parameters. This choice is particularly important for the VARX model, as it allows us to capture the dynamic interactions between endogenous variables (policy, mobility, and COVID-19 incidences) while accounting for the influence of exogenous factors such as vaccination rates. Furthermore, selecting a shorter lag aligns with practical considerations in pandemic studies, where the effects of policy measures, such as lockdowns or mobility restrictions, often manifest within a short time frame. Therefore, the 2-week lag strikes a balance between capturing the necessary temporal dynamics and maintaining a parsimonious model that is interpretable and relevant for analyzing the interactions between policy, mobility, vaccination rates, and COVID-19 incidence rates.</w:t>
      </w:r>
      <w:r>
        <w:rPr>
          <w:rFonts w:ascii="Times New Roman" w:eastAsia="Malgun Gothic" w:hAnsi="Times New Roman" w:cs="Times New Roman"/>
        </w:rPr>
        <w:t xml:space="preserve"> </w:t>
      </w:r>
      <w:r w:rsidRPr="00716277">
        <w:rPr>
          <w:rFonts w:ascii="Times New Roman" w:eastAsia="Malgun Gothic" w:hAnsi="Times New Roman" w:cs="Times New Roman"/>
        </w:rPr>
        <w:t>Consistent with our approach, a 2-week lag was also optimal in all other regions analyzed, ensuring comparability of results.</w:t>
      </w:r>
    </w:p>
    <w:p w14:paraId="3411780B" w14:textId="3BD2FC4B" w:rsidR="00716277" w:rsidRPr="00716277" w:rsidRDefault="00716277" w:rsidP="00716277">
      <w:pPr>
        <w:spacing w:line="276" w:lineRule="auto"/>
        <w:rPr>
          <w:rFonts w:ascii="Times New Roman" w:eastAsia="Malgun Gothic" w:hAnsi="Times New Roman" w:cs="Times New Roman"/>
        </w:rPr>
      </w:pPr>
    </w:p>
    <w:p w14:paraId="1D3702B5" w14:textId="77777777" w:rsidR="00716277" w:rsidRDefault="00716277" w:rsidP="00716277">
      <w:pPr>
        <w:spacing w:line="276" w:lineRule="auto"/>
        <w:rPr>
          <w:rFonts w:ascii="Times New Roman" w:eastAsia="Malgun Gothic" w:hAnsi="Times New Roman" w:cs="Times New Roman"/>
        </w:rPr>
      </w:pPr>
    </w:p>
    <w:p w14:paraId="626FA2E2" w14:textId="77777777" w:rsidR="00716277" w:rsidRPr="007671FA" w:rsidRDefault="00716277" w:rsidP="00716277">
      <w:pPr>
        <w:spacing w:line="276" w:lineRule="auto"/>
        <w:rPr>
          <w:rFonts w:ascii="Times New Roman" w:eastAsia="Malgun Gothic" w:hAnsi="Times New Roman" w:cs="Times New Roman"/>
          <w:b/>
          <w:bCs/>
        </w:rPr>
      </w:pPr>
      <w:r w:rsidRPr="007671FA">
        <w:rPr>
          <w:rFonts w:ascii="Times New Roman" w:eastAsia="Malgun Gothic" w:hAnsi="Times New Roman" w:cs="Times New Roman"/>
          <w:b/>
          <w:bCs/>
        </w:rPr>
        <w:t>Unit root test</w:t>
      </w:r>
    </w:p>
    <w:p w14:paraId="6FC89CBA" w14:textId="77777777" w:rsidR="00716277" w:rsidRDefault="00716277" w:rsidP="00716277">
      <w:pPr>
        <w:spacing w:line="276" w:lineRule="auto"/>
        <w:rPr>
          <w:rFonts w:ascii="Times New Roman" w:eastAsia="Malgun Gothic" w:hAnsi="Times New Roman" w:cs="Times New Roman"/>
        </w:rPr>
      </w:pPr>
      <w:r>
        <w:rPr>
          <w:rFonts w:ascii="Times New Roman" w:eastAsia="Malgun Gothic" w:hAnsi="Times New Roman" w:cs="Times New Roman"/>
        </w:rPr>
        <w:t>Figure S1</w:t>
      </w:r>
    </w:p>
    <w:p w14:paraId="7E318999" w14:textId="77777777" w:rsidR="00716277" w:rsidRDefault="00716277" w:rsidP="00716277">
      <w:pPr>
        <w:spacing w:line="276" w:lineRule="auto"/>
        <w:rPr>
          <w:rFonts w:ascii="Times New Roman" w:eastAsia="Malgun Gothic" w:hAnsi="Times New Roman" w:cs="Times New Roman"/>
        </w:rPr>
      </w:pPr>
      <w:r>
        <w:rPr>
          <w:rFonts w:ascii="Times New Roman" w:eastAsia="Malgun Gothic" w:hAnsi="Times New Roman" w:cs="Times New Roman"/>
          <w:noProof/>
        </w:rPr>
        <w:lastRenderedPageBreak/>
        <w:drawing>
          <wp:inline distT="0" distB="0" distL="0" distR="0" wp14:anchorId="2FD2198A" wp14:editId="2A2A7F3A">
            <wp:extent cx="5274310" cy="5274310"/>
            <wp:effectExtent l="0" t="0" r="0" b="0"/>
            <wp:docPr id="1872982880"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82880" name="图片 2" descr="图表&#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4D78A05A" w14:textId="77777777" w:rsidR="00716277" w:rsidRPr="00B21CFC" w:rsidRDefault="00716277" w:rsidP="00716277">
      <w:pPr>
        <w:spacing w:line="276" w:lineRule="auto"/>
        <w:rPr>
          <w:rFonts w:ascii="Times New Roman" w:eastAsia="Malgun Gothic" w:hAnsi="Times New Roman" w:cs="Times New Roman"/>
        </w:rPr>
      </w:pPr>
      <w:r w:rsidRPr="00B21CFC">
        <w:rPr>
          <w:rFonts w:ascii="Times New Roman" w:eastAsia="Malgun Gothic" w:hAnsi="Times New Roman" w:cs="Times New Roman"/>
        </w:rPr>
        <w:t>Roots of the characteristic polynomial:</w:t>
      </w:r>
    </w:p>
    <w:p w14:paraId="27AC7A95" w14:textId="77777777" w:rsidR="00716277" w:rsidRDefault="00716277" w:rsidP="00716277">
      <w:pPr>
        <w:spacing w:line="276" w:lineRule="auto"/>
        <w:rPr>
          <w:rFonts w:ascii="Times New Roman" w:eastAsia="Malgun Gothic" w:hAnsi="Times New Roman" w:cs="Times New Roman"/>
        </w:rPr>
      </w:pPr>
      <w:r w:rsidRPr="00B21CFC">
        <w:rPr>
          <w:rFonts w:ascii="Times New Roman" w:eastAsia="Malgun Gothic" w:hAnsi="Times New Roman" w:cs="Times New Roman"/>
        </w:rPr>
        <w:t>0.6985 0.6985 0.6831 0.6831 0.6097 0.4306</w:t>
      </w:r>
    </w:p>
    <w:p w14:paraId="56C3F49D" w14:textId="77777777" w:rsidR="00327139" w:rsidRDefault="00327139" w:rsidP="00716277">
      <w:pPr>
        <w:spacing w:line="276" w:lineRule="auto"/>
        <w:rPr>
          <w:rFonts w:ascii="Times New Roman" w:eastAsia="Malgun Gothic" w:hAnsi="Times New Roman" w:cs="Times New Roman" w:hint="eastAsia"/>
        </w:rPr>
      </w:pPr>
    </w:p>
    <w:p w14:paraId="0D3DD5D5" w14:textId="77777777" w:rsidR="00327139" w:rsidRDefault="00327139" w:rsidP="00327139">
      <w:pPr>
        <w:spacing w:line="276" w:lineRule="auto"/>
        <w:rPr>
          <w:rFonts w:ascii="Times New Roman" w:eastAsia="Malgun Gothic" w:hAnsi="Times New Roman" w:cs="Times New Roman"/>
        </w:rPr>
      </w:pPr>
      <w:r w:rsidRPr="00327139">
        <w:rPr>
          <w:rFonts w:ascii="Times New Roman" w:eastAsia="Malgun Gothic" w:hAnsi="Times New Roman" w:cs="Times New Roman"/>
        </w:rPr>
        <w:t>The characteristic polynomial roots are derived from the coefficients of the VARX model and represent the dynamics of the time series process. Specifically, they help determine if the process is stable over time. In a stable VARX model, the influence of shocks or past values diminishes over time rather than amplifying, leading to a stationary process.</w:t>
      </w:r>
    </w:p>
    <w:p w14:paraId="07EA6038" w14:textId="77777777" w:rsidR="00327139" w:rsidRPr="00327139" w:rsidRDefault="00327139" w:rsidP="00327139">
      <w:pPr>
        <w:spacing w:line="276" w:lineRule="auto"/>
        <w:rPr>
          <w:rFonts w:ascii="Times New Roman" w:eastAsia="Malgun Gothic" w:hAnsi="Times New Roman" w:cs="Times New Roman"/>
        </w:rPr>
      </w:pPr>
    </w:p>
    <w:p w14:paraId="184105DA" w14:textId="38D5CAD2" w:rsidR="00327139" w:rsidRDefault="00327139" w:rsidP="00327139">
      <w:pPr>
        <w:spacing w:line="276" w:lineRule="auto"/>
        <w:rPr>
          <w:rFonts w:ascii="Times New Roman" w:eastAsia="Malgun Gothic" w:hAnsi="Times New Roman" w:cs="Times New Roman"/>
        </w:rPr>
      </w:pPr>
      <w:r w:rsidRPr="00327139">
        <w:rPr>
          <w:rFonts w:ascii="Times New Roman" w:eastAsia="Malgun Gothic" w:hAnsi="Times New Roman" w:cs="Times New Roman"/>
        </w:rPr>
        <w:t>For the model to be stable, all roots of the characteristic polynomial must lie within the unit circle (i.e., have an absolute value less than one). This ensures that the time series will revert to its mean or equilibrium following a shock, rather than diverging over time. In our case, the roots all fall within the unit circle, confirming that the model is stable.</w:t>
      </w:r>
    </w:p>
    <w:p w14:paraId="735BA280" w14:textId="77777777" w:rsidR="00327139" w:rsidRPr="00327139" w:rsidRDefault="00327139" w:rsidP="00327139">
      <w:pPr>
        <w:spacing w:line="276" w:lineRule="auto"/>
        <w:rPr>
          <w:rFonts w:ascii="Times New Roman" w:eastAsia="Malgun Gothic" w:hAnsi="Times New Roman" w:cs="Times New Roman"/>
        </w:rPr>
      </w:pPr>
    </w:p>
    <w:p w14:paraId="393CED27" w14:textId="20DF26B7" w:rsidR="00327139" w:rsidRPr="00327139" w:rsidRDefault="00327139" w:rsidP="00327139">
      <w:pPr>
        <w:spacing w:line="276" w:lineRule="auto"/>
        <w:rPr>
          <w:rFonts w:ascii="Times New Roman" w:eastAsia="Malgun Gothic" w:hAnsi="Times New Roman" w:cs="Times New Roman"/>
        </w:rPr>
      </w:pPr>
      <w:r w:rsidRPr="00327139">
        <w:rPr>
          <w:rFonts w:ascii="Times New Roman" w:eastAsia="Malgun Gothic" w:hAnsi="Times New Roman" w:cs="Times New Roman"/>
        </w:rPr>
        <w:t>This stability check was performed across all models in each district</w:t>
      </w:r>
      <w:r>
        <w:rPr>
          <w:rFonts w:ascii="Times New Roman" w:eastAsia="Malgun Gothic" w:hAnsi="Times New Roman" w:cs="Times New Roman"/>
        </w:rPr>
        <w:t xml:space="preserve"> as well</w:t>
      </w:r>
      <w:r w:rsidRPr="00327139">
        <w:rPr>
          <w:rFonts w:ascii="Times New Roman" w:eastAsia="Malgun Gothic" w:hAnsi="Times New Roman" w:cs="Times New Roman"/>
        </w:rPr>
        <w:t xml:space="preserve">, with all roots confirming stability as each root has an absolute value less than 1. This validation supports the </w:t>
      </w:r>
      <w:r w:rsidRPr="00327139">
        <w:rPr>
          <w:rFonts w:ascii="Times New Roman" w:eastAsia="Malgun Gothic" w:hAnsi="Times New Roman" w:cs="Times New Roman"/>
        </w:rPr>
        <w:lastRenderedPageBreak/>
        <w:t>robustness of our results and ensures that each district’s model is appropriate for interpreting long-term dynamics.</w:t>
      </w:r>
    </w:p>
    <w:p w14:paraId="5B7EEBA3" w14:textId="75B121CB" w:rsidR="001A559B" w:rsidRPr="00327139" w:rsidRDefault="001A559B" w:rsidP="00501B3D">
      <w:pPr>
        <w:rPr>
          <w:rFonts w:ascii="Times New Roman" w:eastAsia="宋体" w:hAnsi="Times New Roman" w:cs="Times New Roman"/>
          <w:kern w:val="0"/>
          <w:sz w:val="24"/>
          <w14:ligatures w14:val="none"/>
        </w:rPr>
      </w:pPr>
    </w:p>
    <w:sectPr w:rsidR="001A559B" w:rsidRPr="003271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BA914" w14:textId="77777777" w:rsidR="003E51E0" w:rsidRDefault="003E51E0">
      <w:r>
        <w:separator/>
      </w:r>
    </w:p>
  </w:endnote>
  <w:endnote w:type="continuationSeparator" w:id="0">
    <w:p w14:paraId="5FD17A4C" w14:textId="77777777" w:rsidR="003E51E0" w:rsidRDefault="003E5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C81DB" w14:textId="77777777" w:rsidR="00467925" w:rsidRDefault="00467925">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ED273" w14:textId="77777777" w:rsidR="00467925" w:rsidRDefault="00467925">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8B2F5" w14:textId="77777777" w:rsidR="00467925" w:rsidRDefault="00467925">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5A629" w14:textId="77777777" w:rsidR="003E51E0" w:rsidRDefault="003E51E0">
      <w:r>
        <w:separator/>
      </w:r>
    </w:p>
  </w:footnote>
  <w:footnote w:type="continuationSeparator" w:id="0">
    <w:p w14:paraId="2F4726F6" w14:textId="77777777" w:rsidR="003E51E0" w:rsidRDefault="003E5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C417A" w14:textId="77777777" w:rsidR="00467925" w:rsidRDefault="00467925">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FEDCD" w14:textId="77777777" w:rsidR="00467925" w:rsidRDefault="00467925">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7FAC6" w14:textId="77777777" w:rsidR="00467925" w:rsidRDefault="00467925">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F9D"/>
    <w:multiLevelType w:val="hybridMultilevel"/>
    <w:tmpl w:val="9348B5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16139C"/>
    <w:multiLevelType w:val="hybridMultilevel"/>
    <w:tmpl w:val="174C01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13225A0"/>
    <w:multiLevelType w:val="hybridMultilevel"/>
    <w:tmpl w:val="45CC14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3C16AA3"/>
    <w:multiLevelType w:val="multilevel"/>
    <w:tmpl w:val="598E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3346"/>
    <w:multiLevelType w:val="hybridMultilevel"/>
    <w:tmpl w:val="75C211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B983D51"/>
    <w:multiLevelType w:val="multilevel"/>
    <w:tmpl w:val="19D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36C4B"/>
    <w:multiLevelType w:val="hybridMultilevel"/>
    <w:tmpl w:val="A768E0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DD40819"/>
    <w:multiLevelType w:val="hybridMultilevel"/>
    <w:tmpl w:val="27984DBE"/>
    <w:lvl w:ilvl="0" w:tplc="0BD2B40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796CD5"/>
    <w:multiLevelType w:val="hybridMultilevel"/>
    <w:tmpl w:val="0A3AAB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17482875">
    <w:abstractNumId w:val="8"/>
  </w:num>
  <w:num w:numId="2" w16cid:durableId="935287934">
    <w:abstractNumId w:val="1"/>
  </w:num>
  <w:num w:numId="3" w16cid:durableId="700320718">
    <w:abstractNumId w:val="2"/>
  </w:num>
  <w:num w:numId="4" w16cid:durableId="302007733">
    <w:abstractNumId w:val="0"/>
  </w:num>
  <w:num w:numId="5" w16cid:durableId="487135374">
    <w:abstractNumId w:val="5"/>
  </w:num>
  <w:num w:numId="6" w16cid:durableId="519975131">
    <w:abstractNumId w:val="3"/>
  </w:num>
  <w:num w:numId="7" w16cid:durableId="228080176">
    <w:abstractNumId w:val="7"/>
  </w:num>
  <w:num w:numId="8" w16cid:durableId="682324801">
    <w:abstractNumId w:val="6"/>
  </w:num>
  <w:num w:numId="9" w16cid:durableId="68046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7C"/>
    <w:rsid w:val="00003DD7"/>
    <w:rsid w:val="00045B24"/>
    <w:rsid w:val="00077C44"/>
    <w:rsid w:val="00094AE4"/>
    <w:rsid w:val="0010038B"/>
    <w:rsid w:val="00124F68"/>
    <w:rsid w:val="0012775C"/>
    <w:rsid w:val="0014600C"/>
    <w:rsid w:val="00147C3F"/>
    <w:rsid w:val="00150233"/>
    <w:rsid w:val="001603A0"/>
    <w:rsid w:val="00174BE9"/>
    <w:rsid w:val="001770EF"/>
    <w:rsid w:val="00196C4A"/>
    <w:rsid w:val="001A3B45"/>
    <w:rsid w:val="001A4082"/>
    <w:rsid w:val="001A559B"/>
    <w:rsid w:val="001D7DB2"/>
    <w:rsid w:val="001F063A"/>
    <w:rsid w:val="001F3C70"/>
    <w:rsid w:val="001F736D"/>
    <w:rsid w:val="00221DF0"/>
    <w:rsid w:val="00246049"/>
    <w:rsid w:val="00282F1D"/>
    <w:rsid w:val="00294C30"/>
    <w:rsid w:val="002A0985"/>
    <w:rsid w:val="002C6E95"/>
    <w:rsid w:val="002F1771"/>
    <w:rsid w:val="002F7FE4"/>
    <w:rsid w:val="00316035"/>
    <w:rsid w:val="00327139"/>
    <w:rsid w:val="003301CE"/>
    <w:rsid w:val="00340494"/>
    <w:rsid w:val="00364487"/>
    <w:rsid w:val="00376C82"/>
    <w:rsid w:val="003A75D8"/>
    <w:rsid w:val="003B7A03"/>
    <w:rsid w:val="003E51E0"/>
    <w:rsid w:val="00400C38"/>
    <w:rsid w:val="00424BCC"/>
    <w:rsid w:val="0046109C"/>
    <w:rsid w:val="0046697C"/>
    <w:rsid w:val="004677E4"/>
    <w:rsid w:val="00467925"/>
    <w:rsid w:val="00491DF0"/>
    <w:rsid w:val="004B1C82"/>
    <w:rsid w:val="004D2B4A"/>
    <w:rsid w:val="004F643C"/>
    <w:rsid w:val="00501A8C"/>
    <w:rsid w:val="00501B3D"/>
    <w:rsid w:val="0051111E"/>
    <w:rsid w:val="005223C7"/>
    <w:rsid w:val="00524423"/>
    <w:rsid w:val="00540C2E"/>
    <w:rsid w:val="005420FE"/>
    <w:rsid w:val="00580D98"/>
    <w:rsid w:val="00584052"/>
    <w:rsid w:val="005C4431"/>
    <w:rsid w:val="005C77B1"/>
    <w:rsid w:val="005C79E0"/>
    <w:rsid w:val="005F1627"/>
    <w:rsid w:val="005F5133"/>
    <w:rsid w:val="0060262E"/>
    <w:rsid w:val="00604ECF"/>
    <w:rsid w:val="006229FD"/>
    <w:rsid w:val="00641901"/>
    <w:rsid w:val="00672A15"/>
    <w:rsid w:val="006804F3"/>
    <w:rsid w:val="00692C63"/>
    <w:rsid w:val="00695B4B"/>
    <w:rsid w:val="006C43D9"/>
    <w:rsid w:val="006D1D19"/>
    <w:rsid w:val="00716277"/>
    <w:rsid w:val="00742C7D"/>
    <w:rsid w:val="00764C7B"/>
    <w:rsid w:val="007671E3"/>
    <w:rsid w:val="007D5442"/>
    <w:rsid w:val="007F4425"/>
    <w:rsid w:val="008476C5"/>
    <w:rsid w:val="0087355A"/>
    <w:rsid w:val="00890128"/>
    <w:rsid w:val="008C0134"/>
    <w:rsid w:val="008C3322"/>
    <w:rsid w:val="008E1F64"/>
    <w:rsid w:val="0091147C"/>
    <w:rsid w:val="00942C88"/>
    <w:rsid w:val="009D1D43"/>
    <w:rsid w:val="009E1C66"/>
    <w:rsid w:val="009F660D"/>
    <w:rsid w:val="009F78D5"/>
    <w:rsid w:val="00A03C3D"/>
    <w:rsid w:val="00A04B85"/>
    <w:rsid w:val="00A22568"/>
    <w:rsid w:val="00A422EF"/>
    <w:rsid w:val="00A66764"/>
    <w:rsid w:val="00A7141C"/>
    <w:rsid w:val="00A90E2F"/>
    <w:rsid w:val="00A93AAD"/>
    <w:rsid w:val="00B204CC"/>
    <w:rsid w:val="00B41B57"/>
    <w:rsid w:val="00B575B3"/>
    <w:rsid w:val="00BD48C9"/>
    <w:rsid w:val="00BD7951"/>
    <w:rsid w:val="00BE2840"/>
    <w:rsid w:val="00C02531"/>
    <w:rsid w:val="00C6321F"/>
    <w:rsid w:val="00C7627B"/>
    <w:rsid w:val="00CB341F"/>
    <w:rsid w:val="00CB745A"/>
    <w:rsid w:val="00D610A7"/>
    <w:rsid w:val="00D76D59"/>
    <w:rsid w:val="00DE0CFA"/>
    <w:rsid w:val="00DE2661"/>
    <w:rsid w:val="00DF37B6"/>
    <w:rsid w:val="00E378F6"/>
    <w:rsid w:val="00E414D8"/>
    <w:rsid w:val="00E45A57"/>
    <w:rsid w:val="00E4639E"/>
    <w:rsid w:val="00E711CC"/>
    <w:rsid w:val="00E74BFA"/>
    <w:rsid w:val="00E859E3"/>
    <w:rsid w:val="00EB7E1B"/>
    <w:rsid w:val="00ED6424"/>
    <w:rsid w:val="00F1208A"/>
    <w:rsid w:val="00F511A8"/>
    <w:rsid w:val="00F9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D190"/>
  <w15:chartTrackingRefBased/>
  <w15:docId w15:val="{F9E17558-C226-2E48-B919-A4B75D0B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69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69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69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69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697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unhideWhenUsed/>
    <w:qFormat/>
    <w:rsid w:val="0046697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697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697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6697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97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669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669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697C"/>
    <w:rPr>
      <w:rFonts w:cstheme="majorBidi"/>
      <w:color w:val="0F4761" w:themeColor="accent1" w:themeShade="BF"/>
      <w:sz w:val="28"/>
      <w:szCs w:val="28"/>
    </w:rPr>
  </w:style>
  <w:style w:type="character" w:customStyle="1" w:styleId="50">
    <w:name w:val="标题 5 字符"/>
    <w:basedOn w:val="a0"/>
    <w:link w:val="5"/>
    <w:uiPriority w:val="9"/>
    <w:semiHidden/>
    <w:rsid w:val="0046697C"/>
    <w:rPr>
      <w:rFonts w:cstheme="majorBidi"/>
      <w:color w:val="0F4761" w:themeColor="accent1" w:themeShade="BF"/>
      <w:sz w:val="24"/>
    </w:rPr>
  </w:style>
  <w:style w:type="character" w:customStyle="1" w:styleId="60">
    <w:name w:val="标题 6 字符"/>
    <w:basedOn w:val="a0"/>
    <w:link w:val="6"/>
    <w:uiPriority w:val="9"/>
    <w:rsid w:val="0046697C"/>
    <w:rPr>
      <w:rFonts w:cstheme="majorBidi"/>
      <w:b/>
      <w:bCs/>
      <w:color w:val="0F4761" w:themeColor="accent1" w:themeShade="BF"/>
    </w:rPr>
  </w:style>
  <w:style w:type="character" w:customStyle="1" w:styleId="70">
    <w:name w:val="标题 7 字符"/>
    <w:basedOn w:val="a0"/>
    <w:link w:val="7"/>
    <w:uiPriority w:val="9"/>
    <w:semiHidden/>
    <w:rsid w:val="0046697C"/>
    <w:rPr>
      <w:rFonts w:cstheme="majorBidi"/>
      <w:b/>
      <w:bCs/>
      <w:color w:val="595959" w:themeColor="text1" w:themeTint="A6"/>
    </w:rPr>
  </w:style>
  <w:style w:type="character" w:customStyle="1" w:styleId="80">
    <w:name w:val="标题 8 字符"/>
    <w:basedOn w:val="a0"/>
    <w:link w:val="8"/>
    <w:uiPriority w:val="9"/>
    <w:semiHidden/>
    <w:rsid w:val="0046697C"/>
    <w:rPr>
      <w:rFonts w:cstheme="majorBidi"/>
      <w:color w:val="595959" w:themeColor="text1" w:themeTint="A6"/>
    </w:rPr>
  </w:style>
  <w:style w:type="character" w:customStyle="1" w:styleId="90">
    <w:name w:val="标题 9 字符"/>
    <w:basedOn w:val="a0"/>
    <w:link w:val="9"/>
    <w:uiPriority w:val="9"/>
    <w:semiHidden/>
    <w:rsid w:val="0046697C"/>
    <w:rPr>
      <w:rFonts w:eastAsiaTheme="majorEastAsia" w:cstheme="majorBidi"/>
      <w:color w:val="595959" w:themeColor="text1" w:themeTint="A6"/>
    </w:rPr>
  </w:style>
  <w:style w:type="paragraph" w:styleId="a3">
    <w:name w:val="Title"/>
    <w:basedOn w:val="a"/>
    <w:next w:val="a"/>
    <w:link w:val="a4"/>
    <w:uiPriority w:val="10"/>
    <w:qFormat/>
    <w:rsid w:val="0046697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69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97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69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97C"/>
    <w:pPr>
      <w:spacing w:before="160" w:after="160"/>
      <w:jc w:val="center"/>
    </w:pPr>
    <w:rPr>
      <w:i/>
      <w:iCs/>
      <w:color w:val="404040" w:themeColor="text1" w:themeTint="BF"/>
    </w:rPr>
  </w:style>
  <w:style w:type="character" w:customStyle="1" w:styleId="a8">
    <w:name w:val="引用 字符"/>
    <w:basedOn w:val="a0"/>
    <w:link w:val="a7"/>
    <w:uiPriority w:val="29"/>
    <w:rsid w:val="0046697C"/>
    <w:rPr>
      <w:i/>
      <w:iCs/>
      <w:color w:val="404040" w:themeColor="text1" w:themeTint="BF"/>
    </w:rPr>
  </w:style>
  <w:style w:type="paragraph" w:styleId="a9">
    <w:name w:val="List Paragraph"/>
    <w:basedOn w:val="a"/>
    <w:uiPriority w:val="34"/>
    <w:qFormat/>
    <w:rsid w:val="0046697C"/>
    <w:pPr>
      <w:ind w:left="720"/>
      <w:contextualSpacing/>
    </w:pPr>
  </w:style>
  <w:style w:type="character" w:styleId="aa">
    <w:name w:val="Intense Emphasis"/>
    <w:basedOn w:val="a0"/>
    <w:uiPriority w:val="21"/>
    <w:qFormat/>
    <w:rsid w:val="0046697C"/>
    <w:rPr>
      <w:i/>
      <w:iCs/>
      <w:color w:val="0F4761" w:themeColor="accent1" w:themeShade="BF"/>
    </w:rPr>
  </w:style>
  <w:style w:type="paragraph" w:styleId="ab">
    <w:name w:val="Intense Quote"/>
    <w:basedOn w:val="a"/>
    <w:next w:val="a"/>
    <w:link w:val="ac"/>
    <w:uiPriority w:val="30"/>
    <w:qFormat/>
    <w:rsid w:val="00466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697C"/>
    <w:rPr>
      <w:i/>
      <w:iCs/>
      <w:color w:val="0F4761" w:themeColor="accent1" w:themeShade="BF"/>
    </w:rPr>
  </w:style>
  <w:style w:type="character" w:styleId="ad">
    <w:name w:val="Intense Reference"/>
    <w:basedOn w:val="a0"/>
    <w:uiPriority w:val="32"/>
    <w:qFormat/>
    <w:rsid w:val="0046697C"/>
    <w:rPr>
      <w:b/>
      <w:bCs/>
      <w:smallCaps/>
      <w:color w:val="0F4761" w:themeColor="accent1" w:themeShade="BF"/>
      <w:spacing w:val="5"/>
    </w:rPr>
  </w:style>
  <w:style w:type="paragraph" w:styleId="ae">
    <w:name w:val="Normal (Web)"/>
    <w:basedOn w:val="a"/>
    <w:uiPriority w:val="99"/>
    <w:semiHidden/>
    <w:unhideWhenUsed/>
    <w:rsid w:val="00C6321F"/>
    <w:rPr>
      <w:rFonts w:ascii="Times New Roman" w:hAnsi="Times New Roman" w:cs="Times New Roman"/>
      <w:sz w:val="24"/>
    </w:rPr>
  </w:style>
  <w:style w:type="character" w:styleId="af">
    <w:name w:val="Hyperlink"/>
    <w:basedOn w:val="a0"/>
    <w:uiPriority w:val="99"/>
    <w:unhideWhenUsed/>
    <w:rsid w:val="00501B3D"/>
    <w:rPr>
      <w:color w:val="467886" w:themeColor="hyperlink"/>
      <w:u w:val="single"/>
    </w:rPr>
  </w:style>
  <w:style w:type="character" w:styleId="af0">
    <w:name w:val="Unresolved Mention"/>
    <w:basedOn w:val="a0"/>
    <w:uiPriority w:val="99"/>
    <w:semiHidden/>
    <w:unhideWhenUsed/>
    <w:rsid w:val="00501B3D"/>
    <w:rPr>
      <w:color w:val="605E5C"/>
      <w:shd w:val="clear" w:color="auto" w:fill="E1DFDD"/>
    </w:rPr>
  </w:style>
  <w:style w:type="paragraph" w:styleId="af1">
    <w:name w:val="Bibliography"/>
    <w:basedOn w:val="a"/>
    <w:next w:val="a"/>
    <w:uiPriority w:val="37"/>
    <w:unhideWhenUsed/>
    <w:rsid w:val="00DE0CFA"/>
    <w:pPr>
      <w:tabs>
        <w:tab w:val="left" w:pos="380"/>
      </w:tabs>
      <w:ind w:left="384" w:hanging="384"/>
    </w:pPr>
  </w:style>
  <w:style w:type="table" w:styleId="af2">
    <w:name w:val="Table Grid"/>
    <w:basedOn w:val="a1"/>
    <w:uiPriority w:val="39"/>
    <w:rsid w:val="00A66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A66764"/>
    <w:pPr>
      <w:widowControl/>
      <w:tabs>
        <w:tab w:val="center" w:pos="4153"/>
        <w:tab w:val="right" w:pos="8306"/>
      </w:tabs>
      <w:snapToGrid w:val="0"/>
      <w:spacing w:after="160"/>
      <w:jc w:val="center"/>
    </w:pPr>
    <w:rPr>
      <w:sz w:val="18"/>
      <w:szCs w:val="18"/>
    </w:rPr>
  </w:style>
  <w:style w:type="character" w:customStyle="1" w:styleId="af4">
    <w:name w:val="页眉 字符"/>
    <w:basedOn w:val="a0"/>
    <w:link w:val="af3"/>
    <w:uiPriority w:val="99"/>
    <w:rsid w:val="00A66764"/>
    <w:rPr>
      <w:sz w:val="18"/>
      <w:szCs w:val="18"/>
    </w:rPr>
  </w:style>
  <w:style w:type="paragraph" w:styleId="af5">
    <w:name w:val="footer"/>
    <w:basedOn w:val="a"/>
    <w:link w:val="af6"/>
    <w:uiPriority w:val="99"/>
    <w:unhideWhenUsed/>
    <w:rsid w:val="00A66764"/>
    <w:pPr>
      <w:widowControl/>
      <w:tabs>
        <w:tab w:val="center" w:pos="4153"/>
        <w:tab w:val="right" w:pos="8306"/>
      </w:tabs>
      <w:snapToGrid w:val="0"/>
      <w:spacing w:after="160"/>
      <w:jc w:val="left"/>
    </w:pPr>
    <w:rPr>
      <w:sz w:val="18"/>
      <w:szCs w:val="18"/>
    </w:rPr>
  </w:style>
  <w:style w:type="character" w:customStyle="1" w:styleId="af6">
    <w:name w:val="页脚 字符"/>
    <w:basedOn w:val="a0"/>
    <w:link w:val="af5"/>
    <w:uiPriority w:val="99"/>
    <w:rsid w:val="00A66764"/>
    <w:rPr>
      <w:sz w:val="18"/>
      <w:szCs w:val="18"/>
    </w:rPr>
  </w:style>
  <w:style w:type="character" w:customStyle="1" w:styleId="cf01">
    <w:name w:val="cf01"/>
    <w:basedOn w:val="a0"/>
    <w:rsid w:val="00716277"/>
    <w:rPr>
      <w:rFonts w:ascii="Segoe UI" w:hAnsi="Segoe UI" w:cs="Segoe UI" w:hint="default"/>
      <w:sz w:val="18"/>
      <w:szCs w:val="18"/>
    </w:rPr>
  </w:style>
  <w:style w:type="paragraph" w:customStyle="1" w:styleId="EndNoteBibliographyTitle">
    <w:name w:val="EndNote Bibliography Title"/>
    <w:basedOn w:val="a"/>
    <w:link w:val="EndNoteBibliographyTitle0"/>
    <w:rsid w:val="00716277"/>
    <w:pPr>
      <w:widowControl/>
      <w:spacing w:line="259" w:lineRule="auto"/>
      <w:jc w:val="center"/>
    </w:pPr>
    <w:rPr>
      <w:rFonts w:ascii="DengXian" w:eastAsia="DengXian" w:hAnsi="DengXian"/>
      <w:sz w:val="22"/>
      <w:szCs w:val="22"/>
    </w:rPr>
  </w:style>
  <w:style w:type="character" w:customStyle="1" w:styleId="EndNoteBibliographyTitle0">
    <w:name w:val="EndNote Bibliography Title 字符"/>
    <w:basedOn w:val="a0"/>
    <w:link w:val="EndNoteBibliographyTitle"/>
    <w:rsid w:val="00716277"/>
    <w:rPr>
      <w:rFonts w:ascii="DengXian" w:eastAsia="DengXian" w:hAnsi="DengXian"/>
      <w:sz w:val="22"/>
      <w:szCs w:val="22"/>
    </w:rPr>
  </w:style>
  <w:style w:type="paragraph" w:customStyle="1" w:styleId="EndNoteBibliography">
    <w:name w:val="EndNote Bibliography"/>
    <w:basedOn w:val="a"/>
    <w:link w:val="EndNoteBibliography0"/>
    <w:rsid w:val="00716277"/>
    <w:pPr>
      <w:widowControl/>
      <w:spacing w:after="160"/>
      <w:jc w:val="left"/>
    </w:pPr>
    <w:rPr>
      <w:rFonts w:ascii="DengXian" w:eastAsia="DengXian" w:hAnsi="DengXian"/>
      <w:sz w:val="22"/>
      <w:szCs w:val="22"/>
    </w:rPr>
  </w:style>
  <w:style w:type="character" w:customStyle="1" w:styleId="EndNoteBibliography0">
    <w:name w:val="EndNote Bibliography 字符"/>
    <w:basedOn w:val="a0"/>
    <w:link w:val="EndNoteBibliography"/>
    <w:rsid w:val="00716277"/>
    <w:rPr>
      <w:rFonts w:ascii="DengXian" w:eastAsia="DengXian" w:hAnsi="DengXian"/>
      <w:sz w:val="22"/>
      <w:szCs w:val="22"/>
    </w:rPr>
  </w:style>
  <w:style w:type="character" w:styleId="af7">
    <w:name w:val="Placeholder Text"/>
    <w:basedOn w:val="a0"/>
    <w:uiPriority w:val="99"/>
    <w:semiHidden/>
    <w:rsid w:val="007162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048">
      <w:bodyDiv w:val="1"/>
      <w:marLeft w:val="0"/>
      <w:marRight w:val="0"/>
      <w:marTop w:val="0"/>
      <w:marBottom w:val="0"/>
      <w:divBdr>
        <w:top w:val="none" w:sz="0" w:space="0" w:color="auto"/>
        <w:left w:val="none" w:sz="0" w:space="0" w:color="auto"/>
        <w:bottom w:val="none" w:sz="0" w:space="0" w:color="auto"/>
        <w:right w:val="none" w:sz="0" w:space="0" w:color="auto"/>
      </w:divBdr>
    </w:div>
    <w:div w:id="45881118">
      <w:bodyDiv w:val="1"/>
      <w:marLeft w:val="0"/>
      <w:marRight w:val="0"/>
      <w:marTop w:val="0"/>
      <w:marBottom w:val="0"/>
      <w:divBdr>
        <w:top w:val="none" w:sz="0" w:space="0" w:color="auto"/>
        <w:left w:val="none" w:sz="0" w:space="0" w:color="auto"/>
        <w:bottom w:val="none" w:sz="0" w:space="0" w:color="auto"/>
        <w:right w:val="none" w:sz="0" w:space="0" w:color="auto"/>
      </w:divBdr>
      <w:divsChild>
        <w:div w:id="1272667231">
          <w:marLeft w:val="0"/>
          <w:marRight w:val="0"/>
          <w:marTop w:val="0"/>
          <w:marBottom w:val="0"/>
          <w:divBdr>
            <w:top w:val="none" w:sz="0" w:space="0" w:color="auto"/>
            <w:left w:val="none" w:sz="0" w:space="0" w:color="auto"/>
            <w:bottom w:val="none" w:sz="0" w:space="0" w:color="auto"/>
            <w:right w:val="none" w:sz="0" w:space="0" w:color="auto"/>
          </w:divBdr>
        </w:div>
        <w:div w:id="1096250867">
          <w:marLeft w:val="0"/>
          <w:marRight w:val="0"/>
          <w:marTop w:val="0"/>
          <w:marBottom w:val="0"/>
          <w:divBdr>
            <w:top w:val="none" w:sz="0" w:space="0" w:color="auto"/>
            <w:left w:val="none" w:sz="0" w:space="0" w:color="auto"/>
            <w:bottom w:val="none" w:sz="0" w:space="0" w:color="auto"/>
            <w:right w:val="none" w:sz="0" w:space="0" w:color="auto"/>
          </w:divBdr>
        </w:div>
        <w:div w:id="251933666">
          <w:marLeft w:val="0"/>
          <w:marRight w:val="0"/>
          <w:marTop w:val="0"/>
          <w:marBottom w:val="0"/>
          <w:divBdr>
            <w:top w:val="none" w:sz="0" w:space="0" w:color="auto"/>
            <w:left w:val="none" w:sz="0" w:space="0" w:color="auto"/>
            <w:bottom w:val="none" w:sz="0" w:space="0" w:color="auto"/>
            <w:right w:val="none" w:sz="0" w:space="0" w:color="auto"/>
          </w:divBdr>
        </w:div>
      </w:divsChild>
    </w:div>
    <w:div w:id="130100362">
      <w:bodyDiv w:val="1"/>
      <w:marLeft w:val="0"/>
      <w:marRight w:val="0"/>
      <w:marTop w:val="0"/>
      <w:marBottom w:val="0"/>
      <w:divBdr>
        <w:top w:val="none" w:sz="0" w:space="0" w:color="auto"/>
        <w:left w:val="none" w:sz="0" w:space="0" w:color="auto"/>
        <w:bottom w:val="none" w:sz="0" w:space="0" w:color="auto"/>
        <w:right w:val="none" w:sz="0" w:space="0" w:color="auto"/>
      </w:divBdr>
    </w:div>
    <w:div w:id="292251837">
      <w:bodyDiv w:val="1"/>
      <w:marLeft w:val="0"/>
      <w:marRight w:val="0"/>
      <w:marTop w:val="0"/>
      <w:marBottom w:val="0"/>
      <w:divBdr>
        <w:top w:val="none" w:sz="0" w:space="0" w:color="auto"/>
        <w:left w:val="none" w:sz="0" w:space="0" w:color="auto"/>
        <w:bottom w:val="none" w:sz="0" w:space="0" w:color="auto"/>
        <w:right w:val="none" w:sz="0" w:space="0" w:color="auto"/>
      </w:divBdr>
      <w:divsChild>
        <w:div w:id="906764954">
          <w:marLeft w:val="0"/>
          <w:marRight w:val="0"/>
          <w:marTop w:val="0"/>
          <w:marBottom w:val="0"/>
          <w:divBdr>
            <w:top w:val="none" w:sz="0" w:space="0" w:color="auto"/>
            <w:left w:val="none" w:sz="0" w:space="0" w:color="auto"/>
            <w:bottom w:val="none" w:sz="0" w:space="0" w:color="auto"/>
            <w:right w:val="none" w:sz="0" w:space="0" w:color="auto"/>
          </w:divBdr>
          <w:divsChild>
            <w:div w:id="427965465">
              <w:marLeft w:val="0"/>
              <w:marRight w:val="0"/>
              <w:marTop w:val="0"/>
              <w:marBottom w:val="0"/>
              <w:divBdr>
                <w:top w:val="none" w:sz="0" w:space="0" w:color="auto"/>
                <w:left w:val="none" w:sz="0" w:space="0" w:color="auto"/>
                <w:bottom w:val="none" w:sz="0" w:space="0" w:color="auto"/>
                <w:right w:val="none" w:sz="0" w:space="0" w:color="auto"/>
              </w:divBdr>
              <w:divsChild>
                <w:div w:id="431324556">
                  <w:marLeft w:val="0"/>
                  <w:marRight w:val="0"/>
                  <w:marTop w:val="0"/>
                  <w:marBottom w:val="0"/>
                  <w:divBdr>
                    <w:top w:val="none" w:sz="0" w:space="0" w:color="auto"/>
                    <w:left w:val="none" w:sz="0" w:space="0" w:color="auto"/>
                    <w:bottom w:val="none" w:sz="0" w:space="0" w:color="auto"/>
                    <w:right w:val="none" w:sz="0" w:space="0" w:color="auto"/>
                  </w:divBdr>
                  <w:divsChild>
                    <w:div w:id="1617638654">
                      <w:marLeft w:val="0"/>
                      <w:marRight w:val="0"/>
                      <w:marTop w:val="0"/>
                      <w:marBottom w:val="0"/>
                      <w:divBdr>
                        <w:top w:val="none" w:sz="0" w:space="0" w:color="auto"/>
                        <w:left w:val="none" w:sz="0" w:space="0" w:color="auto"/>
                        <w:bottom w:val="none" w:sz="0" w:space="0" w:color="auto"/>
                        <w:right w:val="none" w:sz="0" w:space="0" w:color="auto"/>
                      </w:divBdr>
                      <w:divsChild>
                        <w:div w:id="1754350876">
                          <w:marLeft w:val="0"/>
                          <w:marRight w:val="0"/>
                          <w:marTop w:val="0"/>
                          <w:marBottom w:val="0"/>
                          <w:divBdr>
                            <w:top w:val="none" w:sz="0" w:space="0" w:color="auto"/>
                            <w:left w:val="none" w:sz="0" w:space="0" w:color="auto"/>
                            <w:bottom w:val="none" w:sz="0" w:space="0" w:color="auto"/>
                            <w:right w:val="none" w:sz="0" w:space="0" w:color="auto"/>
                          </w:divBdr>
                          <w:divsChild>
                            <w:div w:id="269554869">
                              <w:marLeft w:val="0"/>
                              <w:marRight w:val="0"/>
                              <w:marTop w:val="0"/>
                              <w:marBottom w:val="0"/>
                              <w:divBdr>
                                <w:top w:val="none" w:sz="0" w:space="0" w:color="auto"/>
                                <w:left w:val="none" w:sz="0" w:space="0" w:color="auto"/>
                                <w:bottom w:val="none" w:sz="0" w:space="0" w:color="auto"/>
                                <w:right w:val="none" w:sz="0" w:space="0" w:color="auto"/>
                              </w:divBdr>
                              <w:divsChild>
                                <w:div w:id="15317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6973">
                  <w:marLeft w:val="0"/>
                  <w:marRight w:val="0"/>
                  <w:marTop w:val="0"/>
                  <w:marBottom w:val="0"/>
                  <w:divBdr>
                    <w:top w:val="none" w:sz="0" w:space="0" w:color="auto"/>
                    <w:left w:val="none" w:sz="0" w:space="0" w:color="auto"/>
                    <w:bottom w:val="none" w:sz="0" w:space="0" w:color="auto"/>
                    <w:right w:val="none" w:sz="0" w:space="0" w:color="auto"/>
                  </w:divBdr>
                  <w:divsChild>
                    <w:div w:id="1323582574">
                      <w:marLeft w:val="0"/>
                      <w:marRight w:val="0"/>
                      <w:marTop w:val="0"/>
                      <w:marBottom w:val="0"/>
                      <w:divBdr>
                        <w:top w:val="none" w:sz="0" w:space="0" w:color="auto"/>
                        <w:left w:val="none" w:sz="0" w:space="0" w:color="auto"/>
                        <w:bottom w:val="none" w:sz="0" w:space="0" w:color="auto"/>
                        <w:right w:val="none" w:sz="0" w:space="0" w:color="auto"/>
                      </w:divBdr>
                      <w:divsChild>
                        <w:div w:id="1487745630">
                          <w:marLeft w:val="0"/>
                          <w:marRight w:val="0"/>
                          <w:marTop w:val="0"/>
                          <w:marBottom w:val="0"/>
                          <w:divBdr>
                            <w:top w:val="none" w:sz="0" w:space="0" w:color="auto"/>
                            <w:left w:val="none" w:sz="0" w:space="0" w:color="auto"/>
                            <w:bottom w:val="none" w:sz="0" w:space="0" w:color="auto"/>
                            <w:right w:val="none" w:sz="0" w:space="0" w:color="auto"/>
                          </w:divBdr>
                          <w:divsChild>
                            <w:div w:id="979310559">
                              <w:marLeft w:val="0"/>
                              <w:marRight w:val="0"/>
                              <w:marTop w:val="0"/>
                              <w:marBottom w:val="0"/>
                              <w:divBdr>
                                <w:top w:val="none" w:sz="0" w:space="0" w:color="auto"/>
                                <w:left w:val="none" w:sz="0" w:space="0" w:color="auto"/>
                                <w:bottom w:val="none" w:sz="0" w:space="0" w:color="auto"/>
                                <w:right w:val="none" w:sz="0" w:space="0" w:color="auto"/>
                              </w:divBdr>
                              <w:divsChild>
                                <w:div w:id="1067148837">
                                  <w:marLeft w:val="0"/>
                                  <w:marRight w:val="0"/>
                                  <w:marTop w:val="0"/>
                                  <w:marBottom w:val="0"/>
                                  <w:divBdr>
                                    <w:top w:val="none" w:sz="0" w:space="0" w:color="auto"/>
                                    <w:left w:val="none" w:sz="0" w:space="0" w:color="auto"/>
                                    <w:bottom w:val="none" w:sz="0" w:space="0" w:color="auto"/>
                                    <w:right w:val="none" w:sz="0" w:space="0" w:color="auto"/>
                                  </w:divBdr>
                                  <w:divsChild>
                                    <w:div w:id="2933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76095">
      <w:bodyDiv w:val="1"/>
      <w:marLeft w:val="0"/>
      <w:marRight w:val="0"/>
      <w:marTop w:val="0"/>
      <w:marBottom w:val="0"/>
      <w:divBdr>
        <w:top w:val="none" w:sz="0" w:space="0" w:color="auto"/>
        <w:left w:val="none" w:sz="0" w:space="0" w:color="auto"/>
        <w:bottom w:val="none" w:sz="0" w:space="0" w:color="auto"/>
        <w:right w:val="none" w:sz="0" w:space="0" w:color="auto"/>
      </w:divBdr>
      <w:divsChild>
        <w:div w:id="816993073">
          <w:marLeft w:val="0"/>
          <w:marRight w:val="0"/>
          <w:marTop w:val="0"/>
          <w:marBottom w:val="0"/>
          <w:divBdr>
            <w:top w:val="none" w:sz="0" w:space="0" w:color="auto"/>
            <w:left w:val="none" w:sz="0" w:space="0" w:color="auto"/>
            <w:bottom w:val="none" w:sz="0" w:space="0" w:color="auto"/>
            <w:right w:val="none" w:sz="0" w:space="0" w:color="auto"/>
          </w:divBdr>
          <w:divsChild>
            <w:div w:id="1773629606">
              <w:marLeft w:val="0"/>
              <w:marRight w:val="0"/>
              <w:marTop w:val="0"/>
              <w:marBottom w:val="0"/>
              <w:divBdr>
                <w:top w:val="none" w:sz="0" w:space="0" w:color="auto"/>
                <w:left w:val="none" w:sz="0" w:space="0" w:color="auto"/>
                <w:bottom w:val="none" w:sz="0" w:space="0" w:color="auto"/>
                <w:right w:val="none" w:sz="0" w:space="0" w:color="auto"/>
              </w:divBdr>
              <w:divsChild>
                <w:div w:id="209848410">
                  <w:marLeft w:val="0"/>
                  <w:marRight w:val="0"/>
                  <w:marTop w:val="0"/>
                  <w:marBottom w:val="0"/>
                  <w:divBdr>
                    <w:top w:val="none" w:sz="0" w:space="0" w:color="auto"/>
                    <w:left w:val="none" w:sz="0" w:space="0" w:color="auto"/>
                    <w:bottom w:val="none" w:sz="0" w:space="0" w:color="auto"/>
                    <w:right w:val="none" w:sz="0" w:space="0" w:color="auto"/>
                  </w:divBdr>
                  <w:divsChild>
                    <w:div w:id="307906916">
                      <w:marLeft w:val="0"/>
                      <w:marRight w:val="0"/>
                      <w:marTop w:val="0"/>
                      <w:marBottom w:val="0"/>
                      <w:divBdr>
                        <w:top w:val="none" w:sz="0" w:space="0" w:color="auto"/>
                        <w:left w:val="none" w:sz="0" w:space="0" w:color="auto"/>
                        <w:bottom w:val="none" w:sz="0" w:space="0" w:color="auto"/>
                        <w:right w:val="none" w:sz="0" w:space="0" w:color="auto"/>
                      </w:divBdr>
                      <w:divsChild>
                        <w:div w:id="218833846">
                          <w:marLeft w:val="0"/>
                          <w:marRight w:val="0"/>
                          <w:marTop w:val="0"/>
                          <w:marBottom w:val="0"/>
                          <w:divBdr>
                            <w:top w:val="none" w:sz="0" w:space="0" w:color="auto"/>
                            <w:left w:val="none" w:sz="0" w:space="0" w:color="auto"/>
                            <w:bottom w:val="none" w:sz="0" w:space="0" w:color="auto"/>
                            <w:right w:val="none" w:sz="0" w:space="0" w:color="auto"/>
                          </w:divBdr>
                          <w:divsChild>
                            <w:div w:id="486172636">
                              <w:marLeft w:val="0"/>
                              <w:marRight w:val="0"/>
                              <w:marTop w:val="0"/>
                              <w:marBottom w:val="0"/>
                              <w:divBdr>
                                <w:top w:val="none" w:sz="0" w:space="0" w:color="auto"/>
                                <w:left w:val="none" w:sz="0" w:space="0" w:color="auto"/>
                                <w:bottom w:val="none" w:sz="0" w:space="0" w:color="auto"/>
                                <w:right w:val="none" w:sz="0" w:space="0" w:color="auto"/>
                              </w:divBdr>
                              <w:divsChild>
                                <w:div w:id="16323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65554">
                  <w:marLeft w:val="0"/>
                  <w:marRight w:val="0"/>
                  <w:marTop w:val="0"/>
                  <w:marBottom w:val="0"/>
                  <w:divBdr>
                    <w:top w:val="none" w:sz="0" w:space="0" w:color="auto"/>
                    <w:left w:val="none" w:sz="0" w:space="0" w:color="auto"/>
                    <w:bottom w:val="none" w:sz="0" w:space="0" w:color="auto"/>
                    <w:right w:val="none" w:sz="0" w:space="0" w:color="auto"/>
                  </w:divBdr>
                  <w:divsChild>
                    <w:div w:id="2116092346">
                      <w:marLeft w:val="0"/>
                      <w:marRight w:val="0"/>
                      <w:marTop w:val="0"/>
                      <w:marBottom w:val="0"/>
                      <w:divBdr>
                        <w:top w:val="none" w:sz="0" w:space="0" w:color="auto"/>
                        <w:left w:val="none" w:sz="0" w:space="0" w:color="auto"/>
                        <w:bottom w:val="none" w:sz="0" w:space="0" w:color="auto"/>
                        <w:right w:val="none" w:sz="0" w:space="0" w:color="auto"/>
                      </w:divBdr>
                      <w:divsChild>
                        <w:div w:id="363017196">
                          <w:marLeft w:val="0"/>
                          <w:marRight w:val="0"/>
                          <w:marTop w:val="0"/>
                          <w:marBottom w:val="0"/>
                          <w:divBdr>
                            <w:top w:val="none" w:sz="0" w:space="0" w:color="auto"/>
                            <w:left w:val="none" w:sz="0" w:space="0" w:color="auto"/>
                            <w:bottom w:val="none" w:sz="0" w:space="0" w:color="auto"/>
                            <w:right w:val="none" w:sz="0" w:space="0" w:color="auto"/>
                          </w:divBdr>
                          <w:divsChild>
                            <w:div w:id="709886293">
                              <w:marLeft w:val="0"/>
                              <w:marRight w:val="0"/>
                              <w:marTop w:val="0"/>
                              <w:marBottom w:val="0"/>
                              <w:divBdr>
                                <w:top w:val="none" w:sz="0" w:space="0" w:color="auto"/>
                                <w:left w:val="none" w:sz="0" w:space="0" w:color="auto"/>
                                <w:bottom w:val="none" w:sz="0" w:space="0" w:color="auto"/>
                                <w:right w:val="none" w:sz="0" w:space="0" w:color="auto"/>
                              </w:divBdr>
                              <w:divsChild>
                                <w:div w:id="473330210">
                                  <w:marLeft w:val="0"/>
                                  <w:marRight w:val="0"/>
                                  <w:marTop w:val="0"/>
                                  <w:marBottom w:val="0"/>
                                  <w:divBdr>
                                    <w:top w:val="none" w:sz="0" w:space="0" w:color="auto"/>
                                    <w:left w:val="none" w:sz="0" w:space="0" w:color="auto"/>
                                    <w:bottom w:val="none" w:sz="0" w:space="0" w:color="auto"/>
                                    <w:right w:val="none" w:sz="0" w:space="0" w:color="auto"/>
                                  </w:divBdr>
                                  <w:divsChild>
                                    <w:div w:id="2039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688986">
      <w:bodyDiv w:val="1"/>
      <w:marLeft w:val="0"/>
      <w:marRight w:val="0"/>
      <w:marTop w:val="0"/>
      <w:marBottom w:val="0"/>
      <w:divBdr>
        <w:top w:val="none" w:sz="0" w:space="0" w:color="auto"/>
        <w:left w:val="none" w:sz="0" w:space="0" w:color="auto"/>
        <w:bottom w:val="none" w:sz="0" w:space="0" w:color="auto"/>
        <w:right w:val="none" w:sz="0" w:space="0" w:color="auto"/>
      </w:divBdr>
      <w:divsChild>
        <w:div w:id="104619293">
          <w:marLeft w:val="0"/>
          <w:marRight w:val="0"/>
          <w:marTop w:val="0"/>
          <w:marBottom w:val="0"/>
          <w:divBdr>
            <w:top w:val="none" w:sz="0" w:space="0" w:color="auto"/>
            <w:left w:val="none" w:sz="0" w:space="0" w:color="auto"/>
            <w:bottom w:val="none" w:sz="0" w:space="0" w:color="auto"/>
            <w:right w:val="none" w:sz="0" w:space="0" w:color="auto"/>
          </w:divBdr>
        </w:div>
        <w:div w:id="1097941699">
          <w:marLeft w:val="0"/>
          <w:marRight w:val="0"/>
          <w:marTop w:val="0"/>
          <w:marBottom w:val="0"/>
          <w:divBdr>
            <w:top w:val="none" w:sz="0" w:space="0" w:color="auto"/>
            <w:left w:val="none" w:sz="0" w:space="0" w:color="auto"/>
            <w:bottom w:val="none" w:sz="0" w:space="0" w:color="auto"/>
            <w:right w:val="none" w:sz="0" w:space="0" w:color="auto"/>
          </w:divBdr>
        </w:div>
        <w:div w:id="1359041242">
          <w:marLeft w:val="0"/>
          <w:marRight w:val="0"/>
          <w:marTop w:val="0"/>
          <w:marBottom w:val="0"/>
          <w:divBdr>
            <w:top w:val="none" w:sz="0" w:space="0" w:color="auto"/>
            <w:left w:val="none" w:sz="0" w:space="0" w:color="auto"/>
            <w:bottom w:val="none" w:sz="0" w:space="0" w:color="auto"/>
            <w:right w:val="none" w:sz="0" w:space="0" w:color="auto"/>
          </w:divBdr>
        </w:div>
      </w:divsChild>
    </w:div>
    <w:div w:id="461653066">
      <w:bodyDiv w:val="1"/>
      <w:marLeft w:val="0"/>
      <w:marRight w:val="0"/>
      <w:marTop w:val="0"/>
      <w:marBottom w:val="0"/>
      <w:divBdr>
        <w:top w:val="none" w:sz="0" w:space="0" w:color="auto"/>
        <w:left w:val="none" w:sz="0" w:space="0" w:color="auto"/>
        <w:bottom w:val="none" w:sz="0" w:space="0" w:color="auto"/>
        <w:right w:val="none" w:sz="0" w:space="0" w:color="auto"/>
      </w:divBdr>
    </w:div>
    <w:div w:id="573784054">
      <w:bodyDiv w:val="1"/>
      <w:marLeft w:val="0"/>
      <w:marRight w:val="0"/>
      <w:marTop w:val="0"/>
      <w:marBottom w:val="0"/>
      <w:divBdr>
        <w:top w:val="none" w:sz="0" w:space="0" w:color="auto"/>
        <w:left w:val="none" w:sz="0" w:space="0" w:color="auto"/>
        <w:bottom w:val="none" w:sz="0" w:space="0" w:color="auto"/>
        <w:right w:val="none" w:sz="0" w:space="0" w:color="auto"/>
      </w:divBdr>
    </w:div>
    <w:div w:id="868101255">
      <w:bodyDiv w:val="1"/>
      <w:marLeft w:val="0"/>
      <w:marRight w:val="0"/>
      <w:marTop w:val="0"/>
      <w:marBottom w:val="0"/>
      <w:divBdr>
        <w:top w:val="none" w:sz="0" w:space="0" w:color="auto"/>
        <w:left w:val="none" w:sz="0" w:space="0" w:color="auto"/>
        <w:bottom w:val="none" w:sz="0" w:space="0" w:color="auto"/>
        <w:right w:val="none" w:sz="0" w:space="0" w:color="auto"/>
      </w:divBdr>
    </w:div>
    <w:div w:id="1069309181">
      <w:bodyDiv w:val="1"/>
      <w:marLeft w:val="0"/>
      <w:marRight w:val="0"/>
      <w:marTop w:val="0"/>
      <w:marBottom w:val="0"/>
      <w:divBdr>
        <w:top w:val="none" w:sz="0" w:space="0" w:color="auto"/>
        <w:left w:val="none" w:sz="0" w:space="0" w:color="auto"/>
        <w:bottom w:val="none" w:sz="0" w:space="0" w:color="auto"/>
        <w:right w:val="none" w:sz="0" w:space="0" w:color="auto"/>
      </w:divBdr>
      <w:divsChild>
        <w:div w:id="1206673727">
          <w:marLeft w:val="0"/>
          <w:marRight w:val="0"/>
          <w:marTop w:val="0"/>
          <w:marBottom w:val="0"/>
          <w:divBdr>
            <w:top w:val="none" w:sz="0" w:space="0" w:color="auto"/>
            <w:left w:val="none" w:sz="0" w:space="0" w:color="auto"/>
            <w:bottom w:val="none" w:sz="0" w:space="0" w:color="auto"/>
            <w:right w:val="none" w:sz="0" w:space="0" w:color="auto"/>
          </w:divBdr>
          <w:divsChild>
            <w:div w:id="1176261923">
              <w:marLeft w:val="0"/>
              <w:marRight w:val="0"/>
              <w:marTop w:val="0"/>
              <w:marBottom w:val="0"/>
              <w:divBdr>
                <w:top w:val="none" w:sz="0" w:space="0" w:color="auto"/>
                <w:left w:val="none" w:sz="0" w:space="0" w:color="auto"/>
                <w:bottom w:val="none" w:sz="0" w:space="0" w:color="auto"/>
                <w:right w:val="none" w:sz="0" w:space="0" w:color="auto"/>
              </w:divBdr>
              <w:divsChild>
                <w:div w:id="1032537038">
                  <w:marLeft w:val="0"/>
                  <w:marRight w:val="0"/>
                  <w:marTop w:val="0"/>
                  <w:marBottom w:val="0"/>
                  <w:divBdr>
                    <w:top w:val="none" w:sz="0" w:space="0" w:color="auto"/>
                    <w:left w:val="none" w:sz="0" w:space="0" w:color="auto"/>
                    <w:bottom w:val="none" w:sz="0" w:space="0" w:color="auto"/>
                    <w:right w:val="none" w:sz="0" w:space="0" w:color="auto"/>
                  </w:divBdr>
                  <w:divsChild>
                    <w:div w:id="1778939180">
                      <w:marLeft w:val="0"/>
                      <w:marRight w:val="0"/>
                      <w:marTop w:val="0"/>
                      <w:marBottom w:val="0"/>
                      <w:divBdr>
                        <w:top w:val="none" w:sz="0" w:space="0" w:color="auto"/>
                        <w:left w:val="none" w:sz="0" w:space="0" w:color="auto"/>
                        <w:bottom w:val="none" w:sz="0" w:space="0" w:color="auto"/>
                        <w:right w:val="none" w:sz="0" w:space="0" w:color="auto"/>
                      </w:divBdr>
                      <w:divsChild>
                        <w:div w:id="273563068">
                          <w:marLeft w:val="0"/>
                          <w:marRight w:val="0"/>
                          <w:marTop w:val="0"/>
                          <w:marBottom w:val="0"/>
                          <w:divBdr>
                            <w:top w:val="none" w:sz="0" w:space="0" w:color="auto"/>
                            <w:left w:val="none" w:sz="0" w:space="0" w:color="auto"/>
                            <w:bottom w:val="none" w:sz="0" w:space="0" w:color="auto"/>
                            <w:right w:val="none" w:sz="0" w:space="0" w:color="auto"/>
                          </w:divBdr>
                          <w:divsChild>
                            <w:div w:id="2424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05978">
      <w:bodyDiv w:val="1"/>
      <w:marLeft w:val="0"/>
      <w:marRight w:val="0"/>
      <w:marTop w:val="0"/>
      <w:marBottom w:val="0"/>
      <w:divBdr>
        <w:top w:val="none" w:sz="0" w:space="0" w:color="auto"/>
        <w:left w:val="none" w:sz="0" w:space="0" w:color="auto"/>
        <w:bottom w:val="none" w:sz="0" w:space="0" w:color="auto"/>
        <w:right w:val="none" w:sz="0" w:space="0" w:color="auto"/>
      </w:divBdr>
    </w:div>
    <w:div w:id="1190218080">
      <w:bodyDiv w:val="1"/>
      <w:marLeft w:val="0"/>
      <w:marRight w:val="0"/>
      <w:marTop w:val="0"/>
      <w:marBottom w:val="0"/>
      <w:divBdr>
        <w:top w:val="none" w:sz="0" w:space="0" w:color="auto"/>
        <w:left w:val="none" w:sz="0" w:space="0" w:color="auto"/>
        <w:bottom w:val="none" w:sz="0" w:space="0" w:color="auto"/>
        <w:right w:val="none" w:sz="0" w:space="0" w:color="auto"/>
      </w:divBdr>
    </w:div>
    <w:div w:id="1208759557">
      <w:bodyDiv w:val="1"/>
      <w:marLeft w:val="0"/>
      <w:marRight w:val="0"/>
      <w:marTop w:val="0"/>
      <w:marBottom w:val="0"/>
      <w:divBdr>
        <w:top w:val="none" w:sz="0" w:space="0" w:color="auto"/>
        <w:left w:val="none" w:sz="0" w:space="0" w:color="auto"/>
        <w:bottom w:val="none" w:sz="0" w:space="0" w:color="auto"/>
        <w:right w:val="none" w:sz="0" w:space="0" w:color="auto"/>
      </w:divBdr>
    </w:div>
    <w:div w:id="1335457733">
      <w:bodyDiv w:val="1"/>
      <w:marLeft w:val="0"/>
      <w:marRight w:val="0"/>
      <w:marTop w:val="0"/>
      <w:marBottom w:val="0"/>
      <w:divBdr>
        <w:top w:val="none" w:sz="0" w:space="0" w:color="auto"/>
        <w:left w:val="none" w:sz="0" w:space="0" w:color="auto"/>
        <w:bottom w:val="none" w:sz="0" w:space="0" w:color="auto"/>
        <w:right w:val="none" w:sz="0" w:space="0" w:color="auto"/>
      </w:divBdr>
      <w:divsChild>
        <w:div w:id="925725459">
          <w:marLeft w:val="0"/>
          <w:marRight w:val="0"/>
          <w:marTop w:val="0"/>
          <w:marBottom w:val="0"/>
          <w:divBdr>
            <w:top w:val="none" w:sz="0" w:space="0" w:color="auto"/>
            <w:left w:val="none" w:sz="0" w:space="0" w:color="auto"/>
            <w:bottom w:val="none" w:sz="0" w:space="0" w:color="auto"/>
            <w:right w:val="none" w:sz="0" w:space="0" w:color="auto"/>
          </w:divBdr>
          <w:divsChild>
            <w:div w:id="1612009542">
              <w:marLeft w:val="0"/>
              <w:marRight w:val="0"/>
              <w:marTop w:val="0"/>
              <w:marBottom w:val="0"/>
              <w:divBdr>
                <w:top w:val="none" w:sz="0" w:space="0" w:color="auto"/>
                <w:left w:val="none" w:sz="0" w:space="0" w:color="auto"/>
                <w:bottom w:val="none" w:sz="0" w:space="0" w:color="auto"/>
                <w:right w:val="none" w:sz="0" w:space="0" w:color="auto"/>
              </w:divBdr>
              <w:divsChild>
                <w:div w:id="1945377026">
                  <w:marLeft w:val="0"/>
                  <w:marRight w:val="0"/>
                  <w:marTop w:val="0"/>
                  <w:marBottom w:val="0"/>
                  <w:divBdr>
                    <w:top w:val="none" w:sz="0" w:space="0" w:color="auto"/>
                    <w:left w:val="none" w:sz="0" w:space="0" w:color="auto"/>
                    <w:bottom w:val="none" w:sz="0" w:space="0" w:color="auto"/>
                    <w:right w:val="none" w:sz="0" w:space="0" w:color="auto"/>
                  </w:divBdr>
                  <w:divsChild>
                    <w:div w:id="2124034518">
                      <w:marLeft w:val="0"/>
                      <w:marRight w:val="0"/>
                      <w:marTop w:val="0"/>
                      <w:marBottom w:val="0"/>
                      <w:divBdr>
                        <w:top w:val="none" w:sz="0" w:space="0" w:color="auto"/>
                        <w:left w:val="none" w:sz="0" w:space="0" w:color="auto"/>
                        <w:bottom w:val="none" w:sz="0" w:space="0" w:color="auto"/>
                        <w:right w:val="none" w:sz="0" w:space="0" w:color="auto"/>
                      </w:divBdr>
                      <w:divsChild>
                        <w:div w:id="570964666">
                          <w:marLeft w:val="0"/>
                          <w:marRight w:val="0"/>
                          <w:marTop w:val="0"/>
                          <w:marBottom w:val="0"/>
                          <w:divBdr>
                            <w:top w:val="none" w:sz="0" w:space="0" w:color="auto"/>
                            <w:left w:val="none" w:sz="0" w:space="0" w:color="auto"/>
                            <w:bottom w:val="none" w:sz="0" w:space="0" w:color="auto"/>
                            <w:right w:val="none" w:sz="0" w:space="0" w:color="auto"/>
                          </w:divBdr>
                          <w:divsChild>
                            <w:div w:id="607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98547">
      <w:bodyDiv w:val="1"/>
      <w:marLeft w:val="0"/>
      <w:marRight w:val="0"/>
      <w:marTop w:val="0"/>
      <w:marBottom w:val="0"/>
      <w:divBdr>
        <w:top w:val="none" w:sz="0" w:space="0" w:color="auto"/>
        <w:left w:val="none" w:sz="0" w:space="0" w:color="auto"/>
        <w:bottom w:val="none" w:sz="0" w:space="0" w:color="auto"/>
        <w:right w:val="none" w:sz="0" w:space="0" w:color="auto"/>
      </w:divBdr>
    </w:div>
    <w:div w:id="1565798367">
      <w:bodyDiv w:val="1"/>
      <w:marLeft w:val="0"/>
      <w:marRight w:val="0"/>
      <w:marTop w:val="0"/>
      <w:marBottom w:val="0"/>
      <w:divBdr>
        <w:top w:val="none" w:sz="0" w:space="0" w:color="auto"/>
        <w:left w:val="none" w:sz="0" w:space="0" w:color="auto"/>
        <w:bottom w:val="none" w:sz="0" w:space="0" w:color="auto"/>
        <w:right w:val="none" w:sz="0" w:space="0" w:color="auto"/>
      </w:divBdr>
    </w:div>
    <w:div w:id="19679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mailto:jo@uchc.edu" TargetMode="Externa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14216</Words>
  <Characters>81032</Characters>
  <Application>Microsoft Office Word</Application>
  <DocSecurity>0</DocSecurity>
  <Lines>675</Lines>
  <Paragraphs>190</Paragraphs>
  <ScaleCrop>false</ScaleCrop>
  <Company/>
  <LinksUpToDate>false</LinksUpToDate>
  <CharactersWithSpaces>95058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Zeyu</dc:creator>
  <cp:keywords/>
  <dc:description/>
  <cp:lastModifiedBy>Hu, Zeyu</cp:lastModifiedBy>
  <cp:revision>2</cp:revision>
  <dcterms:created xsi:type="dcterms:W3CDTF">2024-11-06T16:06:00Z</dcterms:created>
  <dcterms:modified xsi:type="dcterms:W3CDTF">2024-11-06T16:06:00Z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id="UCE4EIj4"/&gt;&lt;style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