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baz</w:t>
      </w:r>
    </w:p>
    <w:p>
      <w:pPr>
        <w:pStyle w:val="Author"/>
      </w:pPr>
      <w:r>
        <w:t xml:space="preserve">Toby</w:t>
      </w:r>
      <w:r>
        <w:t xml:space="preserve"> </w:t>
      </w:r>
      <w:r>
        <w:t xml:space="preserve">D</w:t>
      </w:r>
    </w:p>
    <w:p>
      <w:pPr>
        <w:pStyle w:val="Date"/>
      </w:pPr>
      <w:r>
        <w:t xml:space="preserve">3/8/23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BodyText"/>
      </w:pPr>
      <w:r>
        <w:t xml:space="preserve">By the way, the equation</w:t>
      </w:r>
    </w:p>
    <w:p>
      <w:pPr>
        <w:pStyle w:val="BodyText"/>
      </w:pPr>
      <w:bookmarkStart w:id="22" w:name="eq-euler-identity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22"/>
    </w:p>
    <w:p>
      <w:pPr>
        <w:pStyle w:val="FirstParagraph"/>
      </w:pPr>
      <w:r>
        <w:t xml:space="preserve">is rather cool. When you evaluate</w:t>
      </w:r>
      <w:r>
        <w:t xml:space="preserve"> </w:t>
      </w:r>
      <w:hyperlink w:anchor="eq-euler-identity">
        <w:r>
          <w:rPr>
            <w:rStyle w:val="Hyperlink"/>
          </w:rPr>
          <w:t xml:space="preserve">Equation 1.1</w:t>
        </w:r>
      </w:hyperlink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, it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Python is aware of this fact, too: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exp( </w:t>
      </w:r>
      <w:r>
        <w:rPr>
          <w:rStyle w:val="OtherTok"/>
        </w:rPr>
        <w:t xml:space="preserve">1j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 )</w:t>
      </w:r>
    </w:p>
    <w:p>
      <w:pPr>
        <w:pStyle w:val="SourceCode"/>
      </w:pPr>
      <w:r>
        <w:rPr>
          <w:rStyle w:val="VerbatimChar"/>
        </w:rPr>
        <w:t xml:space="preserve">(-1+1.2246467991473532e-16j)</w:t>
      </w:r>
    </w:p>
    <w:bookmarkEnd w:id="23"/>
    <w:bookmarkStart w:id="24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4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6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</dc:title>
  <dc:creator>Toby D</dc:creator>
  <cp:keywords/>
  <dcterms:created xsi:type="dcterms:W3CDTF">2023-03-08T19:03:00Z</dcterms:created>
  <dcterms:modified xsi:type="dcterms:W3CDTF">2023-03-08T19:03:00Z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3/8/23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