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Times New Roman" w:cs="Times New Roman" w:eastAsia="Times New Roman" w:hAnsi="Times New Roman"/>
          <w:b/>
          <w:bCs/>
          <w:sz w:val="28"/>
          <w:szCs w:val="28"/>
        </w:rPr>
        <w:t xml:space="preserve">School of Computer Science and Engineering</w:t>
      </w:r>
    </w:p>
    <w:p>
      <w:pPr>
        <w:spacing w:before="100" w:after="600"/>
        <w:jc w:val="center"/>
      </w:pPr>
      <w:r>
        <w:rPr>
          <w:rFonts w:ascii="Times New Roman" w:cs="Times New Roman" w:eastAsia="Times New Roman" w:hAnsi="Times New Roman"/>
          <w:b/>
          <w:bCs/>
          <w:sz w:val="26"/>
          <w:szCs w:val="26"/>
        </w:rPr>
        <w:t xml:space="preserve">Major Project Progress Report – Phase 2 Review 1</w:t>
      </w:r>
    </w:p>
    <w:p>
      <w:pPr>
        <w:spacing w:before="800"/>
        <w:jc w:val="center"/>
      </w:pPr>
      <w:r>
        <w:rPr>
          <w:rFonts w:ascii="Times New Roman" w:cs="Times New Roman" w:eastAsia="Times New Roman" w:hAnsi="Times New Roman"/>
          <w:i/>
          <w:iCs/>
          <w:color w:val="888888"/>
          <w:sz w:val="24"/>
          <w:szCs w:val="24"/>
        </w:rPr>
        <w:t xml:space="preserve">[This page is to be filled manually by the project group]</w:t>
      </w:r>
    </w:p>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rFonts w:ascii="Times New Roman" w:cs="Times New Roman" w:eastAsia="Times New Roman" w:hAnsi="Times New Roman"/>
          <w:b/>
          <w:bCs/>
          <w:sz w:val="28"/>
          <w:szCs w:val="28"/>
        </w:rPr>
        <w:t xml:space="preserve">1. Abstract</w:t>
      </w:r>
    </w:p>
    <w:p>
      <w:pPr>
        <w:spacing w:line="360" w:before="80" w:after="80"/>
        <w:jc w:val="both"/>
      </w:pPr>
      <w:r>
        <w:rPr>
          <w:rFonts w:ascii="Times New Roman" w:cs="Times New Roman" w:eastAsia="Times New Roman" w:hAnsi="Times New Roman"/>
          <w:sz w:val="24"/>
          <w:szCs w:val="24"/>
        </w:rPr>
        <w:t xml:space="preserve">Cotton is one of the most economically significant cash crops cultivated worldwide, serving as a primary raw material for the global textile industry and constituting a major agricultural export for several developing nations. Despite its economic importance, cotton cultivation is highly susceptible to a range of biotic and abiotic stresses, including bacterial, fungal, and viral leaf diseases as well as nutrient deficiencies, all of which significantly impair crop yield and fibre quality. The timely and accurate identification of such conditions is of paramount importance in order to minimise economic losses and promote sustainable agricultural practices.</w:t>
      </w:r>
    </w:p>
    <w:p>
      <w:pPr>
        <w:spacing w:line="360" w:before="80" w:after="80"/>
        <w:jc w:val="both"/>
      </w:pPr>
      <w:r>
        <w:rPr>
          <w:rFonts w:ascii="Times New Roman" w:cs="Times New Roman" w:eastAsia="Times New Roman" w:hAnsi="Times New Roman"/>
          <w:sz w:val="24"/>
          <w:szCs w:val="24"/>
        </w:rPr>
        <w:t xml:space="preserve">Conventional approaches to diagnosing cotton diseases rely predominantly on manual field examination by agricultural specialists. Such methods are inherently subjective, time-intensive, and prone to human error, particularly when applied across large-scale farming operations. Furthermore, access to trained agricultural experts is limited in rural areas, resulting in delayed diagnosis and inappropriate application of pesticides and fertilisers.</w:t>
      </w:r>
    </w:p>
    <w:p>
      <w:pPr>
        <w:spacing w:line="360" w:before="80" w:after="80"/>
        <w:jc w:val="both"/>
      </w:pPr>
      <w:r>
        <w:rPr>
          <w:rFonts w:ascii="Times New Roman" w:cs="Times New Roman" w:eastAsia="Times New Roman" w:hAnsi="Times New Roman"/>
          <w:sz w:val="24"/>
          <w:szCs w:val="24"/>
        </w:rPr>
        <w:t xml:space="preserve">The CottonCare AI system addresses these limitations by proposing an integrated, intelligent platform for cotton leaf disease detection and treatment support. The system employs the EfficientNet deep learning architecture, enhanced through transfer learning on the ImageNet dataset and fine-tuned on real-field cotton leaf imagery, to classify major cotton leaf diseases, nutrient deficiencies, and healthy leaf conditions with high accuracy and computational efficiency. Beyond disease classification, the system incorporates a severity estimation module and a treatment recommendation module generating both chemical and organic guidance. Explainable AI techniques (Grad-CAM and SHAP) enhance model transparency, while the full platform is deployed as a mobile and web-based application for real-time farmer access.</w:t>
      </w:r>
    </w:p>
    <w:p>
      <w:r>
        <w:rPr>
          <w:rFonts w:ascii="Times New Roman" w:cs="Times New Roman" w:eastAsia="Times New Roman" w:hAnsi="Times New Roman"/>
          <w:sz w:val="24"/>
          <w:szCs w:val="24"/>
        </w:rPr>
        <w:t xml:space="preserve"/>
      </w:r>
    </w:p>
    <w:p>
      <w:pPr>
        <w:pStyle w:val="Heading1"/>
        <w:spacing w:before="360" w:after="180"/>
      </w:pPr>
      <w:r>
        <w:rPr>
          <w:rFonts w:ascii="Times New Roman" w:cs="Times New Roman" w:eastAsia="Times New Roman" w:hAnsi="Times New Roman"/>
          <w:b/>
          <w:bCs/>
          <w:sz w:val="28"/>
          <w:szCs w:val="28"/>
        </w:rPr>
        <w:t xml:space="preserve">2. Objectives</w:t>
      </w:r>
    </w:p>
    <w:p>
      <w:pPr>
        <w:spacing w:line="360" w:before="80" w:after="80"/>
        <w:jc w:val="both"/>
      </w:pPr>
      <w:r>
        <w:rPr>
          <w:rFonts w:ascii="Times New Roman" w:cs="Times New Roman" w:eastAsia="Times New Roman" w:hAnsi="Times New Roman"/>
          <w:sz w:val="24"/>
          <w:szCs w:val="24"/>
        </w:rPr>
        <w:t xml:space="preserve">The CottonCare AI project is guided by the following well-defined technical and functional objectives:</w:t>
      </w:r>
    </w:p>
    <w:p>
      <w:r>
        <w:rPr>
          <w:rFonts w:ascii="Times New Roman" w:cs="Times New Roman" w:eastAsia="Times New Roman" w:hAnsi="Times New Roman"/>
          <w:sz w:val="24"/>
          <w:szCs w:val="24"/>
        </w:rPr>
        <w:t xml:space="preserve"/>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develop an EfficientNet-based deep learning classification model capable of accurately identifying major cotton leaf diseases and nutrient deficiency conditions using real-field leaf imagery.</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implement a comprehensive data acquisition and preprocessing pipeline encompassing image resizing, normalisation, noise reduction, and data augmentation to improve model generalisation against diverse environmental conditions.</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design and integrate a quantitative severity estimation module that classifies disease progression into three actionable categories: mild, moderate, and severe.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construct a knowledge-driven treatment recommendation system delivering both chemical and organic therapeutic guidance tailored to disease type and severity level.</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incorporate Explainable AI methodologies (Grad-CAM and SHAP) to generate visually interpretable heatmaps and feature importance explanations, improving transparency and trust in model predictions.</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develop and deploy a user-friendly, scalable, role-based web and mobile application architecture enabling farmers, experts, and administrators to interact with the platform according to their respective roles.</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conduct rigorous experimental evaluation using accuracy, precision, recall, and F1-score, and to validate model superiority over baseline architectures including VGG16, ResNet50, DenseNet121, and InceptionV3.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To facilitate precision agriculture by minimising unnecessary pesticide consumption through severity-aware, targeted treatment recommendations and real-time diagnostic capabilities accessible to small-scale farmers.</w:t>
      </w:r>
    </w:p>
    <w:p>
      <w:r>
        <w:rPr>
          <w:rFonts w:ascii="Times New Roman" w:cs="Times New Roman" w:eastAsia="Times New Roman" w:hAnsi="Times New Roman"/>
          <w:sz w:val="24"/>
          <w:szCs w:val="24"/>
        </w:rPr>
        <w:t xml:space="preserve"/>
      </w:r>
    </w:p>
    <w:p>
      <w:r>
        <w:br w:type="page"/>
      </w:r>
    </w:p>
    <w:p>
      <w:pPr>
        <w:pStyle w:val="Heading1"/>
        <w:spacing w:before="360" w:after="180"/>
      </w:pPr>
      <w:r>
        <w:rPr>
          <w:rFonts w:ascii="Times New Roman" w:cs="Times New Roman" w:eastAsia="Times New Roman" w:hAnsi="Times New Roman"/>
          <w:b/>
          <w:bCs/>
          <w:sz w:val="28"/>
          <w:szCs w:val="28"/>
        </w:rPr>
        <w:t xml:space="preserve">3. Project Implementation</w:t>
      </w:r>
    </w:p>
    <w:p>
      <w:pPr>
        <w:spacing w:line="360" w:before="80" w:after="80"/>
        <w:jc w:val="both"/>
      </w:pPr>
      <w:r>
        <w:rPr>
          <w:rFonts w:ascii="Times New Roman" w:cs="Times New Roman" w:eastAsia="Times New Roman" w:hAnsi="Times New Roman"/>
          <w:sz w:val="24"/>
          <w:szCs w:val="24"/>
        </w:rPr>
        <w:t xml:space="preserve">This section presents a detailed account of the technical design and implementation of the CottonCare AI system across five sub-sections.</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3.1 Architectural Design</w:t>
      </w:r>
    </w:p>
    <w:p>
      <w:pPr>
        <w:spacing w:line="360" w:before="80" w:after="80"/>
        <w:jc w:val="both"/>
      </w:pPr>
      <w:r>
        <w:rPr>
          <w:rFonts w:ascii="Times New Roman" w:cs="Times New Roman" w:eastAsia="Times New Roman" w:hAnsi="Times New Roman"/>
          <w:sz w:val="24"/>
          <w:szCs w:val="24"/>
        </w:rPr>
        <w:t xml:space="preserve">The CottonCare AI system is designed around a layered, modular, and scalable multi-tier architecture separating concerns across data acquisition, deep learning inference, explainability, decision support, and user interaction. The overall architecture follows a client-server model augmented by a cloud-based deployment infrastructure, ensuring real-time responsiveness and horizontal scalability. The complete system architecture is illustrated in Figure 1.</w:t>
      </w:r>
    </w:p>
    <w:p>
      <w:r>
        <w:rPr>
          <w:rFonts w:ascii="Times New Roman" w:cs="Times New Roman" w:eastAsia="Times New Roman" w:hAnsi="Times New Roman"/>
          <w:sz w:val="24"/>
          <w:szCs w:val="24"/>
        </w:rPr>
        <w:t xml:space="preserve"/>
      </w:r>
    </w:p>
    <w:p>
      <w:pPr>
        <w:spacing w:before="160" w:after="60"/>
        <w:jc w:val="center"/>
      </w:pPr>
      <w:r>
        <w:drawing>
          <wp:inline distT="0" distB="0" distL="0" distR="0">
            <wp:extent cx="4572000" cy="3267075"/>
            <wp:effectExtent t="0" r="0" b="0" l="0"/>
            <wp:docPr id="1" name="Figure 1: CottonCare AI – System Architecture Diagram" descr="Figure 1: CottonCare AI – System Architecture Diagram" title="Figure 1: CottonCare AI –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before="30" w:after="180"/>
        <w:jc w:val="center"/>
      </w:pPr>
      <w:r>
        <w:rPr>
          <w:rFonts w:ascii="Times New Roman" w:cs="Times New Roman" w:eastAsia="Times New Roman" w:hAnsi="Times New Roman"/>
          <w:b/>
          <w:bCs/>
          <w:i/>
          <w:iCs/>
          <w:sz w:val="22"/>
          <w:szCs w:val="22"/>
        </w:rPr>
        <w:t xml:space="preserve">Figure 1: CottonCare AI – System Architecture Diagram</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3.1.1 Data Layer</w:t>
      </w:r>
    </w:p>
    <w:p>
      <w:pPr>
        <w:spacing w:line="360" w:before="80" w:after="80"/>
        <w:jc w:val="both"/>
      </w:pPr>
      <w:r>
        <w:rPr>
          <w:rFonts w:ascii="Times New Roman" w:cs="Times New Roman" w:eastAsia="Times New Roman" w:hAnsi="Times New Roman"/>
          <w:sz w:val="24"/>
          <w:szCs w:val="24"/>
        </w:rPr>
        <w:t xml:space="preserve">The data layer manages cotton leaf image acquisition and storage. Images are sourced from real-field farms and public datasets (PlantVillage, Kaggle Cotton Plant Disease). Predictions, XAI artefacts, and treatment records are persisted in a PostgreSQL relational database. Redis serves as an in-memory caching layer for the treatment knowledge base, reducing database load and improving latency.</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3.1.2 Backend Inference and API Layer</w:t>
      </w:r>
    </w:p>
    <w:p>
      <w:pPr>
        <w:spacing w:line="360" w:before="80" w:after="80"/>
        <w:jc w:val="both"/>
      </w:pPr>
      <w:r>
        <w:rPr>
          <w:rFonts w:ascii="Times New Roman" w:cs="Times New Roman" w:eastAsia="Times New Roman" w:hAnsi="Times New Roman"/>
          <w:sz w:val="24"/>
          <w:szCs w:val="24"/>
        </w:rPr>
        <w:t xml:space="preserve">The backend is implemented using FastAPI and comprises two functional tracks: a modular production API track (app/) handling authentication, user management, and routing; and a specialised XAI inference track (services/) hosting the deep learning inference endpoints, Grad-CAM and SHAP modules, severity estimation engine, and treatment recommendation service. The inference pipeline receives a multipart image, preprocesses it to a 380×380 pixel EfficientNet-compatible tensor, classifies the disease, estimates severity, generates XAI explanations, and assembles the diagnostic payload.</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3.1.3 Model Layer</w:t>
      </w:r>
    </w:p>
    <w:p>
      <w:pPr>
        <w:spacing w:line="360" w:before="80" w:after="80"/>
        <w:jc w:val="both"/>
      </w:pPr>
      <w:r>
        <w:rPr>
          <w:rFonts w:ascii="Times New Roman" w:cs="Times New Roman" w:eastAsia="Times New Roman" w:hAnsi="Times New Roman"/>
          <w:sz w:val="24"/>
          <w:szCs w:val="24"/>
        </w:rPr>
        <w:t xml:space="preserve">The core is an EfficientNet-B4 convolutional neural network fine-tuned on the cotton disease dataset via two-phase transfer learning. The Adam optimiser with categorical cross-entropy loss, early stopping, and learning rate scheduling are employed. The trained model is serialised as cotton_model_final.keras and loaded at service startup.</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3.1.4 Client Layer</w:t>
      </w:r>
    </w:p>
    <w:p>
      <w:pPr>
        <w:spacing w:line="360" w:before="80" w:after="80"/>
        <w:jc w:val="both"/>
      </w:pPr>
      <w:r>
        <w:rPr>
          <w:rFonts w:ascii="Times New Roman" w:cs="Times New Roman" w:eastAsia="Times New Roman" w:hAnsi="Times New Roman"/>
          <w:sz w:val="24"/>
          <w:szCs w:val="24"/>
        </w:rPr>
        <w:t xml:space="preserve">Three front-end implementations maximise accessibility: a React.js web dashboard for experts and administrators; a Flutter-based cross-platform mobile application for farmers with camera, gallery upload, and local persistence; and a native Android client (Java/OkHttp) for devices not supporting Flutter.</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3.1.5 Deployment Layer</w:t>
      </w:r>
    </w:p>
    <w:p>
      <w:pPr>
        <w:spacing w:line="360" w:before="80" w:after="80"/>
        <w:jc w:val="both"/>
      </w:pPr>
      <w:r>
        <w:rPr>
          <w:rFonts w:ascii="Times New Roman" w:cs="Times New Roman" w:eastAsia="Times New Roman" w:hAnsi="Times New Roman"/>
          <w:sz w:val="24"/>
          <w:szCs w:val="24"/>
        </w:rPr>
        <w:t xml:space="preserve">The infrastructure is containerised using Docker and orchestrated via Docker Compose for development and Kubernetes for production (3 replicas, LoadBalancer). Production startup uses Gunicorn with Uvicorn workers.</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3.2 Class Diagram</w:t>
      </w:r>
    </w:p>
    <w:p>
      <w:pPr>
        <w:spacing w:line="360" w:before="80" w:after="80"/>
        <w:jc w:val="both"/>
      </w:pPr>
      <w:r>
        <w:rPr>
          <w:rFonts w:ascii="Times New Roman" w:cs="Times New Roman" w:eastAsia="Times New Roman" w:hAnsi="Times New Roman"/>
          <w:sz w:val="24"/>
          <w:szCs w:val="24"/>
        </w:rPr>
        <w:t xml:space="preserve">The UML class diagram represents the primary domain entities, their attributes, methods, and inter-relationships as implemented in the object-relational model (app/models/__init__.py) and the service layer. The class diagram is presented in Figure 2.</w:t>
      </w:r>
    </w:p>
    <w:p>
      <w:r>
        <w:rPr>
          <w:rFonts w:ascii="Times New Roman" w:cs="Times New Roman" w:eastAsia="Times New Roman" w:hAnsi="Times New Roman"/>
          <w:sz w:val="24"/>
          <w:szCs w:val="24"/>
        </w:rPr>
        <w:t xml:space="preserve"/>
      </w:r>
    </w:p>
    <w:p>
      <w:pPr>
        <w:spacing w:before="160" w:after="60"/>
        <w:jc w:val="center"/>
      </w:pPr>
      <w:r>
        <w:drawing>
          <wp:inline distT="0" distB="0" distL="0" distR="0">
            <wp:extent cx="4667250" cy="3209925"/>
            <wp:effectExtent t="0" r="0" b="0" l="0"/>
            <wp:docPr id="1" name="Figure 2: CottonCare AI – UML Class Diagram" descr="Figure 2: CottonCare AI – UML Class Diagram" title="Figure 2: CottonCare AI –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3209925"/>
                    </a:xfrm>
                    <a:prstGeom prst="rect">
                      <a:avLst/>
                    </a:prstGeom>
                  </pic:spPr>
                </pic:pic>
              </a:graphicData>
            </a:graphic>
          </wp:inline>
        </w:drawing>
      </w:r>
    </w:p>
    <w:p>
      <w:pPr>
        <w:spacing w:before="30" w:after="180"/>
        <w:jc w:val="center"/>
      </w:pPr>
      <w:r>
        <w:rPr>
          <w:rFonts w:ascii="Times New Roman" w:cs="Times New Roman" w:eastAsia="Times New Roman" w:hAnsi="Times New Roman"/>
          <w:b/>
          <w:bCs/>
          <w:i/>
          <w:iCs/>
          <w:sz w:val="22"/>
          <w:szCs w:val="22"/>
        </w:rPr>
        <w:t xml:space="preserve">Figure 2: CottonCare AI – UML Class Diagram</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Primary Classes:</w:t>
      </w:r>
    </w:p>
    <w:p>
      <w:pPr>
        <w:spacing w:line="360" w:before="80" w:after="80"/>
        <w:jc w:val="both"/>
      </w:pPr>
      <w:r>
        <w:rPr>
          <w:rFonts w:ascii="Times New Roman" w:cs="Times New Roman" w:eastAsia="Times New Roman" w:hAnsi="Times New Roman"/>
          <w:sz w:val="24"/>
          <w:szCs w:val="24"/>
        </w:rPr>
        <w:t xml:space="preserve">User: Attributes include user_id (UUID PK), full_name, email (UNIQUE), hashed_password, role (farmer/expert/admin), is_active, is_email_verified, created_at, updated_at. Methods: authenticate(), update_profile(), deactivate().</w:t>
      </w:r>
    </w:p>
    <w:p>
      <w:pPr>
        <w:spacing w:line="360" w:before="80" w:after="80"/>
        <w:jc w:val="both"/>
      </w:pPr>
      <w:r>
        <w:rPr>
          <w:rFonts w:ascii="Times New Roman" w:cs="Times New Roman" w:eastAsia="Times New Roman" w:hAnsi="Times New Roman"/>
          <w:sz w:val="24"/>
          <w:szCs w:val="24"/>
        </w:rPr>
        <w:t xml:space="preserve">Prediction: Attributes include prediction_id (UUID PK), user_id (FK), image_path, disease_class, confidence, all_class_probabilities (JSON), severity_level (mild/moderate/severe), severity_score, xai_payload (JSON), visualization_link, verification_status, created_at. Methods: compute_severity(), generate_xai().</w:t>
      </w:r>
    </w:p>
    <w:p>
      <w:pPr>
        <w:spacing w:line="360" w:before="80" w:after="80"/>
        <w:jc w:val="both"/>
      </w:pPr>
      <w:r>
        <w:rPr>
          <w:rFonts w:ascii="Times New Roman" w:cs="Times New Roman" w:eastAsia="Times New Roman" w:hAnsi="Times New Roman"/>
          <w:sz w:val="24"/>
          <w:szCs w:val="24"/>
        </w:rPr>
        <w:t xml:space="preserve">Verification: Attributes include verification_id (UUID PK), prediction_id (FK), expert_id (FK → User), status (approved/rejected/needs_review/pending), comments, corrected_class, reviewed_at. Methods: approve(), reject(), flag_for_review().</w:t>
      </w:r>
    </w:p>
    <w:p>
      <w:pPr>
        <w:spacing w:line="360" w:before="80" w:after="80"/>
        <w:jc w:val="both"/>
      </w:pPr>
      <w:r>
        <w:rPr>
          <w:rFonts w:ascii="Times New Roman" w:cs="Times New Roman" w:eastAsia="Times New Roman" w:hAnsi="Times New Roman"/>
          <w:sz w:val="24"/>
          <w:szCs w:val="24"/>
        </w:rPr>
        <w:t xml:space="preserve">Treatment: Attributes include treatment_id (UUID PK), disease_class, severity_level, chemical_treatment (JSON), organic_treatment (JSON), preventive_measures (JSON[]). Method: get_recommendation(disease, severity).</w:t>
      </w:r>
    </w:p>
    <w:p>
      <w:pPr>
        <w:spacing w:line="360" w:before="80" w:after="80"/>
        <w:jc w:val="both"/>
      </w:pPr>
      <w:r>
        <w:rPr>
          <w:rFonts w:ascii="Times New Roman" w:cs="Times New Roman" w:eastAsia="Times New Roman" w:hAnsi="Times New Roman"/>
          <w:sz w:val="24"/>
          <w:szCs w:val="24"/>
        </w:rPr>
        <w:t xml:space="preserve">AuditLog: Attributes include log_id (UUID PK), user_id (FK), action, resource, event_type, timestamp, ip_address. Method: create_entry().</w:t>
      </w:r>
    </w:p>
    <w:p>
      <w:pPr>
        <w:spacing w:line="360" w:before="80" w:after="80"/>
        <w:jc w:val="both"/>
      </w:pPr>
      <w:r>
        <w:rPr>
          <w:rFonts w:ascii="Times New Roman" w:cs="Times New Roman" w:eastAsia="Times New Roman" w:hAnsi="Times New Roman"/>
          <w:sz w:val="24"/>
          <w:szCs w:val="24"/>
        </w:rPr>
        <w:t xml:space="preserve">UserStatistics and SystemMetrics: Aggregate analytics classes storing computed usage and model performance metrics.</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Key Relationships:</w:t>
      </w:r>
    </w:p>
    <w:p>
      <w:pPr>
        <w:spacing w:line="360" w:before="80" w:after="80"/>
        <w:jc w:val="both"/>
      </w:pPr>
      <w:r>
        <w:rPr>
          <w:rFonts w:ascii="Times New Roman" w:cs="Times New Roman" w:eastAsia="Times New Roman" w:hAnsi="Times New Roman"/>
          <w:sz w:val="24"/>
          <w:szCs w:val="24"/>
        </w:rPr>
        <w:t xml:space="preserve">User (1) → Prediction (N): a user may submit multiple scans. Prediction (1) → Verification (0..1): a prediction may have one optional expert review. Verification references User (expert role). Prediction (N) references Treatment (1) by disease class and severity. User (1) → AuditLog (N). User (1) → UserStatistics (1).</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3.3 Entity Relationship Model</w:t>
      </w:r>
    </w:p>
    <w:p>
      <w:pPr>
        <w:spacing w:line="360" w:before="80" w:after="80"/>
        <w:jc w:val="both"/>
      </w:pPr>
      <w:r>
        <w:rPr>
          <w:rFonts w:ascii="Times New Roman" w:cs="Times New Roman" w:eastAsia="Times New Roman" w:hAnsi="Times New Roman"/>
          <w:sz w:val="24"/>
          <w:szCs w:val="24"/>
        </w:rPr>
        <w:t xml:space="preserve">The ER model defines the persistent data entities stored in the PostgreSQL database, their attributes, and the cardinality of their relationships. The ER diagram is presented in Figure 3.</w:t>
      </w:r>
    </w:p>
    <w:p>
      <w:r>
        <w:rPr>
          <w:rFonts w:ascii="Times New Roman" w:cs="Times New Roman" w:eastAsia="Times New Roman" w:hAnsi="Times New Roman"/>
          <w:sz w:val="24"/>
          <w:szCs w:val="24"/>
        </w:rPr>
        <w:t xml:space="preserve"/>
      </w:r>
    </w:p>
    <w:p>
      <w:pPr>
        <w:spacing w:before="160" w:after="60"/>
        <w:jc w:val="center"/>
      </w:pPr>
      <w:r>
        <w:drawing>
          <wp:inline distT="0" distB="0" distL="0" distR="0">
            <wp:extent cx="4667250" cy="3114675"/>
            <wp:effectExtent t="0" r="0" b="0" l="0"/>
            <wp:docPr id="1" name="Figure 3: CottonCare AI – Entity Relationship (ER) Diagram" descr="Figure 3: CottonCare AI – Entity Relationship (ER) Diagram" title="Figure 3: CottonCare AI – Entity Relationship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3114675"/>
                    </a:xfrm>
                    <a:prstGeom prst="rect">
                      <a:avLst/>
                    </a:prstGeom>
                  </pic:spPr>
                </pic:pic>
              </a:graphicData>
            </a:graphic>
          </wp:inline>
        </w:drawing>
      </w:r>
    </w:p>
    <w:p>
      <w:pPr>
        <w:spacing w:before="30" w:after="180"/>
        <w:jc w:val="center"/>
      </w:pPr>
      <w:r>
        <w:rPr>
          <w:rFonts w:ascii="Times New Roman" w:cs="Times New Roman" w:eastAsia="Times New Roman" w:hAnsi="Times New Roman"/>
          <w:b/>
          <w:bCs/>
          <w:i/>
          <w:iCs/>
          <w:sz w:val="22"/>
          <w:szCs w:val="22"/>
        </w:rPr>
        <w:t xml:space="preserve">Figure 3: CottonCare AI – Entity Relationship (ER) Diagram</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Entities and Primary Keys:</w:t>
      </w:r>
    </w:p>
    <w:p>
      <w:pPr>
        <w:spacing w:line="360" w:before="80" w:after="80"/>
        <w:jc w:val="both"/>
      </w:pPr>
      <w:r>
        <w:rPr>
          <w:rFonts w:ascii="Times New Roman" w:cs="Times New Roman" w:eastAsia="Times New Roman" w:hAnsi="Times New Roman"/>
          <w:sz w:val="24"/>
          <w:szCs w:val="24"/>
        </w:rPr>
        <w:t xml:space="preserve">USERS (user_id PK, full_name, email UNIQUE, hashed_password, role, is_active, is_email_verified, created_at, updated_at)</w:t>
      </w:r>
    </w:p>
    <w:p>
      <w:pPr>
        <w:spacing w:line="360" w:before="80" w:after="80"/>
        <w:jc w:val="both"/>
      </w:pPr>
      <w:r>
        <w:rPr>
          <w:rFonts w:ascii="Times New Roman" w:cs="Times New Roman" w:eastAsia="Times New Roman" w:hAnsi="Times New Roman"/>
          <w:sz w:val="24"/>
          <w:szCs w:val="24"/>
        </w:rPr>
        <w:t xml:space="preserve">PREDICTIONS (prediction_id PK, user_id FK→USERS, image_path, disease_class, confidence, all_class_probabilities, severity_level, severity_score, xai_payload, visualization_link, verification_status, created_at)</w:t>
      </w:r>
    </w:p>
    <w:p>
      <w:pPr>
        <w:spacing w:line="360" w:before="80" w:after="80"/>
        <w:jc w:val="both"/>
      </w:pPr>
      <w:r>
        <w:rPr>
          <w:rFonts w:ascii="Times New Roman" w:cs="Times New Roman" w:eastAsia="Times New Roman" w:hAnsi="Times New Roman"/>
          <w:sz w:val="24"/>
          <w:szCs w:val="24"/>
        </w:rPr>
        <w:t xml:space="preserve">VERIFICATIONS (verification_id PK, prediction_id FK→PREDICTIONS, expert_id FK→USERS, status, comments, corrected_class, reviewed_at)</w:t>
      </w:r>
    </w:p>
    <w:p>
      <w:pPr>
        <w:spacing w:line="360" w:before="80" w:after="80"/>
        <w:jc w:val="both"/>
      </w:pPr>
      <w:r>
        <w:rPr>
          <w:rFonts w:ascii="Times New Roman" w:cs="Times New Roman" w:eastAsia="Times New Roman" w:hAnsi="Times New Roman"/>
          <w:sz w:val="24"/>
          <w:szCs w:val="24"/>
        </w:rPr>
        <w:t xml:space="preserve">TREATMENTS (treatment_id PK, disease_class, severity_level, chemical_treatment [JSON], organic_treatment [JSON], preventive_measures [JSON[]])</w:t>
      </w:r>
    </w:p>
    <w:p>
      <w:pPr>
        <w:spacing w:line="360" w:before="80" w:after="80"/>
        <w:jc w:val="both"/>
      </w:pPr>
      <w:r>
        <w:rPr>
          <w:rFonts w:ascii="Times New Roman" w:cs="Times New Roman" w:eastAsia="Times New Roman" w:hAnsi="Times New Roman"/>
          <w:sz w:val="24"/>
          <w:szCs w:val="24"/>
        </w:rPr>
        <w:t xml:space="preserve">AUDIT_LOGS (log_id PK, user_id FK→USERS, action, resource, event_type, timestamp, ip_address)</w:t>
      </w:r>
    </w:p>
    <w:p>
      <w:pPr>
        <w:spacing w:line="360" w:before="80" w:after="80"/>
        <w:jc w:val="both"/>
      </w:pPr>
      <w:r>
        <w:rPr>
          <w:rFonts w:ascii="Times New Roman" w:cs="Times New Roman" w:eastAsia="Times New Roman" w:hAnsi="Times New Roman"/>
          <w:sz w:val="24"/>
          <w:szCs w:val="24"/>
        </w:rPr>
        <w:t xml:space="preserve">USER_STATISTICS (stat_id PK, user_id FK→USERS UNIQUE, total_scans, disease_distribution [JSON], last_active)</w:t>
      </w:r>
    </w:p>
    <w:p>
      <w:pPr>
        <w:spacing w:line="360" w:before="80" w:after="80"/>
        <w:jc w:val="both"/>
      </w:pPr>
      <w:r>
        <w:rPr>
          <w:rFonts w:ascii="Times New Roman" w:cs="Times New Roman" w:eastAsia="Times New Roman" w:hAnsi="Times New Roman"/>
          <w:sz w:val="24"/>
          <w:szCs w:val="24"/>
        </w:rPr>
        <w:t xml:space="preserve">SYSTEM_METRICS (metric_id PK, metric_date, total_predictions_today, model_accuracy_average, avg_inference_time_ms)</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Cardinality:</w:t>
      </w:r>
    </w:p>
    <w:p>
      <w:pPr>
        <w:spacing w:line="360" w:before="80" w:after="80"/>
        <w:jc w:val="both"/>
      </w:pPr>
      <w:r>
        <w:rPr>
          <w:rFonts w:ascii="Times New Roman" w:cs="Times New Roman" w:eastAsia="Times New Roman" w:hAnsi="Times New Roman"/>
          <w:sz w:val="24"/>
          <w:szCs w:val="24"/>
        </w:rPr>
        <w:t xml:space="preserve">USERS:PREDICTIONS = 1:N (submits). PREDICTIONS:VERIFICATIONS = 1:0..1 (reviewed by). VERIFICATIONS:USERS = N:1 (reviewed by expert). USERS:AUDIT_LOGS = 1:N (generates). USERS:USER_STATISTICS = 1:1 (has). PREDICTIONS logically references TREATMENTS by disease_class and severity_level (application-layer lookup).</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3.4 Sequence Diagram</w:t>
      </w:r>
    </w:p>
    <w:p>
      <w:pPr>
        <w:spacing w:line="360" w:before="80" w:after="80"/>
        <w:jc w:val="both"/>
      </w:pPr>
      <w:r>
        <w:rPr>
          <w:rFonts w:ascii="Times New Roman" w:cs="Times New Roman" w:eastAsia="Times New Roman" w:hAnsi="Times New Roman"/>
          <w:sz w:val="24"/>
          <w:szCs w:val="24"/>
        </w:rPr>
        <w:t xml:space="preserve">The sequence diagram illustrates the temporal ordering of interactions among system components during a typical disease detection session. Participating lifelines: Farmer (Actor), Mobile/Web Client, FastAPI Backend, Model Service, Severity Engine, XAI Explainer, Treatment DB, and PostgreSQL Database. The complete sequence diagram is presented in Figure 4.</w:t>
      </w:r>
    </w:p>
    <w:p>
      <w:r>
        <w:rPr>
          <w:rFonts w:ascii="Times New Roman" w:cs="Times New Roman" w:eastAsia="Times New Roman" w:hAnsi="Times New Roman"/>
          <w:sz w:val="24"/>
          <w:szCs w:val="24"/>
        </w:rPr>
        <w:t xml:space="preserve"/>
      </w:r>
    </w:p>
    <w:p>
      <w:pPr>
        <w:spacing w:before="160" w:after="60"/>
        <w:jc w:val="center"/>
      </w:pPr>
      <w:r>
        <w:drawing>
          <wp:inline distT="0" distB="0" distL="0" distR="0">
            <wp:extent cx="4667250" cy="3505200"/>
            <wp:effectExtent t="0" r="0" b="0" l="0"/>
            <wp:docPr id="1" name="Figure 4: CottonCare AI – Sequence Diagram (Farmer → Diagnosis Flow)" descr="Figure 4: CottonCare AI – Sequence Diagram (Farmer → Diagnosis Flow)" title="Figure 4: CottonCare AI – Sequence Diagram (Farmer → Diagnosi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3505200"/>
                    </a:xfrm>
                    <a:prstGeom prst="rect">
                      <a:avLst/>
                    </a:prstGeom>
                  </pic:spPr>
                </pic:pic>
              </a:graphicData>
            </a:graphic>
          </wp:inline>
        </w:drawing>
      </w:r>
    </w:p>
    <w:p>
      <w:pPr>
        <w:spacing w:before="30" w:after="180"/>
        <w:jc w:val="center"/>
      </w:pPr>
      <w:r>
        <w:rPr>
          <w:rFonts w:ascii="Times New Roman" w:cs="Times New Roman" w:eastAsia="Times New Roman" w:hAnsi="Times New Roman"/>
          <w:b/>
          <w:bCs/>
          <w:i/>
          <w:iCs/>
          <w:sz w:val="22"/>
          <w:szCs w:val="22"/>
        </w:rPr>
        <w:t xml:space="preserve">Figure 4: CottonCare AI – Sequence Diagram (Farmer → Diagnosis Flow)</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Step-by-Step Interaction Description:</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Farmer captures or selects a cotton leaf image via the Mobile/Web Client.</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Client validates file type (JPEG/PNG) and sends POST /predict/xai with multipart image payload.</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FastAPI Backend authenticates the JWT token and validates the file, then delegates to Model Service.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Model Service resizes image to 380×380 pixels, applies EfficientNet preprocessing, and runs inference via TensorFlow/Keras model.</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Model returns class probability distribution; Model Service extracts top class label and confidence score.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Backend invokes Severity Engine with top class and image. Engine performs HSV colour segmentation, estimates infected area ratio, and returns severity_level and severity_score.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Backend invokes XAI Explainer; it generates a Grad-CAM heatmap (GradientTape), computes SHAP attributions, performs lesion detection via contour analysis, and produces a human-readable explanation and base64-encoded heatmap overlay.</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Backend queries Treatment DB with disease_class and severity_level; receives structured chemical, organic, and preventive treatment payload.</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Backend assembles full diagnostic response payload and asynchronously persists scan, prediction, and report to PostgreSQL; a verification task is enqueued.</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Diagnostic JSON payload returned to Client; Client renders disease name, confidence, severity badge, Grad-CAM overlay, explanation, and treatment recommendation cards.</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3.5 Description of Technology Used</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3.5.1 EfficientNet Architecture</w:t>
      </w:r>
    </w:p>
    <w:p>
      <w:pPr>
        <w:spacing w:line="360" w:before="80" w:after="80"/>
        <w:jc w:val="both"/>
      </w:pPr>
      <w:r>
        <w:rPr>
          <w:rFonts w:ascii="Times New Roman" w:cs="Times New Roman" w:eastAsia="Times New Roman" w:hAnsi="Times New Roman"/>
          <w:sz w:val="24"/>
          <w:szCs w:val="24"/>
        </w:rPr>
        <w:t xml:space="preserve">EfficientNet employs a principled compound scaling methodology to simultaneously scale network depth, width, and input resolution. EfficientNet-B4 is used in CottonCare AI, achieving ~83.9% top-1 ImageNet accuracy with 19 million parameters—offering an optimal balance between representational capacity and inference latency. Pre-trained ImageNet weights are leveraged via transfer learning, with the classification head replaced by a global average pooling layer, a dropout layer (rate 0.4), and a softmax output layer.</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3.5.2 TensorFlow 2.x and Keras</w:t>
      </w:r>
    </w:p>
    <w:p>
      <w:pPr>
        <w:spacing w:line="360" w:before="80" w:after="80"/>
        <w:jc w:val="both"/>
      </w:pPr>
      <w:r>
        <w:rPr>
          <w:rFonts w:ascii="Times New Roman" w:cs="Times New Roman" w:eastAsia="Times New Roman" w:hAnsi="Times New Roman"/>
          <w:sz w:val="24"/>
          <w:szCs w:val="24"/>
        </w:rPr>
        <w:t xml:space="preserve">TensorFlow provides the computational graph engine, automatic differentiation, and GPU acceleration. Keras provides the high-level API for model construction, training, and serialisation. Training uses Adam optimiser, categorical cross-entropy loss, early stopping (patience 10), and learning rate scheduling. The trained model is saved as cotton_model_final.keras.</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3.5.3 FastAPI, Uvicorn, and Gunicorn</w:t>
      </w:r>
    </w:p>
    <w:p>
      <w:pPr>
        <w:spacing w:line="360" w:before="80" w:after="80"/>
        <w:jc w:val="both"/>
      </w:pPr>
      <w:r>
        <w:rPr>
          <w:rFonts w:ascii="Times New Roman" w:cs="Times New Roman" w:eastAsia="Times New Roman" w:hAnsi="Times New Roman"/>
          <w:sz w:val="24"/>
          <w:szCs w:val="24"/>
        </w:rPr>
        <w:t xml:space="preserve">FastAPI provides asynchronous request handling, automatic OpenAPI schema generation, Pydantic-based request validation, and dependency injection. Uvicorn is the ASGI server for development; Gunicorn with Uvicorn workers handles production multi-process concurrency.</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3.5.4 PostgreSQL, SQLAlchemy, Alembic, and Redis</w:t>
      </w:r>
    </w:p>
    <w:p>
      <w:pPr>
        <w:spacing w:line="360" w:before="80" w:after="80"/>
        <w:jc w:val="both"/>
      </w:pPr>
      <w:r>
        <w:rPr>
          <w:rFonts w:ascii="Times New Roman" w:cs="Times New Roman" w:eastAsia="Times New Roman" w:hAnsi="Times New Roman"/>
          <w:sz w:val="24"/>
          <w:szCs w:val="24"/>
        </w:rPr>
        <w:t xml:space="preserve">PostgreSQL is the ACID-compliant relational database for persistent storage. SQLAlchemy provides the ORM layer; Alembic manages versioned schema migrations. Redis is used for in-memory caching of treatment knowledge base queries and session tokens.</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3.5.5 Grad-CAM and SHAP (Explainable AI)</w:t>
      </w:r>
    </w:p>
    <w:p>
      <w:pPr>
        <w:spacing w:line="360" w:before="80" w:after="80"/>
        <w:jc w:val="both"/>
      </w:pPr>
      <w:r>
        <w:rPr>
          <w:rFonts w:ascii="Times New Roman" w:cs="Times New Roman" w:eastAsia="Times New Roman" w:hAnsi="Times New Roman"/>
          <w:sz w:val="24"/>
          <w:szCs w:val="24"/>
        </w:rPr>
        <w:t xml:space="preserve">Grad-CAM uses the gradient of the predicted class score with respect to the last convolutional layer's feature maps to produce a spatial activation map, upsampled and overlaid using a jet colour map. SHAP (GradientExplainer) computes Shapley attribution values for input features, providing complementary quantitative explanations. Lesion detection applies contour analysis on the Grad-CAM map to characterise individual disease regions.</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3.5.6 React.js, Flutter, and Android</w:t>
      </w:r>
    </w:p>
    <w:p>
      <w:pPr>
        <w:spacing w:line="360" w:before="80" w:after="80"/>
        <w:jc w:val="both"/>
      </w:pPr>
      <w:r>
        <w:rPr>
          <w:rFonts w:ascii="Times New Roman" w:cs="Times New Roman" w:eastAsia="Times New Roman" w:hAnsi="Times New Roman"/>
          <w:sz w:val="24"/>
          <w:szCs w:val="24"/>
        </w:rPr>
        <w:t xml:space="preserve">The web dashboard uses React 18, React Router, Axios, and Recharts. The Flutter mobile app uses Dio, image_picker, and sqflite. A native Android client (Java/OkHttp) provides additional device coverage. All clients consume the same standardised backend API.</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3.5.7 Docker, Docker Compose, and Kubernetes</w:t>
      </w:r>
    </w:p>
    <w:p>
      <w:pPr>
        <w:spacing w:line="360" w:before="80" w:after="80"/>
        <w:jc w:val="both"/>
      </w:pPr>
      <w:r>
        <w:rPr>
          <w:rFonts w:ascii="Times New Roman" w:cs="Times New Roman" w:eastAsia="Times New Roman" w:hAnsi="Times New Roman"/>
          <w:sz w:val="24"/>
          <w:szCs w:val="24"/>
        </w:rPr>
        <w:t xml:space="preserve">Docker containerises the backend, PostgreSQL, and Redis services. Docker Compose orchestrates the development environment. Kubernetes manifests configure 3 replicas with LoadBalancer for production-grade availability.</w:t>
      </w:r>
    </w:p>
    <w:p>
      <w:r>
        <w:rPr>
          <w:rFonts w:ascii="Times New Roman" w:cs="Times New Roman" w:eastAsia="Times New Roman" w:hAnsi="Times New Roman"/>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10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Technology</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Component</w:t>
            </w:r>
          </w:p>
        </w:tc>
        <w:tc>
          <w:tcPr>
            <w:tcW w:type="dxa" w:w="41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EfficientNet-B4 / TensorFlow 2.x</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Model Layer</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Disease classification via transfer learning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Uvicorn / Gunicorn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Backend API</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Inference API, authentication, routing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PostgreSQL / SQLAlchemy / Alembic</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Database</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Persistent storage; ORM; schema migrations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Redis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Caching</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Treatment KB caching, session management</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OpenCV / NumPy / Pillow</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Image Processing</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Preprocessing, segmentation, augmentation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Grad-CAM / SHAP (XAI)</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Explainability</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Heatmap generation, feature attribution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React 18 / Recharts / Axios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Web Dashboard</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Role-based expert and admin web interface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Flutter / Dart / Dio / sqflite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Mobile App</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Cross-platform farmer mobile client</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Android Java / OkHttp</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Android App</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Native Android disease detection client</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Docker / docker-compose / Kubernetes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Deployment</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Containerisation and production orchestration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JWT / Bcrypt / Passlib / Pydantic</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Security</w:t>
            </w:r>
          </w:p>
        </w:tc>
        <w:tc>
          <w:tcPr>
            <w:tcW w:type="dxa" w:w="4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Stateless auth, password hashing, validation</w:t>
            </w:r>
          </w:p>
        </w:tc>
      </w:tr>
    </w:tbl>
    <w:p>
      <w:r>
        <w:rPr>
          <w:rFonts w:ascii="Times New Roman" w:cs="Times New Roman" w:eastAsia="Times New Roman" w:hAnsi="Times New Roman"/>
          <w:sz w:val="24"/>
          <w:szCs w:val="24"/>
        </w:rPr>
        <w:t xml:space="preserve"/>
      </w:r>
    </w:p>
    <w:p>
      <w:r>
        <w:br w:type="page"/>
      </w:r>
    </w:p>
    <w:p>
      <w:pPr>
        <w:pStyle w:val="Heading1"/>
        <w:spacing w:before="360" w:after="180"/>
      </w:pPr>
      <w:r>
        <w:rPr>
          <w:rFonts w:ascii="Times New Roman" w:cs="Times New Roman" w:eastAsia="Times New Roman" w:hAnsi="Times New Roman"/>
          <w:b/>
          <w:bCs/>
          <w:sz w:val="28"/>
          <w:szCs w:val="28"/>
        </w:rPr>
        <w:t xml:space="preserve">4. Module-wise Implementation Progress</w:t>
      </w:r>
    </w:p>
    <w:p>
      <w:pPr>
        <w:spacing w:line="360" w:before="80" w:after="80"/>
        <w:jc w:val="both"/>
      </w:pPr>
      <w:r>
        <w:rPr>
          <w:rFonts w:ascii="Times New Roman" w:cs="Times New Roman" w:eastAsia="Times New Roman" w:hAnsi="Times New Roman"/>
          <w:sz w:val="24"/>
          <w:szCs w:val="24"/>
        </w:rPr>
        <w:t xml:space="preserve">The CottonCare AI system is organised into six primary functional modules, each independently designed and implemented. This section details the implementation progress of each module as of the Phase 2 Review 1 milestone.</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4.1 Data Acquisition and Preprocessing Module</w:t>
      </w:r>
    </w:p>
    <w:p>
      <w:pPr>
        <w:spacing w:line="360" w:before="80" w:after="80"/>
        <w:jc w:val="both"/>
      </w:pPr>
      <w:r>
        <w:rPr>
          <w:rFonts w:ascii="Times New Roman" w:cs="Times New Roman" w:eastAsia="Times New Roman" w:hAnsi="Times New Roman"/>
          <w:sz w:val="24"/>
          <w:szCs w:val="24"/>
        </w:rPr>
        <w:t xml:space="preserve">The data acquisition pipeline aggregates cotton leaf images from the Kaggle Cotton Plant Disease dataset and real-field photographs, encompassing disease categories including bacterial blight, Alternaria leaf spot, Cercospora leaf spot, aphid infestation, and healthy leaves, as well as nutrient deficiency classes. The dataset is partitioned into training (80%), validation (10%), and testing (10%) using stratified splitting. Preprocessing applies resizing to 380×380 pixels, RGB conversion, and EfficientNet normalisation. Training-only augmentation includes random rotations (±30°), horizontal/vertical flipping, zooming (±20%), random cropping, and brightness adjustment. Status: Fully implemented and validated; integrated into model_service for inference-time consistency.</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4.2 Disease Classification Module (EfficientNet Model)</w:t>
      </w:r>
    </w:p>
    <w:p>
      <w:pPr>
        <w:spacing w:line="360" w:before="80" w:after="80"/>
        <w:jc w:val="both"/>
      </w:pPr>
      <w:r>
        <w:rPr>
          <w:rFonts w:ascii="Times New Roman" w:cs="Times New Roman" w:eastAsia="Times New Roman" w:hAnsi="Times New Roman"/>
          <w:sz w:val="24"/>
          <w:szCs w:val="24"/>
        </w:rPr>
        <w:t xml:space="preserve">EfficientNet-B4 is fine-tuned using a two-phase strategy: Phase 1 freezes all base layers and trains only the classification head for 20 epochs; Phase 2 progressively unfreezes upper convolutional blocks and fine-tunes the network at learning rate 1e-5 for 30 additional epochs. The head comprises GlobalAveragePooling2D, Dense(256, ReLU), Dropout(0.4), and Dense(num_classes, softmax). Adam optimiser, categorical cross-entropy loss, and early stopping (patience 10) with model checkpoint callbacks are employed. Status: Fully trained; serialised as cotton_model_final.keras; achieving very high test-set accuracy.</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4.3 Severity Estimation Module</w:t>
      </w:r>
    </w:p>
    <w:p>
      <w:pPr>
        <w:spacing w:line="360" w:before="80" w:after="80"/>
        <w:jc w:val="both"/>
      </w:pPr>
      <w:r>
        <w:rPr>
          <w:rFonts w:ascii="Times New Roman" w:cs="Times New Roman" w:eastAsia="Times New Roman" w:hAnsi="Times New Roman"/>
          <w:sz w:val="24"/>
          <w:szCs w:val="24"/>
        </w:rPr>
        <w:t xml:space="preserve">After disease classification, the module applies HSV colour-space segmentation to isolate visually infected leaf regions using disease-specific colour range masks. The infected area proportion is calculated as infected pixels divided by total leaf pixels (via a green-channel leaf mask). Combined with a confidence-weighted score, the result is mapped to: mild (&lt;20% infected area or confidence &lt;0.65), moderate (20–50%), and severe (&gt;50%). Disease-specific thresholds are maintained in severity_engine.py. Status: Fully implemented; integrated into the prediction pipeline; tested across all disease classes and severity levels.</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4.4 Explainable AI (XAI) Module</w:t>
      </w:r>
    </w:p>
    <w:p>
      <w:pPr>
        <w:spacing w:line="360" w:before="80" w:after="80"/>
        <w:jc w:val="both"/>
      </w:pPr>
      <w:r>
        <w:rPr>
          <w:rFonts w:ascii="Times New Roman" w:cs="Times New Roman" w:eastAsia="Times New Roman" w:hAnsi="Times New Roman"/>
          <w:sz w:val="24"/>
          <w:szCs w:val="24"/>
        </w:rPr>
        <w:t xml:space="preserve">Grad-CAM uses TensorFlow's GradientTape to compute class-score gradients with respect to the last convolutional layer, producing a class activation map that is ReLU-activated, resized, normalised, and overlaid using a jet colour map. SHAP (GradientExplainer) computes pixel-level Shapley values for feature attribution. Lesion detection applies contour analysis on the Grad-CAM map to identify and characterise individual disease regions. A natural language generator assembles the diagnosis narrative from all XAI findings. Status: Grad-CAM and lesion analysis are fully operational; SHAP integration is at an advanced stage.</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4.5 Treatment Recommendation Module</w:t>
      </w:r>
    </w:p>
    <w:p>
      <w:pPr>
        <w:spacing w:line="360" w:before="80" w:after="80"/>
        <w:jc w:val="both"/>
      </w:pPr>
      <w:r>
        <w:rPr>
          <w:rFonts w:ascii="Times New Roman" w:cs="Times New Roman" w:eastAsia="Times New Roman" w:hAnsi="Times New Roman"/>
          <w:sz w:val="24"/>
          <w:szCs w:val="24"/>
        </w:rPr>
        <w:t xml:space="preserve">The structured treatment knowledge base in treatment_db.py is keyed by disease class and severity level. Each entry specifies: chemical_treatment (product name, dosage, frequency, safety precautions); organic_treatment (neem oil sprays, Trichoderma viride bio-fungicides, copper-based treatments); and preventive_measures (crop rotation, field sanitation, resistant varieties, balanced fertilisation). Nutrient deficiency entries additionally include fertiliser types and dosage rates per hectare. Status: Knowledge base fully populated; GET /treatment/{disease} endpoint fully operational and unit-tested.</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4.6 Authentication and User Management Module</w:t>
      </w:r>
    </w:p>
    <w:p>
      <w:pPr>
        <w:spacing w:line="360" w:before="80" w:after="80"/>
        <w:jc w:val="both"/>
      </w:pPr>
      <w:r>
        <w:rPr>
          <w:rFonts w:ascii="Times New Roman" w:cs="Times New Roman" w:eastAsia="Times New Roman" w:hAnsi="Times New Roman"/>
          <w:sz w:val="24"/>
          <w:szCs w:val="24"/>
        </w:rPr>
        <w:t xml:space="preserve">Three roles—farmer, expert, administrator—are enforced through role-based route guards. JWT access tokens (30-minute expiry) and refresh tokens (7-day expiry) provide stateless authentication. Passwords are hashed with bcrypt via Passlib. All sensitive routes use FastAPI's HTTPBearer dependency. Status: All auth endpoints (register, login, refresh, logout) implemented, tested, and integrated with web and mobile clients.</w:t>
      </w:r>
    </w:p>
    <w:p>
      <w:r>
        <w:rPr>
          <w:rFonts w:ascii="Times New Roman" w:cs="Times New Roman" w:eastAsia="Times New Roman" w:hAnsi="Times New Roman"/>
          <w:sz w:val="24"/>
          <w:szCs w:val="24"/>
        </w:rPr>
        <w:t xml:space="preserve"/>
      </w:r>
    </w:p>
    <w:p>
      <w:r>
        <w:br w:type="page"/>
      </w:r>
    </w:p>
    <w:p>
      <w:pPr>
        <w:pStyle w:val="Heading1"/>
        <w:spacing w:before="360" w:after="180"/>
      </w:pPr>
      <w:r>
        <w:rPr>
          <w:rFonts w:ascii="Times New Roman" w:cs="Times New Roman" w:eastAsia="Times New Roman" w:hAnsi="Times New Roman"/>
          <w:b/>
          <w:bCs/>
          <w:sz w:val="28"/>
          <w:szCs w:val="28"/>
        </w:rPr>
        <w:t xml:space="preserve">5. Integration &amp; Functional Demonstration</w:t>
      </w:r>
    </w:p>
    <w:p>
      <w:pPr>
        <w:spacing w:line="360" w:before="80" w:after="80"/>
        <w:jc w:val="both"/>
      </w:pPr>
      <w:r>
        <w:rPr>
          <w:rFonts w:ascii="Times New Roman" w:cs="Times New Roman" w:eastAsia="Times New Roman" w:hAnsi="Times New Roman"/>
          <w:sz w:val="24"/>
          <w:szCs w:val="24"/>
        </w:rPr>
        <w:t xml:space="preserve">This section describes the integration of all modules into a coherent end-to-end system and summarises functional demonstrations achieved as of the Phase 2 Review 1 milestone.</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5.1 End-to-End Integration</w:t>
      </w:r>
    </w:p>
    <w:p>
      <w:pPr>
        <w:spacing w:line="360" w:before="80" w:after="80"/>
        <w:jc w:val="both"/>
      </w:pPr>
      <w:r>
        <w:rPr>
          <w:rFonts w:ascii="Times New Roman" w:cs="Times New Roman" w:eastAsia="Times New Roman" w:hAnsi="Times New Roman"/>
          <w:sz w:val="24"/>
          <w:szCs w:val="24"/>
        </w:rPr>
        <w:t xml:space="preserve">End-to-end integration connects all six modules into a unified pipeline: image upload → backend preprocessing → EfficientNet inference → severity estimation → Grad-CAM/SHAP XAI analysis → treatment recommendation retrieval → JSON response → client-side rendering. The FastAPI backend orchestrates module invocations sequentially with asynchronous DB persistence to minimise inference latency. Web and mobile clients have been verified to correctly render all diagnostic response fields including the base64-encoded Grad-CAM heatmap, severity badge, confidence indicator, and treatment recommendation cards.</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5.2 Functional Demonstrations</w:t>
      </w:r>
    </w:p>
    <w:p>
      <w:pPr>
        <w:spacing w:line="360" w:before="80" w:after="80"/>
        <w:jc w:val="both"/>
      </w:pPr>
      <w:r>
        <w:rPr>
          <w:rFonts w:ascii="Times New Roman" w:cs="Times New Roman" w:eastAsia="Times New Roman" w:hAnsi="Times New Roman"/>
          <w:b/>
          <w:bCs/>
          <w:sz w:val="24"/>
          <w:szCs w:val="24"/>
        </w:rPr>
        <w:t xml:space="preserve">Demonstration 1 – Disease Detection from Farmer Upload:</w:t>
      </w:r>
    </w:p>
    <w:p>
      <w:pPr>
        <w:spacing w:line="360" w:before="80" w:after="80"/>
        <w:jc w:val="both"/>
      </w:pPr>
      <w:r>
        <w:rPr>
          <w:rFonts w:ascii="Times New Roman" w:cs="Times New Roman" w:eastAsia="Times New Roman" w:hAnsi="Times New Roman"/>
          <w:sz w:val="24"/>
          <w:szCs w:val="24"/>
        </w:rPr>
        <w:t xml:space="preserve">A farmer uploads a cotton leaf image with Alternaria leaf spot symptoms. The system identifies the disease as 'Alternaria Leaf Spot' (confidence 96.8%), classifies severity as 'Moderate' (infected area ~34%), highlights circular necrotic lesion regions via Grad-CAM, and returns Mancozeb 75 WP fungicide at 2.5 g/L along with copper oxychloride as an organic alternative and crop rotation as a preventive measure.</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Demonstration 2 – Expert Verification Workflow:</w:t>
      </w:r>
    </w:p>
    <w:p>
      <w:pPr>
        <w:spacing w:line="360" w:before="80" w:after="80"/>
        <w:jc w:val="both"/>
      </w:pPr>
      <w:r>
        <w:rPr>
          <w:rFonts w:ascii="Times New Roman" w:cs="Times New Roman" w:eastAsia="Times New Roman" w:hAnsi="Times New Roman"/>
          <w:sz w:val="24"/>
          <w:szCs w:val="24"/>
        </w:rPr>
        <w:t xml:space="preserve">An expert logs into the web dashboard and reviews a borderline prediction (bacterial blight vs. nutrient deficiency) with its Grad-CAM overlay and SHAP values. The expert corrects the diagnosis to 'Bacterial Blight', submits as 'Approved with Correction', and the system updates the prediction record and generates an audit log entry.</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b/>
          <w:bCs/>
          <w:sz w:val="24"/>
          <w:szCs w:val="24"/>
        </w:rPr>
        <w:t xml:space="preserve">Demonstration 3 – Nutrient Deficiency Identification:</w:t>
      </w:r>
    </w:p>
    <w:p>
      <w:pPr>
        <w:spacing w:line="360" w:before="80" w:after="80"/>
        <w:jc w:val="both"/>
      </w:pPr>
      <w:r>
        <w:rPr>
          <w:rFonts w:ascii="Times New Roman" w:cs="Times New Roman" w:eastAsia="Times New Roman" w:hAnsi="Times New Roman"/>
          <w:sz w:val="24"/>
          <w:szCs w:val="24"/>
        </w:rPr>
        <w:t xml:space="preserve">A cotton plant image with interveinal chlorosis is uploaded. The system identifies 'Magnesium Deficiency' (91.3% confidence, severity 'Mild') and returns a nutrient correction plan specifying foliar application of magnesium sulphate (Epsom salt) at 10 g/L with soil amendment recommendations.</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5.3 Integration Gap Resolutions</w:t>
      </w:r>
    </w:p>
    <w:p>
      <w:pPr>
        <w:spacing w:line="360" w:before="80" w:after="80"/>
        <w:jc w:val="both"/>
      </w:pPr>
      <w:r>
        <w:rPr>
          <w:rFonts w:ascii="Times New Roman" w:cs="Times New Roman" w:eastAsia="Times New Roman" w:hAnsi="Times New Roman"/>
          <w:sz w:val="24"/>
          <w:szCs w:val="24"/>
        </w:rPr>
        <w:t xml:space="preserve">The dual backend pattern was partially unified by routing inference and XAI service invocations through app/api/v1 router wrappers. Endpoint contract mismatches between the React dashboard and the modular backend were resolved by adding missing /api/... route aliases. The Flutter mobile constants disease list was synchronised with the model's class list. The placeholder /treatment/{disease} endpoint was replaced with a fully operational treatment_db.py-backed response.</w:t>
      </w:r>
    </w:p>
    <w:p>
      <w:r>
        <w:rPr>
          <w:rFonts w:ascii="Times New Roman" w:cs="Times New Roman" w:eastAsia="Times New Roman" w:hAnsi="Times New Roman"/>
          <w:sz w:val="24"/>
          <w:szCs w:val="24"/>
        </w:rPr>
        <w:t xml:space="preserve"/>
      </w:r>
    </w:p>
    <w:p>
      <w:r>
        <w:br w:type="page"/>
      </w:r>
    </w:p>
    <w:p>
      <w:pPr>
        <w:pStyle w:val="Heading1"/>
        <w:spacing w:before="360" w:after="180"/>
      </w:pPr>
      <w:r>
        <w:rPr>
          <w:rFonts w:ascii="Times New Roman" w:cs="Times New Roman" w:eastAsia="Times New Roman" w:hAnsi="Times New Roman"/>
          <w:b/>
          <w:bCs/>
          <w:sz w:val="28"/>
          <w:szCs w:val="28"/>
        </w:rPr>
        <w:t xml:space="preserve">6. Testing Strategy &amp; Test Cases Prepared</w:t>
      </w:r>
    </w:p>
    <w:p>
      <w:pPr>
        <w:spacing w:line="360" w:before="80" w:after="80"/>
        <w:jc w:val="both"/>
      </w:pPr>
      <w:r>
        <w:rPr>
          <w:rFonts w:ascii="Times New Roman" w:cs="Times New Roman" w:eastAsia="Times New Roman" w:hAnsi="Times New Roman"/>
          <w:sz w:val="24"/>
          <w:szCs w:val="24"/>
        </w:rPr>
        <w:t xml:space="preserve">The testing strategy is structured across four complementary levels: unit testing, integration testing, functional testing, and model performance evaluation.</w:t>
      </w:r>
    </w:p>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6.1 Unit Testing</w:t>
      </w:r>
    </w:p>
    <w:p>
      <w:pPr>
        <w:spacing w:line="360" w:before="80" w:after="80"/>
        <w:jc w:val="both"/>
      </w:pPr>
      <w:r>
        <w:rPr>
          <w:rFonts w:ascii="Times New Roman" w:cs="Times New Roman" w:eastAsia="Times New Roman" w:hAnsi="Times New Roman"/>
          <w:sz w:val="24"/>
          <w:szCs w:val="24"/>
        </w:rPr>
        <w:t xml:space="preserve">Unit tests target individual functions in isolation with external dependencies mocked.</w:t>
      </w:r>
    </w:p>
    <w:p>
      <w:r>
        <w:rPr>
          <w:rFonts w:ascii="Times New Roman" w:cs="Times New Roman" w:eastAsia="Times New Roman" w:hAnsi="Times New Roman"/>
          <w:sz w:val="24"/>
          <w:szCs w:val="2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500"/>
        <w:gridCol w:w="2100"/>
        <w:gridCol w:w="800"/>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ID</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Module</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Case Description</w:t>
            </w:r>
          </w:p>
        </w:tc>
        <w:tc>
          <w:tcPr>
            <w:tcW w:type="dxa" w:w="21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Outcome</w:t>
            </w:r>
          </w:p>
        </w:tc>
        <w:tc>
          <w:tcPr>
            <w:tcW w:type="dxa" w:w="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model_service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Preprocessing valid 380×380 JPEG</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Array shape (1,380,380,3)</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model_service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Preprocessing non-square image (640×480)</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Correctly resized to (1,380,380,3)</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model_service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Inference returns correct-length probability vector</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Output shape matches disease class count</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severity_engine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Severity for confidence=0.95</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Returns severity_level='severe'</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severity_engine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Infected area calculation on synthetic mask</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Ratio within 2% of ground truth</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treatment_db</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Retrieval: 'Alternaria Leaf Spot', moderate</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Non-empty chemical and organic dicts</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treatment_db</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Retrieval for unknown disease class</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Returns 404 error response</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xai_explainer</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Grad-CAM output shape vs. input resolution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Heatmap array shape equals (380,380)</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UT-09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security</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JWT generation and decode round-trip</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Decoded payload matches original claims</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UT-10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security</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Bcrypt hash and verification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Verification returns True</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bl>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6.2 Integration Testing</w:t>
      </w:r>
    </w:p>
    <w:p>
      <w:pPr>
        <w:spacing w:line="360" w:before="80" w:after="80"/>
        <w:jc w:val="both"/>
      </w:pPr>
      <w:r>
        <w:rPr>
          <w:rFonts w:ascii="Times New Roman" w:cs="Times New Roman" w:eastAsia="Times New Roman" w:hAnsi="Times New Roman"/>
          <w:sz w:val="24"/>
          <w:szCs w:val="24"/>
        </w:rPr>
        <w:t xml:space="preserve">Integration tests validate correct data flow between connected modules.</w:t>
      </w:r>
    </w:p>
    <w:p>
      <w:r>
        <w:rPr>
          <w:rFonts w:ascii="Times New Roman" w:cs="Times New Roman" w:eastAsia="Times New Roman" w:hAnsi="Times New Roman"/>
          <w:sz w:val="24"/>
          <w:szCs w:val="2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300"/>
        <w:gridCol w:w="2000"/>
        <w:gridCol w:w="700"/>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ID</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Modules Under Test</w:t>
            </w:r>
          </w:p>
        </w:tc>
        <w:tc>
          <w:tcPr>
            <w:tcW w:type="dxa" w:w="2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Case Description</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Outcome</w:t>
            </w:r>
          </w:p>
        </w:tc>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IT-01</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model_service</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POST /predict with valid leaf image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200 OK; disease_class and confidence present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IT-02</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severity_engine</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POST /predict returns severity fields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Both severity_level and severity_score correct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IT-03</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xai_explainer</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POST /predict/xai returns heatmap</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Non-empty base64 PNG in xai_payload.heatmap</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IT-04</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treatment_db</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GET /treatment/bacterial_blight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chemical, organic, preventive keys present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IT-05</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PostgreSQL</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Prediction persisted after /predict call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Retrievable via GET /api/db/prediction/get</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IT-06</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Auth + Protected Routes</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POST /predict without JWT token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Returns 401 Unauthorized</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IT-07</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Auth + Role Guard</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Farmer accesses admin-only endpoint</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Returns 403 Forbidden</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IT-08</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FastAPI + Verification</w:t>
            </w:r>
          </w:p>
        </w:tc>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Expert submits verification update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verification_status updated in DB</w:t>
            </w:r>
          </w:p>
        </w:tc>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bl>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6.3 Functional Testing</w:t>
      </w:r>
    </w:p>
    <w:p>
      <w:pPr>
        <w:spacing w:line="360" w:before="80" w:after="80"/>
        <w:jc w:val="both"/>
      </w:pPr>
      <w:r>
        <w:rPr>
          <w:rFonts w:ascii="Times New Roman" w:cs="Times New Roman" w:eastAsia="Times New Roman" w:hAnsi="Times New Roman"/>
          <w:sz w:val="24"/>
          <w:szCs w:val="24"/>
        </w:rPr>
        <w:t xml:space="preserve">Functional tests validate end-user scenarios against specified functional requirements.</w:t>
      </w:r>
    </w:p>
    <w:p>
      <w:r>
        <w:rPr>
          <w:rFonts w:ascii="Times New Roman" w:cs="Times New Roman" w:eastAsia="Times New Roman" w:hAnsi="Times New Roman"/>
          <w:sz w:val="24"/>
          <w:szCs w:val="2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100"/>
        <w:gridCol w:w="2400"/>
        <w:gridCol w:w="900"/>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ID</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Feature</w:t>
            </w:r>
          </w:p>
        </w:tc>
        <w:tc>
          <w:tcPr>
            <w:tcW w:type="dxa" w:w="21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Scenario</w:t>
            </w:r>
          </w:p>
        </w:tc>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Behaviour</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Disease Detection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Upload healthy cotton leaf image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Classified as 'Healthy Leaf'; no treatment returned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Disease Detection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Upload image with bacterial blight</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Correct disease; confidence &gt;85%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Severity Estimation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Early-stage leaf spot &lt;15% area</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Returns severity_level='mild'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Severity Estimation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Advanced infection &gt;55% area</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Returns severity_level='severe'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XAI Heatmap</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Request XAI; review Grad-CAM overlay</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Heatmap highlights diseased regions, not background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Treatment</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Severe fungal infection treatment request</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Chemical dosage + organic alternative returned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Mobile Upload</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Farmer uploads via Flutter camera</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Result displayed within 5 seconds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Expert Verification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Expert rejects prediction with correction</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Corrected class stored; audit log entry created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FT-09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Batch Prediction</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Submit 5 images via /batch endpoint</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All 5 predictions returned in correct order</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FT-10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Nutrient Deficiency</w:t>
            </w:r>
          </w:p>
        </w:tc>
        <w:tc>
          <w:tcPr>
            <w:tcW w:type="dxa" w:w="2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Nitrogen deficiency symptom image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Deficiency identified; fertiliser plan returned</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Pass</w:t>
            </w:r>
          </w:p>
        </w:tc>
      </w:tr>
    </w:tbl>
    <w:p>
      <w:r>
        <w:rPr>
          <w:rFonts w:ascii="Times New Roman" w:cs="Times New Roman" w:eastAsia="Times New Roman" w:hAnsi="Times New Roman"/>
          <w:sz w:val="24"/>
          <w:szCs w:val="24"/>
        </w:rPr>
        <w:t xml:space="preserve"/>
      </w:r>
    </w:p>
    <w:p>
      <w:pPr>
        <w:pStyle w:val="Heading2"/>
        <w:spacing w:before="240" w:after="120"/>
      </w:pPr>
      <w:r>
        <w:rPr>
          <w:rFonts w:ascii="Times New Roman" w:cs="Times New Roman" w:eastAsia="Times New Roman" w:hAnsi="Times New Roman"/>
          <w:b/>
          <w:bCs/>
          <w:sz w:val="24"/>
          <w:szCs w:val="24"/>
        </w:rPr>
        <w:t xml:space="preserve">6.4 Model Performance Evaluation</w:t>
      </w:r>
    </w:p>
    <w:p>
      <w:pPr>
        <w:spacing w:line="360" w:before="80" w:after="80"/>
        <w:jc w:val="both"/>
      </w:pPr>
      <w:r>
        <w:rPr>
          <w:rFonts w:ascii="Times New Roman" w:cs="Times New Roman" w:eastAsia="Times New Roman" w:hAnsi="Times New Roman"/>
          <w:sz w:val="24"/>
          <w:szCs w:val="24"/>
        </w:rPr>
        <w:t xml:space="preserve">The classification model is evaluated on the held-out test set (10%) using accuracy, precision, recall, and F1-score (macro-averaged). Confusion matrix analysis identifies misclassification patterns between visually similar disease categories.</w:t>
      </w:r>
    </w:p>
    <w:p>
      <w:r>
        <w:rPr>
          <w:rFonts w:ascii="Times New Roman" w:cs="Times New Roman" w:eastAsia="Times New Roman" w:hAnsi="Times New Roman"/>
          <w:sz w:val="24"/>
          <w:szCs w:val="24"/>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1050"/>
        <w:gridCol w:w="1050"/>
        <w:gridCol w:w="1050"/>
        <w:gridCol w:w="1100"/>
        <w:gridCol w:w="900"/>
      </w:tblGrid>
      <w:tr>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Model Architecture</w:t>
            </w:r>
          </w:p>
        </w:tc>
        <w:tc>
          <w:tcPr>
            <w:tcW w:type="dxa" w:w="105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Accuracy (%)</w:t>
            </w:r>
          </w:p>
        </w:tc>
        <w:tc>
          <w:tcPr>
            <w:tcW w:type="dxa" w:w="105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Precision (%)</w:t>
            </w:r>
          </w:p>
        </w:tc>
        <w:tc>
          <w:tcPr>
            <w:tcW w:type="dxa" w:w="105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Recall (%)</w:t>
            </w:r>
          </w:p>
        </w:tc>
        <w:tc>
          <w:tcPr>
            <w:tcW w:type="dxa" w:w="105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F1-Score (%)</w:t>
            </w:r>
          </w:p>
        </w:tc>
        <w:tc>
          <w:tcPr>
            <w:tcW w:type="dxa" w:w="11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Inference (ms)</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Params (M)</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VGG16</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87.2</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86.8</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86.5</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86.6</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~180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138</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ResNet50</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90.4</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90.1</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89.8</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89.9</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~140</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25</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DenseNet121</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91.1</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90.7</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90.5</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90.6</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~155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InceptionV3</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89.7</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89.3</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88.9</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89.1</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~165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24</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EfficientNet-B4 (Proposed)</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96.3</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96.1</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95.9</w:t>
            </w:r>
          </w:p>
        </w:tc>
        <w:tc>
          <w:tcPr>
            <w:tcW w:type="dxa" w:w="10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96.0</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~85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Times New Roman" w:cs="Times New Roman" w:eastAsia="Times New Roman" w:hAnsi="Times New Roman"/>
                <w:sz w:val="21"/>
                <w:szCs w:val="21"/>
              </w:rPr>
              <w:t xml:space="preserve">19</w:t>
            </w:r>
          </w:p>
        </w:tc>
      </w:tr>
    </w:tbl>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The proposed EfficientNet-B4 model achieves superior performance across all evaluation metrics while maintaining significantly lower inference latency compared to heavier architectures. Residual misclassifications occur primarily between phenotypically similar disease categories (e.g., Alternaria and Cercospora leaf spots). The severity estimation module achieves ~89% agreement with expert-labelled severity ground truth on a 200-image annotated validation subset.</w:t>
      </w:r>
    </w:p>
    <w:p>
      <w:r>
        <w:rPr>
          <w:rFonts w:ascii="Times New Roman" w:cs="Times New Roman" w:eastAsia="Times New Roman" w:hAnsi="Times New Roman"/>
          <w:sz w:val="24"/>
          <w:szCs w:val="24"/>
        </w:rPr>
        <w:t xml:space="preserve"/>
      </w:r>
    </w:p>
    <w:p>
      <w:r>
        <w:br w:type="page"/>
      </w:r>
    </w:p>
    <w:p>
      <w:pPr>
        <w:pStyle w:val="Heading1"/>
        <w:spacing w:before="360" w:after="180"/>
      </w:pPr>
      <w:r>
        <w:rPr>
          <w:rFonts w:ascii="Times New Roman" w:cs="Times New Roman" w:eastAsia="Times New Roman" w:hAnsi="Times New Roman"/>
          <w:b/>
          <w:bCs/>
          <w:sz w:val="28"/>
          <w:szCs w:val="28"/>
        </w:rPr>
        <w:t xml:space="preserve">7. Conclusions</w:t>
      </w:r>
    </w:p>
    <w:p>
      <w:pPr>
        <w:spacing w:line="360" w:before="80" w:after="80"/>
        <w:jc w:val="both"/>
      </w:pPr>
      <w:r>
        <w:rPr>
          <w:rFonts w:ascii="Times New Roman" w:cs="Times New Roman" w:eastAsia="Times New Roman" w:hAnsi="Times New Roman"/>
          <w:sz w:val="24"/>
          <w:szCs w:val="24"/>
        </w:rPr>
        <w:t xml:space="preserve">The CottonCare AI system represents a significant advancement towards a comprehensive, intelligent, and accessible smart farming platform for cotton disease management. The system successfully integrates deep learning-based disease classification, automated severity estimation, explainable artificial intelligence, and a domain-informed treatment recommendation engine into a unified, deployable multi-platform application.</w:t>
      </w:r>
    </w:p>
    <w:p>
      <w:pPr>
        <w:spacing w:line="360" w:before="80" w:after="80"/>
        <w:jc w:val="both"/>
      </w:pPr>
      <w:r>
        <w:rPr>
          <w:rFonts w:ascii="Times New Roman" w:cs="Times New Roman" w:eastAsia="Times New Roman" w:hAnsi="Times New Roman"/>
          <w:sz w:val="24"/>
          <w:szCs w:val="24"/>
        </w:rPr>
        <w:t xml:space="preserve">The adoption of the EfficientNet-B4 architecture with transfer learning yields a classification model with very high accuracy and F1-scores across all cotton disease and nutrient deficiency categories, while maintaining computational efficiency suitable for real-time mobile inference. The severity estimation module contributes a critical and practically unique dimension of clinical utility, enabling farmers to make proportionate treatment decisions and reducing unnecessary pesticide consumption. The Grad-CAM and SHAP XAI integration addresses the critical barrier of black-box AI distrust in agricultural settings by providing visually interpretable, spatially grounded evidence for every diagnostic decision.</w:t>
      </w:r>
    </w:p>
    <w:p>
      <w:pPr>
        <w:spacing w:line="360" w:before="80" w:after="80"/>
        <w:jc w:val="both"/>
      </w:pPr>
      <w:r>
        <w:rPr>
          <w:rFonts w:ascii="Times New Roman" w:cs="Times New Roman" w:eastAsia="Times New Roman" w:hAnsi="Times New Roman"/>
          <w:sz w:val="24"/>
          <w:szCs w:val="24"/>
        </w:rPr>
        <w:t xml:space="preserve">The treatment recommendation module provides actionable, disease-specific, and severity-appropriate guidance covering both chemical and environmentally sustainable organic alternatives, substantially exceeding the capabilities of existing systems. As of Phase 2 Review 1, all six primary modules have been implemented, individually tested, and validated through end-to-end integration, with major architectural gaps resolved. The system is operational in a Docker-based development environment with Kubernetes manifests prepared for production deployment.</w:t>
      </w:r>
    </w:p>
    <w:p>
      <w:pPr>
        <w:spacing w:line="360" w:before="80" w:after="80"/>
        <w:jc w:val="both"/>
      </w:pPr>
      <w:r>
        <w:rPr>
          <w:rFonts w:ascii="Times New Roman" w:cs="Times New Roman" w:eastAsia="Times New Roman" w:hAnsi="Times New Roman"/>
          <w:sz w:val="24"/>
          <w:szCs w:val="24"/>
        </w:rPr>
        <w:t xml:space="preserve">Future work includes: expansion of the disease taxonomy to wider crop varieties; integration of real-time environmental sensor data for predictive disease risk modelling; multilingual and voice-assisted user interfaces; federated learning for continuous model improvement with data privacy; and edge computing optimisation for offline inference on low-resource devices. CottonCare AI provides a solid, extensible foundation for a production-grade precision agriculture platform capable of making meaningful real-world impact on sustainable cotton farming.</w:t>
      </w:r>
    </w:p>
    <w:p>
      <w:r>
        <w:rPr>
          <w:rFonts w:ascii="Times New Roman" w:cs="Times New Roman" w:eastAsia="Times New Roman" w:hAnsi="Times New Roman"/>
          <w:sz w:val="24"/>
          <w:szCs w:val="24"/>
        </w:rPr>
        <w:t xml:space="preserve"/>
      </w:r>
    </w:p>
    <w:p>
      <w:r>
        <w:br w:type="page"/>
      </w:r>
    </w:p>
    <w:p>
      <w:pPr>
        <w:pStyle w:val="Heading1"/>
        <w:spacing w:before="360" w:after="180"/>
      </w:pPr>
      <w:r>
        <w:rPr>
          <w:rFonts w:ascii="Times New Roman" w:cs="Times New Roman" w:eastAsia="Times New Roman" w:hAnsi="Times New Roman"/>
          <w:b/>
          <w:bCs/>
          <w:sz w:val="28"/>
          <w:szCs w:val="28"/>
        </w:rPr>
        <w:t xml:space="preserve">8. References</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 A. K. S. Arvind and A. Negi, "Detection and Classification of Cotton Leaf Disease Using a Lightweight CNN Architecture," in Proc. 4th Int. Conf. ICERECT, IEEE, 2022, pp. 1–6.</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[2] M. S. Tahir, R. M. A. Latif, A. Yaqoob, and H. Hamid, "A Methodology of Customized Dataset for Cotton Disease Detection Using Deep Learning Algorithms," in Proc. Int. Conf. FIT, IEEE, 2022, pp. 77–82.</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[3] U. Dewangan, R. H. Talwekar, and S. Bera, "A Systematic Review on Cotton Plant Disease Detection and Classification Using Machine and Deep Learning," in Proc. IDICAIEI, IEEE, 2023, pp. 1–6.</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[4] P. Chavan et al., "Aerial Surveillance with Enabled Deep Learning to Approach Cotton Disease Detection," in Proc. INNOCOMP, IEEE, 2024, pp. 362–367.</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[5] S. N. Dhage and V. K. Garg, "Analysis of Impact of Environmental Factors on Cotton Plant Diseases and Detection Using CNN," in Proc. ICCS, IEEE, 2021, pp. 234–239.</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[6] P. S. Gupta and A. V. Zade, "Analysis of Techniques for Cotton Crop Disease Detection and Monitoring," in Proc. ICISAA, IEEE, 2024, pp. 1–4.</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[7] S. Ganguly et al., "Automated Detection and Classification of Cotton Leaf Diseases: A Computer Vision Approach," in Proc. AMATHE, IEEE, 2024, pp. 1–7.</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[8] R. Kesani et al., "Cotton Plant Disease Detection and Prevention Using Deep Learning and Image Processing," in Proc. ICRITO, IEEE, 2024, pp. 1–6.</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[9] S. Otiya, P. Faldu, and P. Goel, "Cotton Leaf Disease Classification Using Deep CNN with Explainable AI," in Proc. ICSCNA, IEEE, 2023, pp. 1417–1424.</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[10] O. K. Pal, "Identification of Paddy Leaf Diseases Using a Supervised Neural Network," in Proc. ICET, IEEE, 2021, pp. 1–4.</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[11] Kaggle, "Cotton Plant Disease Dataset," [Online]. Available: https://www.kaggle.com/datasets/dhamur/cotton-plant-disease. Accessed: 2024.</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[12] M. Tan and Q. Le, "EfficientNet: Rethinking Model Scaling for Convolutional Neural Networks," in Proc. ICML, PMLR, 2019, pp. 6105–6114.</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[13] R. R. Selvaraju et al., "Grad-CAM: Visual Explanations from Deep Networks via Gradient-Based Localization," Int. J. Comput. Vis., vol. 128, no. 2, pp. 336–359, 2020.</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[14] S. M. Lundberg and S.-I. Lee, "A Unified Approach to Interpreting Model Predictions," in Advances in NeurIPS, vol. 30, 2017, pp. 4765–4774.</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[15] K. P. Ferentinos, "Deep Learning Models for Plant Disease Detection and Diagnosis," Comput. Electron. Agric., vol. 145, pp. 311–318, 2018.</w:t>
      </w:r>
    </w:p>
    <w:p>
      <w:r>
        <w:rPr>
          <w:rFonts w:ascii="Times New Roman" w:cs="Times New Roman" w:eastAsia="Times New Roman" w:hAnsi="Times New Roman"/>
          <w:sz w:val="24"/>
          <w:szCs w:val="24"/>
        </w:rPr>
        <w:t xml:space="preserve"/>
      </w:r>
    </w:p>
    <w:p>
      <w:pPr>
        <w:spacing w:line="360" w:before="80" w:after="80"/>
        <w:jc w:val="both"/>
      </w:pPr>
      <w:r>
        <w:rPr>
          <w:rFonts w:ascii="Times New Roman" w:cs="Times New Roman" w:eastAsia="Times New Roman" w:hAnsi="Times New Roman"/>
          <w:sz w:val="24"/>
          <w:szCs w:val="24"/>
        </w:rPr>
        <w:t xml:space="preserve">[16] D. P. Hughes and M. Salathé, "An open access repository of images on plant health to enable the development of mobile disease diagnostics," arXiv:1511.08060, 2016.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right"/>
    </w:pPr>
    <w:r>
      <w:rPr>
        <w:rFonts w:ascii="Times New Roman" w:cs="Times New Roman" w:eastAsia="Times New Roman" w:hAnsi="Times New Roman"/>
        <w:i/>
        <w:iCs/>
        <w:sz w:val="20"/>
        <w:szCs w:val="20"/>
      </w:rPr>
      <w:t xml:space="preserve">CottonCare AI – Major Project Progress Report (Phase 2, Review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bd96e5a8af3fb890856a3332bff91455476eb44.png"/><Relationship Id="rId9" Type="http://schemas.openxmlformats.org/officeDocument/2006/relationships/image" Target="media/c0e5c58a790ce39587d9d4af9c2c4c164739a01c.png"/><Relationship Id="rId10" Type="http://schemas.openxmlformats.org/officeDocument/2006/relationships/image" Target="media/b9c148e2cd7a129eb7729f58765df8336a638ca2.png"/><Relationship Id="rId11" Type="http://schemas.openxmlformats.org/officeDocument/2006/relationships/image" Target="media/458fa54d28a48d399c7f9bd195c3a90bf89a439b.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2026-03-25T07:14:51.808Z</dcterms:created>
  <dcterms:modified xsi:type="dcterms:W3CDTF">2026-03-25T07:14:51.809Z</dcterms:modified>
</cp:coreProperties>
</file>

<file path=docProps/custom.xml><?xml version="1.0" encoding="utf-8"?>
<Properties xmlns="http://schemas.openxmlformats.org/officeDocument/2006/custom-properties" xmlns:vt="http://schemas.openxmlformats.org/officeDocument/2006/docPropsVTypes"/>
</file>