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產品 </w:t>
      </w:r>
      <w:r>
        <w:rPr>
          <w:rFonts w:eastAsia="標楷體" w:ascii="標楷體" w:hAnsi="標楷體"/>
        </w:rPr>
        <w:t>: checkmarx One</w:t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公司 </w:t>
      </w:r>
      <w:r>
        <w:rPr>
          <w:rFonts w:eastAsia="標楷體" w:ascii="標楷體" w:hAnsi="標楷體"/>
        </w:rPr>
        <w:t xml:space="preserve">: </w:t>
      </w:r>
      <w:r>
        <w:rPr>
          <w:rFonts w:ascii="標楷體" w:hAnsi="標楷體" w:eastAsia="標楷體"/>
        </w:rPr>
        <w:t>叡揚</w:t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無需本地安裝，通過雲端平台進行安全測試</w:t>
      </w:r>
      <w:r>
        <w:rPr>
          <w:rFonts w:eastAsia="標楷體" w:ascii="標楷體" w:hAnsi="標楷體"/>
        </w:rPr>
        <w:t xml:space="preserve">, </w:t>
      </w:r>
      <w:r>
        <w:rPr>
          <w:rFonts w:ascii="標楷體" w:hAnsi="標楷體" w:eastAsia="標楷體"/>
        </w:rPr>
        <w:t>支持與主流</w:t>
      </w:r>
      <w:r>
        <w:rPr>
          <w:rFonts w:eastAsia="標楷體" w:ascii="標楷體" w:hAnsi="標楷體"/>
        </w:rPr>
        <w:t>DevOps</w:t>
      </w:r>
      <w:r>
        <w:rPr>
          <w:rFonts w:ascii="標楷體" w:hAnsi="標楷體" w:eastAsia="標楷體"/>
        </w:rPr>
        <w:t>工具和</w:t>
      </w:r>
      <w:r>
        <w:rPr>
          <w:rFonts w:eastAsia="標楷體" w:ascii="標楷體" w:hAnsi="標楷體"/>
        </w:rPr>
        <w:t>CI/CD</w:t>
      </w:r>
      <w:r>
        <w:rPr>
          <w:rFonts w:ascii="標楷體" w:hAnsi="標楷體" w:eastAsia="標楷體"/>
        </w:rPr>
        <w:t>管道的集成</w:t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如</w:t>
      </w:r>
      <w:r>
        <w:rPr>
          <w:rFonts w:eastAsia="標楷體" w:ascii="標楷體" w:hAnsi="標楷體"/>
        </w:rPr>
        <w:t>Jenkins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GitLab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Azure DevOps</w:t>
      </w:r>
      <w:r>
        <w:rPr>
          <w:rFonts w:ascii="標楷體" w:hAnsi="標楷體" w:eastAsia="標楷體"/>
        </w:rPr>
        <w:t>等</w:t>
      </w:r>
      <w:r>
        <w:rPr>
          <w:rFonts w:eastAsia="標楷體" w:ascii="標楷體" w:hAnsi="標楷體"/>
        </w:rPr>
        <w:t>.</w:t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掃描結果會顯示套件的信任度分數</w:t>
      </w:r>
      <w:r>
        <w:rPr>
          <w:rFonts w:eastAsia="標楷體" w:ascii="標楷體" w:hAnsi="標楷體"/>
        </w:rPr>
        <w:t xml:space="preserve">, </w:t>
      </w:r>
      <w:r>
        <w:rPr>
          <w:rFonts w:ascii="標楷體" w:hAnsi="標楷體" w:eastAsia="標楷體"/>
        </w:rPr>
        <w:t>同時也會顯示套件的版本、</w:t>
      </w:r>
      <w:r>
        <w:rPr>
          <w:rFonts w:eastAsia="標楷體" w:ascii="標楷體" w:hAnsi="標楷體"/>
        </w:rPr>
        <w:t>License</w:t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也會提供套件的建議版本</w:t>
      </w:r>
      <w:r>
        <w:rPr>
          <w:rFonts w:eastAsia="標楷體" w:ascii="標楷體" w:hAnsi="標楷體"/>
        </w:rPr>
        <w:t xml:space="preserve">, </w:t>
      </w:r>
      <w:r>
        <w:rPr>
          <w:rFonts w:ascii="標楷體" w:hAnsi="標楷體" w:eastAsia="標楷體"/>
        </w:rPr>
        <w:t>另外惡意套件則不會提供建議改善方式</w:t>
      </w:r>
      <w:r>
        <w:rPr>
          <w:rFonts w:eastAsia="標楷體" w:ascii="標楷體" w:hAnsi="標楷體"/>
        </w:rPr>
        <w:t>, Checkmarx</w:t>
      </w:r>
      <w:r>
        <w:rPr>
          <w:rFonts w:ascii="標楷體" w:hAnsi="標楷體" w:eastAsia="標楷體"/>
        </w:rPr>
        <w:t>傾向直接刪除有風險的套件</w:t>
      </w:r>
      <w:r>
        <w:rPr>
          <w:rFonts w:eastAsia="標楷體" w:ascii="標楷體" w:hAnsi="標楷體"/>
        </w:rPr>
        <w:t>.</w:t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如果願意承受風險套件</w:t>
      </w:r>
      <w:r>
        <w:rPr>
          <w:rFonts w:eastAsia="標楷體" w:ascii="標楷體" w:hAnsi="標楷體"/>
        </w:rPr>
        <w:t xml:space="preserve">, </w:t>
      </w:r>
      <w:r>
        <w:rPr>
          <w:rFonts w:ascii="標楷體" w:hAnsi="標楷體" w:eastAsia="標楷體"/>
        </w:rPr>
        <w:t>可以自行調整該套件的</w:t>
      </w:r>
      <w:r>
        <w:rPr>
          <w:rFonts w:eastAsia="標楷體" w:ascii="標楷體" w:hAnsi="標楷體"/>
        </w:rPr>
        <w:t>RISK</w:t>
      </w:r>
      <w:r>
        <w:rPr>
          <w:rFonts w:ascii="標楷體" w:hAnsi="標楷體" w:eastAsia="標楷體"/>
        </w:rPr>
        <w:t>設定</w:t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可以依稽核需求產生對應的</w:t>
      </w:r>
      <w:r>
        <w:rPr>
          <w:rFonts w:eastAsia="標楷體" w:ascii="標楷體" w:hAnsi="標楷體"/>
        </w:rPr>
        <w:t>SBOM</w:t>
      </w:r>
      <w:r>
        <w:rPr>
          <w:rFonts w:ascii="標楷體" w:hAnsi="標楷體" w:eastAsia="標楷體"/>
        </w:rPr>
        <w:t>表</w:t>
      </w:r>
      <w:r>
        <w:rPr>
          <w:rFonts w:eastAsia="標楷體" w:ascii="標楷體" w:hAnsi="標楷體"/>
        </w:rPr>
        <w:t xml:space="preserve">, </w:t>
      </w:r>
      <w:r>
        <w:rPr>
          <w:rFonts w:ascii="標楷體" w:hAnsi="標楷體" w:eastAsia="標楷體"/>
        </w:rPr>
        <w:t>包括</w:t>
      </w:r>
      <w:r>
        <w:rPr>
          <w:rFonts w:eastAsia="標楷體" w:ascii="標楷體" w:hAnsi="標楷體"/>
        </w:rPr>
        <w:t>LICESN</w:t>
      </w:r>
      <w:r>
        <w:rPr>
          <w:rFonts w:ascii="標楷體" w:hAnsi="標楷體" w:eastAsia="標楷體"/>
        </w:rPr>
        <w:t>、風險等</w:t>
      </w:r>
      <w:r>
        <w:rPr>
          <w:rFonts w:eastAsia="標楷體" w:ascii="標楷體" w:hAnsi="標楷體"/>
        </w:rPr>
        <w:t xml:space="preserve">, </w:t>
      </w:r>
      <w:r>
        <w:rPr>
          <w:rFonts w:ascii="標楷體" w:hAnsi="標楷體" w:eastAsia="標楷體"/>
        </w:rPr>
        <w:t xml:space="preserve">產出 </w:t>
      </w:r>
      <w:r>
        <w:rPr>
          <w:rFonts w:eastAsia="標楷體" w:ascii="標楷體" w:hAnsi="標楷體"/>
        </w:rPr>
        <w:t xml:space="preserve">PDF </w:t>
      </w:r>
      <w:r>
        <w:rPr>
          <w:rFonts w:ascii="標楷體" w:hAnsi="標楷體" w:eastAsia="標楷體"/>
        </w:rPr>
        <w:t xml:space="preserve">或 </w:t>
      </w:r>
      <w:r>
        <w:rPr>
          <w:rFonts w:eastAsia="標楷體" w:ascii="標楷體" w:hAnsi="標楷體"/>
        </w:rPr>
        <w:t xml:space="preserve">XML </w:t>
      </w:r>
      <w:r>
        <w:rPr>
          <w:rFonts w:ascii="標楷體" w:hAnsi="標楷體" w:eastAsia="標楷體"/>
        </w:rPr>
        <w:t>檔案</w:t>
      </w:r>
      <w:r>
        <w:rPr>
          <w:rFonts w:eastAsia="標楷體" w:ascii="標楷體" w:hAnsi="標楷體"/>
        </w:rPr>
        <w:t>.</w:t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其他金融業經驗是</w:t>
      </w:r>
      <w:r>
        <w:rPr>
          <w:rFonts w:eastAsia="標楷體" w:ascii="標楷體" w:hAnsi="標楷體"/>
        </w:rPr>
        <w:t xml:space="preserve">, </w:t>
      </w:r>
      <w:r>
        <w:rPr>
          <w:rFonts w:ascii="標楷體" w:hAnsi="標楷體" w:eastAsia="標楷體"/>
        </w:rPr>
        <w:t>開放白名單給開發人員</w:t>
      </w:r>
      <w:r>
        <w:rPr>
          <w:rFonts w:eastAsia="標楷體" w:ascii="標楷體" w:hAnsi="標楷體"/>
        </w:rPr>
        <w:t xml:space="preserve">, </w:t>
      </w:r>
      <w:r>
        <w:rPr>
          <w:rFonts w:ascii="標楷體" w:hAnsi="標楷體" w:eastAsia="標楷體"/>
        </w:rPr>
        <w:t>直接連線至</w:t>
      </w:r>
      <w:r>
        <w:rPr>
          <w:rFonts w:eastAsia="標楷體" w:ascii="標楷體" w:hAnsi="標楷體"/>
        </w:rPr>
        <w:t xml:space="preserve">Checkmarx one </w:t>
      </w:r>
      <w:r>
        <w:rPr>
          <w:rFonts w:ascii="標楷體" w:hAnsi="標楷體" w:eastAsia="標楷體"/>
        </w:rPr>
        <w:t>去掃描</w:t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w:t xml:space="preserve">Resolver </w:t>
      </w:r>
      <w:r>
        <w:rPr>
          <w:rFonts w:ascii="標楷體" w:hAnsi="標楷體" w:eastAsia="標楷體"/>
        </w:rPr>
        <w:t>可以放在開發人員的地端主機</w:t>
      </w:r>
      <w:r>
        <w:rPr>
          <w:rFonts w:eastAsia="標楷體" w:ascii="標楷體" w:hAnsi="標楷體"/>
        </w:rPr>
        <w:t xml:space="preserve">, </w:t>
      </w:r>
      <w:r>
        <w:rPr>
          <w:rFonts w:ascii="標楷體" w:hAnsi="標楷體" w:eastAsia="標楷體"/>
        </w:rPr>
        <w:t>隨時都可以上傳至</w:t>
      </w:r>
      <w:r>
        <w:rPr>
          <w:rFonts w:eastAsia="標楷體" w:ascii="標楷體" w:hAnsi="標楷體"/>
        </w:rPr>
        <w:t>SCA</w:t>
      </w:r>
      <w:r>
        <w:rPr>
          <w:rFonts w:ascii="標楷體" w:hAnsi="標楷體" w:eastAsia="標楷體"/>
        </w:rPr>
        <w:t>雲端</w:t>
      </w:r>
      <w:r>
        <w:rPr>
          <w:rFonts w:eastAsia="標楷體" w:ascii="標楷體" w:hAnsi="標楷體"/>
        </w:rPr>
        <w:t>.</w:t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104140</wp:posOffset>
            </wp:positionV>
            <wp:extent cx="6406515" cy="363347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-55880</wp:posOffset>
            </wp:positionH>
            <wp:positionV relativeFrom="paragraph">
              <wp:posOffset>24130</wp:posOffset>
            </wp:positionV>
            <wp:extent cx="6840220" cy="3864610"/>
            <wp:effectExtent l="0" t="0" r="0" b="0"/>
            <wp:wrapTopAndBottom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-83820</wp:posOffset>
            </wp:positionH>
            <wp:positionV relativeFrom="paragraph">
              <wp:posOffset>95885</wp:posOffset>
            </wp:positionV>
            <wp:extent cx="6840220" cy="3866515"/>
            <wp:effectExtent l="0" t="0" r="0" b="0"/>
            <wp:wrapTopAndBottom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-7620</wp:posOffset>
            </wp:positionH>
            <wp:positionV relativeFrom="paragraph">
              <wp:posOffset>138430</wp:posOffset>
            </wp:positionV>
            <wp:extent cx="6840220" cy="3852545"/>
            <wp:effectExtent l="0" t="0" r="0" b="0"/>
            <wp:wrapTopAndBottom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41275</wp:posOffset>
            </wp:positionH>
            <wp:positionV relativeFrom="paragraph">
              <wp:posOffset>137160</wp:posOffset>
            </wp:positionV>
            <wp:extent cx="6840220" cy="3862070"/>
            <wp:effectExtent l="0" t="0" r="0" b="0"/>
            <wp:wrapTopAndBottom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-41910</wp:posOffset>
            </wp:positionH>
            <wp:positionV relativeFrom="paragraph">
              <wp:posOffset>165100</wp:posOffset>
            </wp:positionV>
            <wp:extent cx="6840220" cy="4098925"/>
            <wp:effectExtent l="0" t="0" r="0" b="0"/>
            <wp:wrapTopAndBottom/>
            <wp:docPr id="6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-27305</wp:posOffset>
            </wp:positionH>
            <wp:positionV relativeFrom="paragraph">
              <wp:posOffset>374650</wp:posOffset>
            </wp:positionV>
            <wp:extent cx="6840220" cy="4093845"/>
            <wp:effectExtent l="0" t="0" r="0" b="0"/>
            <wp:wrapTopAndBottom/>
            <wp:docPr id="7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標楷體" w:ascii="標楷體" w:hAnsi="標楷體"/>
        </w:rPr>
        <w:t>P</w:t>
      </w:r>
      <w:r>
        <w:rPr>
          <w:rFonts w:eastAsia="標楷體" w:ascii="標楷體" w:hAnsi="標楷體"/>
        </w:rPr>
        <w:t xml:space="preserve">ackage </w:t>
      </w:r>
      <w:r>
        <w:rPr>
          <w:rFonts w:ascii="標楷體" w:hAnsi="標楷體" w:eastAsia="標楷體"/>
        </w:rPr>
        <w:t>清單</w:t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XML</w:t>
      </w:r>
      <w:r>
        <w:rPr>
          <w:rFonts w:ascii="標楷體" w:hAnsi="標楷體" w:eastAsia="標楷體"/>
        </w:rPr>
        <w:t>檔案產出如下</w:t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列出該套件的版本及相關資訊</w:t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441575"/>
            <wp:effectExtent l="0" t="0" r="0" b="0"/>
            <wp:wrapSquare wrapText="largest"/>
            <wp:docPr id="8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bidi w:val="0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標楷體">
    <w:charset w:val="01"/>
    <w:family w:val="script"/>
    <w:pitch w:val="fixed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LibreOffice/7.6.4.1$Windows_X86_64 LibreOffice_project/e19e193f88cd6c0525a17fb7a176ed8e6a3e2aa1</Application>
  <AppVersion>15.0000</AppVersion>
  <Pages>6</Pages>
  <Words>262</Words>
  <Characters>357</Characters>
  <CharactersWithSpaces>381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2024-07-22T11:10:31Z</dcterms:created>
  <dc:creator/>
  <dc:description/>
  <dc:language>zh-TW</dc:language>
  <cp:lastModifiedBy/>
  <dcterms:modified xsi:type="dcterms:W3CDTF">2024-07-22T11:45:49Z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