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z1Power · STR MEDICAL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C05010"/>
          <w:sz w:val="40"/>
          <w:szCs w:val="40"/>
        </w:rPr>
        <w:t xml:space="preserve">REQUEST FOR INFORMATION RFI-002</w:t>
      </w:r>
    </w:p>
    <w:p>
      <w:pPr>
        <w:spacing w:before="1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Project: z1Power Sugarland BESS — 375 kW / 1,221 kWh, ERCOT — Combined EMS+MBMU control enclosure, DWG Z1SL-E-001 / Z1SL-A3-000 Rev K</w:t>
      </w:r>
    </w:p>
    <w:p>
      <w:pPr>
        <w:spacing w:before="160"/>
      </w:pPr>
      <w:r>
        <w:rPr>
          <w:rFonts w:ascii="Arial" w:cs="Arial" w:eastAsia="Arial" w:hAnsi="Arial"/>
          <w:sz w:val="22"/>
          <w:szCs w:val="22"/>
        </w:rPr>
        <w:t xml:space="preserve">To: CATL ESS applications (EnerOne+ R08306P05L31) + Potter Electric Signal (releasing systems)</w:t>
      </w:r>
    </w:p>
    <w:p>
      <w:r>
        <w:rPr>
          <w:rFonts w:ascii="Arial" w:cs="Arial" w:eastAsia="Arial" w:hAnsi="Arial"/>
          <w:sz w:val="22"/>
          <w:szCs w:val="22"/>
        </w:rPr>
        <w:t xml:space="preserve">From: STR Medical / z1Power engineering — yasir@futonix.com</w:t>
      </w:r>
    </w:p>
    <w:p>
      <w:r>
        <w:rPr>
          <w:rFonts w:ascii="Arial" w:cs="Arial" w:eastAsia="Arial" w:hAnsi="Arial"/>
          <w:sz w:val="22"/>
          <w:szCs w:val="22"/>
        </w:rPr>
        <w:t xml:space="preserve">Date: 2026-08-09        Response requested within: 10 business days        Priority: fabrication-gating</w:t>
      </w:r>
    </w:p>
    <w:p>
      <w:pPr>
        <w:pBdr>
          <w:bottom w:val="single" w:color="C05010" w:sz="12"/>
        </w:pBdr>
        <w:spacing w:after="20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EnerOne+ rack interfaces — aerosol releasing circuits, chiller nameplate, 24 V loads, connectors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3820"/>
      </w:tblGrid>
      <w:tr>
        <w:tc>
          <w:tcPr>
            <w:tcW w:type="dxa" w:w="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82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GATES THE DESIGN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JX1_IN pinout, project revision: confirm pin functions for (a) Loop_Input_24V± — manual306 table says pins 1/2, External Wiring V1.2 checklist says K/L; and (b) Aerosol Input± pins 3/4. Rev K wires FACP-supervised releasing circuits to the AEROSOL input (Option B) — confirm pins, polarity, minimum actuation voltage/current, and standby supervision current the initiator tolerates.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entire Option B releasing chain (PSN1 → DS1 → TB14 → JX1) lands on these pins. EOL supervision current must not fire or degrade the initiator.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Option A (rack-native loop release on dual-detector) is fully disabled when the loop input is left unwired, and that aerosol actuation authority transfers cleanly to the external 24 V aerosol input.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 K leaves MBMU J3.6/23 unwired with no-connects; both architectures must never be active together.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Potter: confirm ARC-100 + PSN-1000 listed compatibility for this application (releasing device = CATL aerosol initiator), PSN-1000 trigger configuration from ARC-100 releasing circuits, and the listed supervised service-disconnect device you recommend for DS1.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Board findings R-12/R-15; DS1 is currently specified generically pending your listed device.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Chiller nameplate: RLA, MCA, MOCP, and locked-rotor current for the EnerOne+ chiller. Published figures conflict (3 kW / '10 A' / 12.5 A inrush spec / 31 A EW surge).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NEC Art. 440 branch sizing — CB3/5/7 final value (currently 20 A C-curve) and the 440.22(A) ceiling.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MBMU and ETH-module 24 VDC quiescent and peak currents.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V load schedule + fuse values F13-F17 (currently KLKR-2 on catalog-family estimates).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JX1_IN / JX2_OUT connector: full 12-position pinout for this project rev (and the 12P vs 16P housing question), contact wire-gauge range, and confirmation the SLC pass-through pins C/D support rack-to-rack Class A daisy-chaining as drawn (panel send → cab1 → cab2 → cab3 → panel return).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 K re-drew the SLC to your native chain (board finding R-11).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Terminal resistor at the rack end of MCAN: part number, who supplies it, and the expected end-to-end resistance at J902.21/22 (we expect ~60 Ω; if ~30 Ω the crimped 60R is removed).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Commissioning disposition for R1-R3 (standing ICD item).</w:t>
            </w:r>
          </w:p>
        </w:tc>
      </w:tr>
      <w:tr>
        <w:tc>
          <w:tcPr>
            <w:tcW w:type="dxa" w:w="7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 alarm secondary power: manual306 line 809 requires '24h power supply for fire alarm and 2h for sound and light.' Confirm whether the 2 h term applies to the panel FACP notification circuit or to rack-internal devices only.</w:t>
            </w:r>
          </w:p>
        </w:tc>
        <w:tc>
          <w:tcPr>
            <w:tcW w:type="dxa" w:w="3820"/>
            <w:shd w:fill="F2F5FB" w:val="clea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NFPA 72 worksheet NFPA72-W1: 8 Ah installed passes a 5-min term, fails a 2 h term (13.8 Ah).</w:t>
            </w:r>
          </w:p>
        </w:tc>
      </w:tr>
      <w:tr>
        <w:tc>
          <w:tcPr>
            <w:tcW w:type="dxa" w:w="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Cable checklist rows for aux (AWG10), CAN, and fire circuits cite withstand/spec values that appear copied from the HV harness row. Confirm the actual insulation ratings required.</w:t>
            </w:r>
          </w:p>
        </w:tc>
        <w:tc>
          <w:tcPr>
            <w:tcW w:type="dxa" w:w="382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Closes the cable-spec conformance rows in the commissioning package.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Responses become part of the interface control documentation for this project and will be incorporated into the Rev L drawing set. Where a response contradicts a published document, please identify the governing revision.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C05010"/>
          <w:sz w:val="18"/>
          <w:szCs w:val="18"/>
        </w:rPr>
        <w:t xml:space="preserve">PROPRIETARY — STR MEDICAL · FOR REVIEW ONLY — design is not released for construction · PE review required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2026-08-09T21:52:02.288Z</dcterms:created>
  <dcterms:modified xsi:type="dcterms:W3CDTF">2026-08-09T21:52:02.288Z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