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Check the audit location for both the company and producers on the Certification Scope...</w:t>
      </w:r>
    </w:p>
    <w:p>
      <w:pPr>
        <w:pStyle w:val="Normal"/>
      </w:pPr>
      <w:r>
        <w:rPr>
          <w:b/>
        </w:rPr>
        <w:t xml:space="preserve">Source:</w:t>
      </w:r>
      <w:r>
        <w:t xml:space="preserve"> Certification Workflow Notebook export 20260804.pdf, Workflow Page 124 (PDF page 124)</w:t>
      </w:r>
    </w:p>
    <w:p>
      <w:pPr>
        <w:pStyle w:val="Heading2"/>
      </w:pPr>
      <w:r>
        <w:t xml:space="preserve">Guidance</w:t>
      </w:r>
    </w:p>
    <w:p>
      <w:pPr>
        <w:pStyle w:val="Normal"/>
      </w:pPr>
      <w:r>
        <w:t xml:space="preserve">Check the audit location for both the company and producers on the Certification Scope form.</w:t>
      </w:r>
    </w:p>
    <w:p>
      <w:pPr>
        <w:pStyle w:val="Normal"/>
      </w:pPr>
      <w:r>
        <w:t xml:space="preserve">Search the</w:t>
      </w:r>
      <w:r>
        <w:rPr>
          <w:b/>
        </w:rPr>
        <w:t xml:space="preserve">Global Living Wage Coalition (GLWC) page</w:t>
      </w:r>
      <w:r>
        <w:t xml:space="preserve">for a </w:t>
      </w:r>
      <w:r>
        <w:rPr>
          <w:i/>
        </w:rPr>
        <w:t xml:space="preserve">living wage</w:t>
      </w:r>
      <w:r>
        <w:t xml:space="preserve"> or a </w:t>
      </w:r>
      <w:r>
        <w:rPr>
          <w:i/>
        </w:rPr>
        <w:t xml:space="preserve">living income</w:t>
      </w:r>
      <w:r>
        <w:t xml:space="preserve"> benchmark in this location.</w:t>
      </w:r>
    </w:p>
    <w:p>
      <w:pPr>
        <w:pStyle w:val="Normal"/>
      </w:pPr>
      <w:r>
        <w:t xml:space="preserve">Be careful of this difference:</w:t>
      </w:r>
    </w:p>
    <w:p>
      <w:pPr>
        <w:pStyle w:val="Normal"/>
      </w:pPr>
      <w:r>
        <w:t xml:space="preserve">Living wage - for one worker.</w:t>
      </w:r>
    </w:p>
    <w:p>
      <w:pPr>
        <w:pStyle w:val="Normal"/>
      </w:pPr>
      <w:r>
        <w:t xml:space="preserve">Living income - for self-employed individuals or farmers sustaining the whole family (TBC).</w:t>
      </w:r>
      <w:r>
        <w:rPr>
          <w:b/>
        </w:rPr>
        <w:t xml:space="preserve">&gt;If there is a GLWC living wage estimate for the country/exact region:</w:t>
      </w:r>
      <w:r>
        <w:t xml:space="preserve">In NIC Certification audit&gt;Section: Biodiversity &amp; Wages instructions&gt; Field Wages: Specific instructions: Copy paste this:</w:t>
      </w:r>
      <w:r>
        <w:rPr>
          <w:b/>
        </w:rPr>
        <w:t xml:space="preserve">_Indicators 3.1.4 and 6.3.2 scoring: _</w:t>
      </w:r>
      <w:r>
        <w:rPr>
          <w:i/>
        </w:rPr>
        <w:t xml:space="preserve">Any work done on living wage and living income should be based on a living wage benchmark. UEBT's preferred source is the Global Living Wage Coalition's (GLWC) benchmarks based on the Anker methodology. </w:t>
      </w:r>
    </w:p>
    <w:p>
      <w:pPr>
        <w:pStyle w:val="Normal"/>
      </w:pPr>
      <w:r>
        <w:rPr>
          <w:i/>
        </w:rPr>
        <w:t xml:space="preserve">GLWC has a living wage benchmark for the country of this audit: </w:t>
      </w:r>
    </w:p>
    <w:p>
      <w:pPr>
        <w:pStyle w:val="Normal"/>
      </w:pPr>
      <w:r>
        <w:rPr>
          <w:i/>
        </w:rPr>
        <w:t xml:space="preserve">Add Link to living wage benchmark on GLWC page.  </w:t>
      </w:r>
    </w:p>
    <w:p>
      <w:pPr>
        <w:pStyle w:val="Normal"/>
      </w:pPr>
      <w:r>
        <w:rPr>
          <w:i/>
        </w:rPr>
        <w:t xml:space="preserve">If any general doubts on benchmarks, please see our Reference document: https://uebt.org/resource-pages/living-wage-living-income-benchmarks</w:t>
      </w:r>
      <w:r>
        <w:rPr>
          <w:b/>
        </w:rPr>
        <w:t xml:space="preserve">&gt;If there is a GLWC living wage estimate in the country, but for other region(s):</w:t>
      </w:r>
      <w:r>
        <w:t xml:space="preserve">In NIC Certification audit&gt;Section: Biodiversity &amp; Wages instructions&gt; Field Wages: Specific instructions: Copy paste and adapt this text:</w:t>
      </w:r>
    </w:p>
    <w:p>
      <w:pPr>
        <w:pStyle w:val="Normal"/>
      </w:pPr>
      <w:r>
        <w:rPr>
          <w:i/>
        </w:rPr>
        <w:t xml:space="preserve">**Indicators 3.1.4 and 6.3.2 scoring:**Any work done on living wage and living income by the organisation at source, should be based on an applicable living wage benchmark. UEBT's preferred source is the Global Living Wage Coalition (GLWC) which published benchmarks based on the Anker methodology. </w:t>
      </w:r>
    </w:p>
    <w:p>
      <w:pPr>
        <w:pStyle w:val="Normal"/>
      </w:pPr>
      <w:r>
        <w:rPr>
          <w:i/>
        </w:rPr>
        <w:t xml:space="preserve">Since there is no estimate for the region of production, we suggest using the estimate(s)for a similar region. However, this estimate can be adapted depending on the conditions in the production region. </w:t>
      </w:r>
    </w:p>
    <w:p>
      <w:pPr>
        <w:pStyle w:val="Normal"/>
      </w:pPr>
      <w:r>
        <w:rPr>
          <w:i/>
        </w:rPr>
        <w:t xml:space="preserve">GLWC a living wage estimates available for REGION and COUNTRY:  </w:t>
      </w:r>
    </w:p>
    <w:p>
      <w:pPr>
        <w:pStyle w:val="Normal"/>
      </w:pPr>
      <w:r>
        <w:rPr>
          <w:i/>
        </w:rPr>
        <w:t xml:space="preserve">Add Link to living wage benchmark on GLWC page.  </w:t>
      </w:r>
    </w:p>
    <w:p>
      <w:pPr>
        <w:pStyle w:val="Normal"/>
      </w:pPr>
      <w:r>
        <w:rPr>
          <w:i/>
        </w:rPr>
        <w:t xml:space="preserve">If any general doubts on benchmarks, please see our Reference document: https://uebt.org/resource-pages/living-wage-living-income-benchmarks</w:t>
      </w:r>
      <w:r>
        <w:rPr>
          <w:b/>
        </w:rPr>
        <w:t xml:space="preserve">&gt;If there is a GLWC living_ income_ estimate for the country/region, but no living</w:t>
      </w:r>
      <w:r>
        <w:rPr>
          <w:i/>
        </w:rPr>
        <w:t xml:space="preserve">**wage**</w:t>
      </w:r>
      <w:r>
        <w:rPr>
          <w:b/>
        </w:rPr>
        <w:t xml:space="preserve">estimate:</w:t>
      </w:r>
      <w:r>
        <w:t xml:space="preserve">Calculate the living wage benchmark using:</w:t>
      </w:r>
    </w:p>
    <w:p>
      <w:pPr>
        <w:pStyle w:val="Normal"/>
      </w:pPr>
      <w:r>
        <w:t xml:space="preserve">the Anker formula</w:t>
      </w:r>
    </w:p>
    <w:p>
      <w:pPr>
        <w:pStyle w:val="Normal"/>
      </w:pPr>
      <w:r>
        <w:t xml:space="preserve">Average number of workers per family</w:t>
      </w:r>
    </w:p>
    <w:p>
      <w:pPr>
        <w:pStyle w:val="ListParagraph"/>
        <w:numPr>
          <w:ilvl w:val="0"/>
          <w:numId w:val="1"/>
        </w:numPr>
      </w:pPr>
      <w:r>
        <w:t xml:space="preserve">&gt; Add Wages instructions</w:t>
      </w:r>
    </w:p>
    <w:p>
      <w:pPr>
        <w:pStyle w:val="Normal"/>
      </w:pPr>
      <w:r>
        <w:t xml:space="preserve">Wednesday, May 21, 2025</w:t>
      </w:r>
    </w:p>
    <w:p>
      <w:pPr>
        <w:pStyle w:val="Normal"/>
      </w:pPr>
      <w:r>
        <w:t xml:space="preserve">12:53 PM</w:t>
      </w:r>
    </w:p>
    <w:p>
      <w:pPr>
        <w:pStyle w:val="Normal"/>
      </w:pPr>
      <w:r>
        <w:t xml:space="preserve">[ ](https://www.globallivingwage.org/)[ ](https://www.globallivingwage.org/resource-library/)[ ](https://uebt.org/resource-pages/living-wage-living-income-benchmarks)</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8E1E79A0-A56C-4428-84E7-AC14E0952033}"/>
</file>

<file path=customXml/itemProps2.xml><?xml version="1.0" encoding="utf-8"?>
<ds:datastoreItem xmlns:ds="http://schemas.openxmlformats.org/officeDocument/2006/customXml" ds:itemID="{8583C733-AE21-474C-8D19-CCEB02DCBF40}"/>
</file>

<file path=customXml/itemProps3.xml><?xml version="1.0" encoding="utf-8"?>
<ds:datastoreItem xmlns:ds="http://schemas.openxmlformats.org/officeDocument/2006/customXml" ds:itemID="{DC86D6B7-2C27-4E21-B834-608C611F894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