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1"/>
      </w:pPr>
      <w:r>
        <w:t xml:space="preserve">Living Wage = (Living Income benchmark / # of full time equivalent workers per family)...</w:t>
      </w:r>
    </w:p>
    <w:p>
      <w:pPr>
        <w:pStyle w:val="Normal"/>
      </w:pPr>
      <w:r>
        <w:rPr>
          <w:b/>
        </w:rPr>
        <w:t xml:space="preserve">Source:</w:t>
      </w:r>
      <w:r>
        <w:t xml:space="preserve"> Certification Workflow Notebook export 20260804.pdf, Workflow Page 125 (PDF page 125)</w:t>
      </w:r>
    </w:p>
    <w:p>
      <w:pPr>
        <w:pStyle w:val="Heading2"/>
      </w:pPr>
      <w:r>
        <w:t xml:space="preserve">Guidance</w:t>
      </w:r>
    </w:p>
    <w:p>
      <w:pPr>
        <w:pStyle w:val="Normal"/>
      </w:pPr>
      <w:r>
        <w:t xml:space="preserve">Living Wage = (Living Income benchmark / # of full time equivalent workers per family) + payroll taxes and deductions</w:t>
      </w:r>
    </w:p>
    <w:p>
      <w:pPr>
        <w:pStyle w:val="Heading1"/>
      </w:pPr>
      <w:r>
        <w:t xml:space="preserve">of full-time equivalent workers per family: this should be available on the GLWC's living income report (you can use Ctrl+F with "Full time equivalent", or check in footnotes).</w:t>
      </w:r>
    </w:p>
    <w:p>
      <w:pPr>
        <w:pStyle w:val="ListParagraph"/>
        <w:numPr>
          <w:ilvl w:val="0"/>
          <w:numId w:val="1"/>
        </w:numPr>
      </w:pPr>
      <w:r>
        <w:t xml:space="preserve">Payroll and tax deductions: you can ask Chat GPT for ex: "if I earn XXX gross in Country X, how much will I earn net?" o "What is the tax rate in XXX". You can also check on  PWC, online tax calculators, etc., but sometimes more difficult to get an estimation. Doesn't have to be 100% precise, but general estimate.</w:t>
      </w:r>
    </w:p>
    <w:p>
      <w:pPr>
        <w:pStyle w:val="ListParagraph"/>
        <w:numPr>
          <w:ilvl w:val="0"/>
          <w:numId w:val="1"/>
        </w:numPr>
      </w:pPr>
      <w:r>
        <w:t xml:space="preserve">In NIC Certification audit&gt;Section: Biodiversity &amp; Wages instructions&gt; Field Wages: Specific instructions: Copy paste and adapt this text:</w:t>
      </w:r>
      <w:r>
        <w:rPr>
          <w:b/>
        </w:rPr>
        <w:t xml:space="preserve">_Indicators 3.1.4 and 6.3.2 scoring: _</w:t>
      </w:r>
      <w:r>
        <w:rPr>
          <w:i/>
        </w:rPr>
        <w:t xml:space="preserve">Any work done on living wage and living income by the organisation at source, should be based on an applicable living wage benchmark. UEBT's preferred source is the Global Living Wage Coalition (GLWC) which published benchmarks based on the Anker methodology. </w:t>
      </w:r>
    </w:p>
    <w:p>
      <w:pPr>
        <w:pStyle w:val="Normal"/>
      </w:pPr>
      <w:r>
        <w:rPr>
          <w:i/>
        </w:rPr>
        <w:t xml:space="preserve">GLWC has a living income benchmark for the country/region of this audit, and we have calculated that the approximate living wage benchmark would be: Add calculated number. </w:t>
      </w:r>
    </w:p>
    <w:p>
      <w:pPr>
        <w:pStyle w:val="Normal"/>
      </w:pPr>
      <w:r>
        <w:rPr>
          <w:i/>
        </w:rPr>
        <w:t xml:space="preserve">(FYI, living income reference that we used for calculation: Add Link to living income benchmark on GLWC page)</w:t>
      </w:r>
      <w:r>
        <w:rPr>
          <w:b/>
        </w:rPr>
        <w:t xml:space="preserve">&gt;If there is no GLWC living wage nor living income benchmark:</w:t>
      </w:r>
      <w:r>
        <w:t xml:space="preserve">In NIC Certification audit&gt;Section: Biodiversity &amp; Wages instructions&gt; Field Wages: Specific instructions: Copy paste and adapt this text:</w:t>
      </w:r>
    </w:p>
    <w:p>
      <w:pPr>
        <w:pStyle w:val="Normal"/>
      </w:pPr>
      <w:r>
        <w:rPr>
          <w:i/>
        </w:rPr>
        <w:t xml:space="preserve">Any work done on living wage and living income (indicators 3.1.4 and 6.3.2) by the organisation at source, should be based on a well-assessed living wage benchmark. UEBT's preferred source is the Global Living Wage Coalition (GLWC) which publishes benchmarks based on the Anker methodology, but there is no GLWC benchmark yet for this country.</w:t>
      </w:r>
    </w:p>
    <w:p>
      <w:pPr>
        <w:pStyle w:val="Normal"/>
      </w:pPr>
      <w:r>
        <w:rPr>
          <w:i/>
        </w:rPr>
        <w:t xml:space="preserve"> The company can decide to:</w:t>
      </w:r>
    </w:p>
    <w:p>
      <w:pPr>
        <w:pStyle w:val="Normal"/>
      </w:pPr>
      <w:r>
        <w:rPr>
          <w:i/>
        </w:rPr>
        <w:t xml:space="preserve"> Consult other sources such as the IDH resource that gives access to FairWage Network and WageIndicator dataset ( https://salarymatrix.idhtrade.org/benchmark-finder/)</w:t>
      </w:r>
    </w:p>
    <w:p>
      <w:pPr>
        <w:pStyle w:val="Normal"/>
      </w:pPr>
      <w:r>
        <w:t xml:space="preserve">1.</w:t>
      </w:r>
    </w:p>
    <w:p>
      <w:pPr>
        <w:pStyle w:val="Normal"/>
      </w:pPr>
      <w:r>
        <w:rPr>
          <w:i/>
        </w:rPr>
        <w:t xml:space="preserve"> Or commission a 3rd party study (ie. conducted by local university, research org, etc.). However, to be considered as valid for our standard, it is preferred that the estimation follows the Anker methodology (local university, research organization, etc.).</w:t>
      </w:r>
    </w:p>
    <w:p>
      <w:pPr>
        <w:pStyle w:val="Normal"/>
      </w:pPr>
      <w:r>
        <w:t xml:space="preserve">2.</w:t>
      </w:r>
    </w:p>
    <w:p>
      <w:pPr>
        <w:pStyle w:val="Normal"/>
      </w:pPr>
      <w:r>
        <w:rPr>
          <w:i/>
        </w:rPr>
        <w:t xml:space="preserve">Or conduct the organisation's own survey approach following the UEBT template available here ( </w:t>
      </w:r>
      <w:r>
        <w:t xml:space="preserve">https://uebt.org/resource-pages/living-wage-living-income-benchmarks). </w:t>
      </w:r>
      <w:r>
        <w:rPr>
          <w:i/>
        </w:rPr>
        <w:t xml:space="preserve">Please note that the auditor will have to triangulate the data from this survey during its interviews with producers, farmers, workers as per audit sampling to accept the estimated data. The organisation shall also commit to update this 1st estimate with 3rd party benchmark as soon as available in the region via GLWC or IDH. For more information on modality of this estimation, see our guidance, from section and onwards: "Local living wage studies commissioned by companies and organisations": </w:t>
      </w:r>
      <w:r>
        <w:t xml:space="preserve">https://uebt.org/resourcepages/living-wage-living-income-benchmarks</w:t>
      </w:r>
    </w:p>
    <w:p>
      <w:pPr>
        <w:pStyle w:val="Normal"/>
      </w:pPr>
      <w:r>
        <w:t xml:space="preserve">3.</w:t>
      </w:r>
      <w:r>
        <w:rPr>
          <w:b/>
        </w:rPr>
        <w:t xml:space="preserve">Ginah comment's on LI/LW for Madagascar on March 2025.</w:t>
      </w:r>
      <w:r>
        <w:t xml:space="preserve">[ ](https://salarymatrix.idhtrade.org/benchmark-finder/)</w:t>
      </w:r>
    </w:p>
    <w:p>
      <w:pPr>
        <w:pStyle w:val="Heading2"/>
      </w:pPr>
      <w:r>
        <w:t xml:space="preserve">Review notes</w:t>
      </w:r>
    </w:p>
    <w:p>
      <w:pPr>
        <w:pStyle w:val="ListParagraph"/>
        <w:numPr>
          <w:ilvl w:val="0"/>
          <w:numId w:val="1"/>
        </w:numPr>
      </w:pPr>
      <w:r>
        <w:t xml:space="preserve">Review this article against the source workflow before publishing.</w:t>
      </w:r>
    </w:p>
    <w:p>
      <w:pPr>
        <w:pStyle w:val="ListParagraph"/>
        <w:numPr>
          <w:ilvl w:val="0"/>
          <w:numId w:val="1"/>
        </w:numPr>
      </w:pPr>
      <w:r>
        <w:t xml:space="preserve">Confirm role names, email templates, Salesforce fields, and dates are still current.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hint="default"/>
      </w:r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 Default document font -->
  <w:docDefaults>
    <w:rPrDefault>
      <w:rPr>
        <w:rFonts w:ascii="Calibri" w:hAnsi="Calibri"/>
        <w:sz w:val="24"/>
        <w:szCs w:val="24"/>
        <w:lang w:val="en-US"/>
      </w:rPr>
    </w:rPrDefault>
    <w:pPrDefault>
      <w:pPr>
        <w:spacing w:after="160" w:line="259" w:lineRule="auto"/>
      </w:pPr>
    </w:pPrDefault>
  </w:docDefaults>
  <!-- Normal — default body paragraph -->
  <w:style w:type="paragraph" w:default="1" w:styleId="Normal">
    <w:name w:val="Normal"/>
    <w:pPr>
      <w:spacing w:after="160" w:line="259" w:lineRule="auto"/>
    </w:pPr>
  </w:style>
  <!-- Heading 1 — large, bold, accent blue -->
  <w:style w:type="paragraph" w:styleId="Heading1">
    <w:name w:val="heading 1"/>
    <w:basedOn w:val="Normal"/>
    <w:next w:val="Normal"/>
    <w:pPr>
      <w:keepNext/>
      <w:keepLines/>
      <w:spacing w:before="240" w:after="0"/>
      <w:outlineLvl w:val="0"/>
    </w:pPr>
    <w:rPr>
      <w:b/>
      <w:color w:val="2E74B5"/>
      <w:sz w:val="40"/>
      <w:szCs w:val="40"/>
    </w:rPr>
  </w:style>
  <!-- Heading 2 — medium, bold, accent blue -->
  <w:style w:type="paragraph" w:styleId="Heading2">
    <w:name w:val="heading 2"/>
    <w:basedOn w:val="Normal"/>
    <w:next w:val="Normal"/>
    <w:pPr>
      <w:keepNext/>
      <w:keepLines/>
      <w:spacing w:before="200" w:after="0"/>
      <w:outlineLvl w:val="1"/>
    </w:pPr>
    <w:rPr>
      <w:b/>
      <w:color w:val="2E74B5"/>
      <w:sz w:val="32"/>
      <w:szCs w:val="32"/>
    </w:rPr>
  </w:style>
  <!-- Heading 3 — small, bold, accent blue -->
  <w:style w:type="paragraph" w:styleId="Heading3">
    <w:name w:val="heading 3"/>
    <w:basedOn w:val="Normal"/>
    <w:next w:val="Normal"/>
    <w:pPr>
      <w:keepNext/>
      <w:keepLines/>
      <w:spacing w:before="160" w:after="0"/>
      <w:outlineLvl w:val="2"/>
    </w:pPr>
    <w:rPr>
      <w:b/>
      <w:color w:val="2E74B5"/>
      <w:sz w:val="24"/>
      <w:szCs w:val="24"/>
    </w:rPr>
  </w:style>
  <!-- ListParagraph — indented paragraph for bullet/numbered lists -->
  <w:style w:type="paragraph" w:styleId="ListParagraph">
    <w:name w:val="List Paragraph"/>
    <w:basedOn w:val="Normal"/>
    <w:pPr>
      <w:ind w:left="720"/>
      <w:contextualSpacing/>
    </w:pPr>
  </w:style>
  <!-- Code — monospace font for inline code spans -->
  <w:style w:type="character" w:styleId="Code">
    <w:name w:val="Code"/>
    <w:rPr>
      <w:rFonts w:ascii="Courier New" w:hAnsi="Courier New" w:cs="Courier New"/>
      <w:sz w:val="20"/>
      <w:szCs w:val="20"/>
      <w:color w:val="C7254E"/>
    </w:rPr>
  </w:style>
</w:styles>
</file>

<file path=word/_rels/document.xml.rels><?xml version="1.0" encoding="UTF-8" standalone="yes"?>
<Relationships xmlns="http://schemas.openxmlformats.org/package/2006/relationships"><Relationship Id="rId3" Type="http://schemas.openxmlformats.org/officeDocument/2006/relationships/numbering" Target="numbering.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3.xml"/><Relationship Id="rId5" Type="http://schemas.openxmlformats.org/officeDocument/2006/relationships/customXml" Target="../customXml/item2.xml"/><Relationship Id="rId4" Type="http://schemas.openxmlformats.org/officeDocument/2006/relationships/customXml" Target="../customXml/item1.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F51C52D3E9CBC4D96106C97B409ED1A" ma:contentTypeVersion="8" ma:contentTypeDescription="Create a new document." ma:contentTypeScope="" ma:versionID="4e110fda9dc666eaef825d1bb862a7c9">
  <xsd:schema xmlns:xsd="http://www.w3.org/2001/XMLSchema" xmlns:xs="http://www.w3.org/2001/XMLSchema" xmlns:p="http://schemas.microsoft.com/office/2006/metadata/properties" xmlns:ns2="e51853df-0d3f-4e23-96f8-a5740fb112f6" targetNamespace="http://schemas.microsoft.com/office/2006/metadata/properties" ma:root="true" ma:fieldsID="864c63849b93aa8770c304ce7565a11b" ns2:_="">
    <xsd:import namespace="e51853df-0d3f-4e23-96f8-a5740fb112f6"/>
    <xsd:element name="properties">
      <xsd:complexType>
        <xsd:sequence>
          <xsd:element name="documentManagement">
            <xsd:complexType>
              <xsd:all>
                <xsd:element ref="ns2:Audience" minOccurs="0"/>
                <xsd:element ref="ns2:Category" minOccurs="0"/>
                <xsd:element ref="ns2:Status" minOccurs="0"/>
                <xsd:element ref="ns2:Owner" minOccurs="0"/>
                <xsd:element ref="ns2:ReviewDate"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1853df-0d3f-4e23-96f8-a5740fb112f6" elementFormDefault="qualified">
    <xsd:import namespace="http://schemas.microsoft.com/office/2006/documentManagement/types"/>
    <xsd:import namespace="http://schemas.microsoft.com/office/infopath/2007/PartnerControls"/>
    <xsd:element name="Audience" ma:index="8" nillable="true" ma:displayName="Audience" ma:format="Dropdown" ma:internalName="Audience">
      <xsd:simpleType>
        <xsd:restriction base="dms:Choice">
          <xsd:enumeration value="Members"/>
          <xsd:enumeration value="Certification Bodies"/>
          <xsd:enumeration value="Both"/>
        </xsd:restriction>
      </xsd:simpleType>
    </xsd:element>
    <xsd:element name="Category" ma:index="9" nillable="true" ma:displayName="Category" ma:format="Dropdown" ma:internalName="Category">
      <xsd:simpleType>
        <xsd:restriction base="dms:Choice">
          <xsd:enumeration value="First Login"/>
          <xsd:enumeration value="MFA Setup"/>
          <xsd:enumeration value="Certification Planning"/>
          <xsd:enumeration value="Audit Process"/>
          <xsd:enumeration value="FAQs"/>
          <xsd:enumeration value="Support"/>
        </xsd:restriction>
      </xsd:simpleType>
    </xsd:element>
    <xsd:element name="Status" ma:index="10" nillable="true" ma:displayName="Status" ma:format="Dropdown" ma:internalName="Status">
      <xsd:simpleType>
        <xsd:restriction base="dms:Choice">
          <xsd:enumeration value="Draft"/>
          <xsd:enumeration value="In Review"/>
          <xsd:enumeration value="Published"/>
          <xsd:enumeration value="Archived"/>
        </xsd:restriction>
      </xsd:simpleType>
    </xsd:element>
    <xsd:element name="Owner" ma:index="11" nillable="true" ma:displayName="Owner" ma:SharePointGroup="0"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viewDate" ma:index="12" nillable="true" ma:displayName="Review date" ma:format="DateOnly" ma:internalName="ReviewDate">
      <xsd:simpleType>
        <xsd:restriction base="dms:DateTime"/>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Nam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Audience xmlns="e51853df-0d3f-4e23-96f8-a5740fb112f6" xsi:nil="true"/>
    <Status xmlns="e51853df-0d3f-4e23-96f8-a5740fb112f6">Draft</Status>
    <Category xmlns="e51853df-0d3f-4e23-96f8-a5740fb112f6" xsi:nil="true"/>
    <ReviewDate xmlns="e51853df-0d3f-4e23-96f8-a5740fb112f6" xsi:nil="true"/>
    <Owner xmlns="e51853df-0d3f-4e23-96f8-a5740fb112f6">
      <UserInfo>
        <DisplayName/>
        <AccountId xsi:nil="true"/>
        <AccountType/>
      </UserInfo>
    </Owner>
  </documentManagement>
</p:properties>
</file>

<file path=customXml/itemProps1.xml><?xml version="1.0" encoding="utf-8"?>
<ds:datastoreItem xmlns:ds="http://schemas.openxmlformats.org/officeDocument/2006/customXml" ds:itemID="{6B7EEA66-5ACB-479A-8D00-DC1C523F5676}"/>
</file>

<file path=customXml/itemProps2.xml><?xml version="1.0" encoding="utf-8"?>
<ds:datastoreItem xmlns:ds="http://schemas.openxmlformats.org/officeDocument/2006/customXml" ds:itemID="{0020896A-79AB-49EA-807D-FD67FD38D0BE}"/>
</file>

<file path=customXml/itemProps3.xml><?xml version="1.0" encoding="utf-8"?>
<ds:datastoreItem xmlns:ds="http://schemas.openxmlformats.org/officeDocument/2006/customXml" ds:itemID="{F94A0829-7479-4D18-9AE4-56408D946A46}"/>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0x0101006F51C52D3E9CBC4D96106C97B409ED1A</vt:lpwstr>
  </property>
</Properties>
</file>