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To assess any work done on living wage and living income (indicators 3.1.4 and 6.3.2) b...</w:t>
      </w:r>
    </w:p>
    <w:p>
      <w:pPr>
        <w:pStyle w:val="Normal"/>
      </w:pPr>
      <w:r>
        <w:rPr>
          <w:b/>
        </w:rPr>
        <w:t xml:space="preserve">Source:</w:t>
      </w:r>
      <w:r>
        <w:t xml:space="preserve"> Certification Workflow Notebook export 20260804.pdf, Workflow Page 126 (PDF page 126)</w:t>
      </w:r>
    </w:p>
    <w:p>
      <w:pPr>
        <w:pStyle w:val="Heading2"/>
      </w:pPr>
      <w:r>
        <w:t xml:space="preserve">Guidance</w:t>
      </w:r>
    </w:p>
    <w:p>
      <w:pPr>
        <w:pStyle w:val="Normal"/>
      </w:pPr>
      <w:r>
        <w:t xml:space="preserve">To assess any work done on living wage and living income (indicators 3.1.4 and 6.3.2) by the organisation at source, it is important to identify an applicable living wage benchmark. In the case of the SAVA region we advise to look at Fairtrade's Living Income Reference Price report and use the living wage calculated there. This is €7.5 per labour-day per person at an exchange rate of 4,816.5 ariary, which equals 35,123.75 ariary per working DAY.</w:t>
      </w:r>
    </w:p>
    <w:p>
      <w:pPr>
        <w:pStyle w:val="Normal"/>
      </w:pPr>
      <w:r>
        <w:t xml:space="preserve">Please note that this is living wage NET not gross.</w:t>
      </w:r>
    </w:p>
    <w:p>
      <w:pPr>
        <w:pStyle w:val="Normal"/>
      </w:pPr>
      <w:r>
        <w:t xml:space="preserve">https://files.fairtrade.net/publications/Fairtrade-Vanilla-Living-Income-Ref-Price-Madagascarreport-2024.pdf</w:t>
      </w:r>
    </w:p>
    <w:p>
      <w:pPr>
        <w:pStyle w:val="Normal"/>
      </w:pPr>
      <w:r>
        <w:t xml:space="preserve">[ ](https://files.fairtrade.net/publications/Fairtrade-Vanilla-Living-Income-Ref-Price-Madagascar-report-2024.pdf)</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29F66F7C-68F2-4623-97CA-3DD9EB780414}"/>
</file>

<file path=customXml/itemProps2.xml><?xml version="1.0" encoding="utf-8"?>
<ds:datastoreItem xmlns:ds="http://schemas.openxmlformats.org/officeDocument/2006/customXml" ds:itemID="{09AEDBAE-DAA1-4584-9C6D-3702D5009276}"/>
</file>

<file path=customXml/itemProps3.xml><?xml version="1.0" encoding="utf-8"?>
<ds:datastoreItem xmlns:ds="http://schemas.openxmlformats.org/officeDocument/2006/customXml" ds:itemID="{F23D63F1-05D1-46B2-840B-053AD73643E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