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&lt;table&gt;</w:t>
      </w:r>
    </w:p>
    <w:p>
      <w:pPr>
        <w:pStyle w:val="Normal"/>
      </w:pPr>
      <w:r>
        <w:rPr>
          <w:b/>
        </w:rPr>
        <w:t xml:space="preserve">Source:</w:t>
      </w:r>
      <w:r>
        <w:t xml:space="preserve"> Certification Workflow Notebook export 20260804.pdf, Workflow Page 143 (PDF page 143)</w:t>
      </w:r>
    </w:p>
    <w:p>
      <w:pPr>
        <w:pStyle w:val="Heading2"/>
      </w:pPr>
      <w:r>
        <w:t xml:space="preserve">Guidance</w:t>
      </w:r>
    </w:p>
    <w:p>
      <w:pPr>
        <w:pStyle w:val="Normal"/>
      </w:pPr>
      <w:r>
        <w:t xml:space="preserve">&lt;table&gt;</w:t>
      </w:r>
    </w:p>
    <w:p>
      <w:pPr>
        <w:pStyle w:val="Normal"/>
      </w:pPr>
      <w:r>
        <w:t xml:space="preserve">&lt;td&gt;</w:t>
      </w:r>
    </w:p>
    <w:p>
      <w:pPr>
        <w:pStyle w:val="Normal"/>
      </w:pPr>
      <w:r>
        <w:t xml:space="preserve">and margin is secured.</w:t>
      </w:r>
    </w:p>
    <w:p>
      <w:pPr>
        <w:pStyle w:val="Normal"/>
      </w:pPr>
      <w:r>
        <w:t xml:space="preserve">&lt;/td&gt;</w:t>
      </w:r>
    </w:p>
    <w:p>
      <w:pPr>
        <w:pStyle w:val="Normal"/>
      </w:pPr>
      <w:r>
        <w:t xml:space="preserve">&lt;td&gt;</w:t>
      </w:r>
    </w:p>
    <w:p>
      <w:pPr>
        <w:pStyle w:val="Normal"/>
      </w:pPr>
      <w:r>
        <w:t xml:space="preserve">3.1.4</w:t>
      </w:r>
      <w:r>
        <w:rPr>
          <w:b/>
        </w:rPr>
        <w:t xml:space="preserve">Living income/wage - gap assessment</w:t>
      </w:r>
      <w:r>
        <w:t xml:space="preserve">&lt;/td&gt;</w:t>
      </w:r>
    </w:p>
    <w:p>
      <w:pPr>
        <w:pStyle w:val="Normal"/>
      </w:pPr>
      <w:r>
        <w:t xml:space="preserve">&lt;td&gt;</w:t>
      </w:r>
    </w:p>
    <w:p>
      <w:pPr>
        <w:pStyle w:val="Normal"/>
      </w:pPr>
      <w:r>
        <w:t xml:space="preserve">Guiding question for auditors:</w:t>
      </w:r>
    </w:p>
    <w:p>
      <w:pPr>
        <w:pStyle w:val="Normal"/>
      </w:pPr>
      <w:r>
        <w:t xml:space="preserve">Scoring guidance:</w:t>
      </w:r>
    </w:p>
    <w:p>
      <w:pPr>
        <w:pStyle w:val="Normal"/>
      </w:pPr>
      <w:r>
        <w:t xml:space="preserve">As for minimum wage for Producers we refer to living wage net as it does not enter payroll and taxation system.</w:t>
      </w:r>
    </w:p>
    <w:p>
      <w:pPr>
        <w:pStyle w:val="Normal"/>
      </w:pPr>
      <w:r>
        <w:t xml:space="preserve">&lt;/td&gt;</w:t>
      </w:r>
    </w:p>
    <w:p>
      <w:pPr>
        <w:pStyle w:val="Normal"/>
      </w:pPr>
      <w:r>
        <w:t xml:space="preserve">&lt;td&gt;</w:t>
      </w:r>
    </w:p>
    <w:p>
      <w:pPr>
        <w:pStyle w:val="Normal"/>
      </w:pPr>
      <w:r>
        <w:t xml:space="preserve">Stephanie</w:t>
      </w:r>
    </w:p>
    <w:p>
      <w:pPr>
        <w:pStyle w:val="Normal"/>
      </w:pPr>
      <w:r>
        <w:t xml:space="preserve">&lt;/td&gt;</w:t>
      </w:r>
    </w:p>
    <w:p>
      <w:pPr>
        <w:pStyle w:val="Normal"/>
      </w:pPr>
      <w:r>
        <w:t xml:space="preserve">&lt;td&gt;</w:t>
      </w:r>
    </w:p>
    <w:p>
      <w:pPr>
        <w:pStyle w:val="Normal"/>
      </w:pPr>
      <w:r>
        <w:t xml:space="preserve">6.3.1</w:t>
      </w:r>
    </w:p>
    <w:p>
      <w:pPr>
        <w:pStyle w:val="Normal"/>
      </w:pPr>
      <w:r>
        <w:t xml:space="preserve">Min wage -</w:t>
      </w:r>
      <w:r>
        <w:rPr>
          <w:b/>
        </w:rPr>
        <w:t xml:space="preserve">References</w:t>
      </w:r>
      <w:r>
        <w:t xml:space="preserve">&lt;/td&gt;</w:t>
      </w:r>
    </w:p>
    <w:p>
      <w:pPr>
        <w:pStyle w:val="Normal"/>
      </w:pPr>
      <w:r>
        <w:t xml:space="preserve">&lt;td&gt;</w:t>
      </w:r>
    </w:p>
    <w:p>
      <w:pPr>
        <w:pStyle w:val="Normal"/>
      </w:pPr>
      <w:r>
        <w:t xml:space="preserve">You can use this website to look for most updated data on minimum wage in a country: https://wageindicator.org/</w:t>
      </w:r>
    </w:p>
    <w:p>
      <w:pPr>
        <w:pStyle w:val="Normal"/>
      </w:pPr>
      <w:r>
        <w:t xml:space="preserve">&lt;/td&gt;</w:t>
      </w:r>
    </w:p>
    <w:p>
      <w:pPr>
        <w:pStyle w:val="Normal"/>
      </w:pPr>
      <w:r>
        <w:t xml:space="preserve">&lt;td&gt;</w:t>
      </w:r>
    </w:p>
    <w:p>
      <w:pPr>
        <w:pStyle w:val="Normal"/>
      </w:pPr>
      <w:r>
        <w:t xml:space="preserve">6.3.1</w:t>
      </w:r>
      <w:r>
        <w:rPr>
          <w:b/>
        </w:rPr>
        <w:t xml:space="preserve">Min wage</w:t>
      </w:r>
      <w:r>
        <w:t xml:space="preserve">application to</w:t>
      </w:r>
      <w:r>
        <w:rPr>
          <w:b/>
        </w:rPr>
        <w:t xml:space="preserve">informal workers</w:t>
      </w:r>
      <w:r>
        <w:t xml:space="preserve">&lt;/td&gt;</w:t>
      </w:r>
    </w:p>
    <w:p>
      <w:pPr>
        <w:pStyle w:val="Normal"/>
      </w:pPr>
      <w:r>
        <w:t xml:space="preserve">&lt;td&gt;</w:t>
      </w:r>
    </w:p>
    <w:p>
      <w:pPr>
        <w:pStyle w:val="Normal"/>
      </w:pPr>
      <w:r>
        <w:t xml:space="preserve">This requirement applies to any kind of workers, including subcontracted workers and informal workers - throughout the value chain.</w:t>
      </w:r>
    </w:p>
    <w:p>
      <w:pPr>
        <w:pStyle w:val="Normal"/>
      </w:pPr>
      <w:r>
        <w:t xml:space="preserve">However, the indicator becomes a critical indicator for informal workers (versus a minimum indicator for formally hired workers), allowing for a workplan.</w:t>
      </w:r>
    </w:p>
    <w:p>
      <w:pPr>
        <w:pStyle w:val="Normal"/>
      </w:pPr>
      <w:r>
        <w:t xml:space="preserve">An informal worker is a worker (see UEBT definition) that is not registered, regulated, or protected by existing legal or regulatory frameworks. Informal workers do not have written or secure employment contracts or payroll systems, workers' benefits, social protection, or workers' representation.</w:t>
      </w:r>
    </w:p>
    <w:p>
      <w:pPr>
        <w:pStyle w:val="Normal"/>
      </w:pPr>
      <w:r>
        <w:t xml:space="preserve">Tip: How to know if a company's seasonal workers are informal workers? Check the auditor's justification in 6.3.6 and 6.3.7.</w:t>
      </w:r>
    </w:p>
    <w:p>
      <w:pPr>
        <w:pStyle w:val="Normal"/>
      </w:pPr>
      <w:r>
        <w:t xml:space="preserve">How to proceed in such cases, when the auditor scores NC:</w:t>
      </w:r>
    </w:p>
    <w:p>
      <w:pPr>
        <w:pStyle w:val="Normal"/>
      </w:pPr>
      <w:r>
        <w:t xml:space="preserve">Ask auditor to score 3 on 6.3.1, and transfer the comment on min wage not paid to informal workers to indicator 6.3.2 + score 6.3.2 as noncompliant, so that it appears on the Grove workplan.</w:t>
      </w:r>
    </w:p>
    <w:p>
      <w:pPr>
        <w:pStyle w:val="ListParagraph"/>
        <w:numPr>
          <w:ilvl w:val="0"/>
          <w:numId w:val="1"/>
        </w:numPr>
      </w:pPr>
      <w:r>
        <w:t xml:space="preserve">&lt;/td&gt;</w:t>
      </w:r>
    </w:p>
    <w:p>
      <w:pPr>
        <w:pStyle w:val="Normal"/>
      </w:pPr>
      <w:r>
        <w:t xml:space="preserve">&lt;td&gt;</w:t>
      </w:r>
    </w:p>
    <w:p>
      <w:pPr>
        <w:pStyle w:val="Normal"/>
      </w:pPr>
      <w:r>
        <w:t xml:space="preserve">Re Backgrou...</w:t>
      </w:r>
    </w:p>
    <w:p>
      <w:pPr>
        <w:pStyle w:val="Normal"/>
      </w:pPr>
      <w:r>
        <w:t xml:space="preserve">&lt;/td&gt;</w:t>
      </w:r>
    </w:p>
    <w:p>
      <w:pPr>
        <w:pStyle w:val="Normal"/>
      </w:pPr>
      <w:r>
        <w:t xml:space="preserve">&lt;td&gt;</w:t>
      </w:r>
    </w:p>
    <w:p>
      <w:pPr>
        <w:pStyle w:val="Normal"/>
      </w:pPr>
      <w:r>
        <w:t xml:space="preserve">3.1.4 and 6.3.2</w:t>
      </w:r>
      <w:r>
        <w:rPr>
          <w:b/>
        </w:rPr>
        <w:t xml:space="preserve">Living wage Estimation of living wage</w:t>
      </w:r>
      <w:r>
        <w:t xml:space="preserve">&lt;/td&gt;</w:t>
      </w:r>
    </w:p>
    <w:p>
      <w:pPr>
        <w:pStyle w:val="Normal"/>
      </w:pPr>
      <w:r>
        <w:t xml:space="preserve">&lt;td&gt;</w:t>
      </w:r>
    </w:p>
    <w:p>
      <w:pPr>
        <w:pStyle w:val="Normal"/>
      </w:pPr>
      <w:r>
        <w:t xml:space="preserve">This requirements apply to any kind of workers in the value chain.</w:t>
      </w:r>
      <w:r>
        <w:rPr>
          <w:b/>
        </w:rPr>
        <w:t xml:space="preserve">Score of 2 requires:</w:t>
      </w:r>
      <w:r>
        <w:t xml:space="preserve">Valid reference value</w:t>
      </w:r>
      <w:r>
        <w:t xml:space="preserve">* (see below)</w:t>
      </w:r>
    </w:p>
    <w:p>
      <w:pPr>
        <w:pStyle w:val="Normal"/>
      </w:pPr>
      <w:r>
        <w:t xml:space="preserve">Gap assessment current labor cost vs. payments</w:t>
      </w:r>
    </w:p>
    <w:p>
      <w:pPr>
        <w:pStyle w:val="Normal"/>
      </w:pPr>
      <w:r>
        <w:t xml:space="preserve">Time-bound commitment &amp; strategy to start closing the gap</w:t>
      </w:r>
    </w:p>
    <w:p>
      <w:pPr>
        <w:pStyle w:val="Normal"/>
      </w:pPr>
      <w:r>
        <w:t xml:space="preserve">_</w:t>
      </w:r>
    </w:p>
    <w:p>
      <w:pPr>
        <w:pStyle w:val="Normal"/>
      </w:pPr>
      <w:r>
        <w:t xml:space="preserve">*Defining a Valid reference value: </w:t>
      </w:r>
      <w:r>
        <w:t xml:space="preserve">_</w:t>
      </w:r>
    </w:p>
    <w:p>
      <w:pPr>
        <w:pStyle w:val="Normal"/>
      </w:pPr>
      <w:r>
        <w:rPr>
          <w:i/>
        </w:rPr>
        <w:t xml:space="preserve">UEBT recommends to use Global Living Wage Coalition (GLWC) reference value updated with inflation rate.</w:t>
      </w:r>
    </w:p>
    <w:p>
      <w:pPr>
        <w:pStyle w:val="Normal"/>
      </w:pPr>
      <w:r>
        <w:rPr>
          <w:i/>
        </w:rPr>
        <w:t xml:space="preserve"> Where GLWC benchmark is not available, UEBT recommends to use value on IDH Benchmark finder: https://www.salarymatrix.idhtrade.org/en/benchmarkfinder: </w:t>
      </w:r>
    </w:p>
    <w:p>
      <w:pPr>
        <w:pStyle w:val="Normal"/>
      </w:pPr>
      <w:r>
        <w:rPr>
          <w:i/>
        </w:rPr>
        <w:t xml:space="preserve">Organization needs to search for the country, select most recent year and most relevant region compared to sourcing area. It might need to register an email and a quick written request. The data can be free or for purchase, depending on data provider. </w:t>
      </w:r>
    </w:p>
    <w:p>
      <w:pPr>
        <w:pStyle w:val="Normal"/>
      </w:pPr>
      <w:r>
        <w:rPr>
          <w:i/>
        </w:rPr>
        <w:t xml:space="preserve">If there is no reference in GLWC nor in IDH value is available for the specific region (e.g. French Polynesia, Comoros), the organisation is invited to:</w:t>
      </w:r>
    </w:p>
    <w:p>
      <w:pPr>
        <w:pStyle w:val="Normal"/>
      </w:pPr>
      <w:r>
        <w:rPr>
          <w:i/>
        </w:rPr>
        <w:t xml:space="preserve"> Commission a costs of living study with local university and expert. This can be organised with other actors of the region to facilitate funding. UEBT could serve as project coordinator if decided between UEBT and the involved parties.</w:t>
      </w:r>
    </w:p>
    <w:p>
      <w:pPr>
        <w:pStyle w:val="Normal"/>
      </w:pPr>
      <w:r>
        <w:t xml:space="preserve">_</w:t>
      </w:r>
    </w:p>
    <w:p>
      <w:pPr>
        <w:pStyle w:val="Normal"/>
      </w:pPr>
      <w:r>
        <w:t xml:space="preserve">Run its own survey using UEBT dedicated guidance. Results would need to be validated by UEBT assessor during next field verification. This estimated value will need to be updated with any credible reference value once published.</w:t>
      </w:r>
      <w:r>
        <w:t xml:space="preserve">_</w:t>
      </w:r>
      <w:r>
        <w:rPr>
          <w:b/>
        </w:rPr>
        <w:t xml:space="preserve">Score 3 requires:</w:t>
      </w:r>
      <w:r>
        <w:t xml:space="preserve">ALL workers of the value chain (temporary, seasonal, FTE), are paid a living wage.</w:t>
      </w:r>
    </w:p>
    <w:p>
      <w:pPr>
        <w:pStyle w:val="Normal"/>
      </w:pPr>
      <w:r>
        <w:t xml:space="preserve">For reference:</w:t>
      </w:r>
    </w:p>
    <w:p>
      <w:pPr>
        <w:pStyle w:val="Normal"/>
      </w:pPr>
      <w:r>
        <w:t xml:space="preserve">&lt;/td&gt;</w:t>
      </w:r>
    </w:p>
    <w:p>
      <w:pPr>
        <w:pStyle w:val="Normal"/>
      </w:pPr>
      <w:r>
        <w:t xml:space="preserve">&lt;td&gt;</w:t>
      </w:r>
    </w:p>
    <w:p>
      <w:pPr>
        <w:pStyle w:val="Normal"/>
      </w:pPr>
      <w:r>
        <w:t xml:space="preserve">Stephanie benchmark table - Feb26 update: https://uebt.s harepoint.co m/:x:/s/Exter nal</w:t>
      </w:r>
      <w:r>
        <w:rPr>
          <w:i/>
        </w:rPr>
        <w:t xml:space="preserve">site/IQAY 5LWzf3wzRKk JknkKQL</w:t>
      </w:r>
      <w:r>
        <w:t xml:space="preserve">VAf Sf3S1TSa3N6l 3UDA9g6l0? e=KapK6O</w:t>
      </w:r>
    </w:p>
    <w:p>
      <w:pPr>
        <w:pStyle w:val="Normal"/>
      </w:pPr>
      <w:r>
        <w:t xml:space="preserve">&lt;/td&gt;</w:t>
      </w:r>
    </w:p>
    <w:p>
      <w:pPr>
        <w:pStyle w:val="Normal"/>
      </w:pPr>
      <w:r>
        <w:t xml:space="preserve">&lt;/table&gt;</w:t>
      </w:r>
    </w:p>
    <w:p>
      <w:pPr>
        <w:pStyle w:val="Normal"/>
      </w:pPr>
      <w:r>
        <w:t xml:space="preserve">[ ](https://wageindicator.org/)[ ](https://www.salarymatrix.idhtrade.org/en/benchmark-finder)[ ](https://uebt.sharepoint.com/:x:/s/External</w:t>
      </w:r>
      <w:r>
        <w:rPr>
          <w:i/>
        </w:rPr>
        <w:t xml:space="preserve">site/IQAY5LWzf3wzRKkJknkKQL</w:t>
      </w:r>
      <w:r>
        <w:t xml:space="preserve">VAfSf3S1TSa3N6l3UDA9g6l0?e=KapK6O)![][image</w:t>
      </w:r>
      <w:r>
        <w:t xml:space="preserve">_t+MsoR6+rw8r/g6Gf/d/bQ==]</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0EAEDB8B-431C-4FC4-8A45-C1F955DCF05F}"/>
</file>

<file path=customXml/itemProps2.xml><?xml version="1.0" encoding="utf-8"?>
<ds:datastoreItem xmlns:ds="http://schemas.openxmlformats.org/officeDocument/2006/customXml" ds:itemID="{94D174DF-3AD3-4E3B-9A66-CFFFFE8BB11D}"/>
</file>

<file path=customXml/itemProps3.xml><?xml version="1.0" encoding="utf-8"?>
<ds:datastoreItem xmlns:ds="http://schemas.openxmlformats.org/officeDocument/2006/customXml" ds:itemID="{5A1FD917-D460-4B3B-8FFC-246229C640F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