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This is valid only while UEBT still doesn’t have a tailored System checklist for OnaS W...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151 (PDF page 151)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This is valid only while UEBT still doesn’t have a tailored System checklist for OnaS WITHOUT and IMS, with reduced requirements.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BE32D9F1-CC1F-4938-AA62-EDD015C34BC7}"/>
</file>

<file path=customXml/itemProps2.xml><?xml version="1.0" encoding="utf-8"?>
<ds:datastoreItem xmlns:ds="http://schemas.openxmlformats.org/officeDocument/2006/customXml" ds:itemID="{479D2A08-0CE3-4E1C-A037-3A8D5250EFF1}"/>
</file>

<file path=customXml/itemProps3.xml><?xml version="1.0" encoding="utf-8"?>
<ds:datastoreItem xmlns:ds="http://schemas.openxmlformats.org/officeDocument/2006/customXml" ds:itemID="{FE1D4D8A-04B1-4B4F-B9FD-9613E09699A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