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If some corrective actions to Critical NCs take longer than 3 months</w:t>
      </w:r>
    </w:p>
    <w:p>
      <w:pPr>
        <w:pStyle w:val="Normal"/>
      </w:pPr>
      <w:r>
        <w:rPr>
          <w:b/>
        </w:rPr>
        <w:t xml:space="preserve">Source:</w:t>
      </w:r>
      <w:r>
        <w:t xml:space="preserve"> Certification Workflow Notebook export 20260804.pdf, Workflow Page 173 (PDF page 173)</w:t>
      </w:r>
    </w:p>
    <w:p>
      <w:pPr>
        <w:pStyle w:val="Heading2"/>
      </w:pPr>
      <w:r>
        <w:t xml:space="preserve">Guidance</w:t>
      </w:r>
    </w:p>
    <w:p>
      <w:pPr>
        <w:pStyle w:val="Normal"/>
      </w:pPr>
      <w:r>
        <w:t xml:space="preserve">If some corrective actions to Critical NCs take longer than 3 months</w:t>
      </w:r>
      <w:r>
        <w:rPr>
          <w:b/>
        </w:rPr>
        <w:t xml:space="preserve">Background:</w:t>
      </w:r>
      <w:r>
        <w:t xml:space="preserve">Corrective actions to critical indicators can sometimes take more than 3 months for justifiable reasons. Certification has been asked repetitively how to manage this, and we don't have a straightforward answer. In practice, we just accept if the CB considers that there are valid reasons.</w:t>
      </w:r>
    </w:p>
    <w:p>
      <w:pPr>
        <w:pStyle w:val="Normal"/>
      </w:pPr>
      <w:r>
        <w:t xml:space="preserve">NB: At some point, we might want to make a difference between the Critical indicators that we think should always be closed in 12 weeks, as required, and the ones that cannot be closed within 12 weeks and will need more time to be closed.</w:t>
      </w:r>
      <w:r>
        <w:rPr>
          <w:b/>
        </w:rPr>
        <w:t xml:space="preserve">How to manage on Grove:</w:t>
      </w:r>
      <w:r>
        <w:t xml:space="preserve">Those corrective actions should be marked in the workplan as:</w:t>
      </w:r>
    </w:p>
    <w:p>
      <w:pPr>
        <w:pStyle w:val="Normal"/>
      </w:pPr>
      <w:r>
        <w:t xml:space="preserve">Auditor review: filled by CB - “</w:t>
      </w:r>
      <w:r>
        <w:rPr>
          <w:b/>
        </w:rPr>
        <w:t xml:space="preserve">Completed</w:t>
      </w:r>
      <w:r>
        <w:t xml:space="preserve">”, ie. the CB agrees with the corrective action.</w:t>
      </w:r>
    </w:p>
    <w:p>
      <w:pPr>
        <w:pStyle w:val="ListParagraph"/>
        <w:numPr>
          <w:ilvl w:val="0"/>
          <w:numId w:val="1"/>
        </w:numPr>
      </w:pPr>
      <w:r>
        <w:t xml:space="preserve">Final score: Change to 2 (to be tested).</w:t>
      </w:r>
    </w:p>
    <w:p>
      <w:pPr>
        <w:pStyle w:val="ListParagraph"/>
        <w:numPr>
          <w:ilvl w:val="0"/>
          <w:numId w:val="1"/>
        </w:numPr>
      </w:pPr>
      <w:r>
        <w:t xml:space="preserve">Corrective action implementation tracking: "</w:t>
      </w:r>
      <w:r>
        <w:rPr>
          <w:b/>
        </w:rPr>
        <w:t xml:space="preserve">Not fully completed</w:t>
      </w:r>
      <w:r>
        <w:t xml:space="preserve">" This section is intended for company to inform how their corrective action is going. If it is marked as “Completed”, it means that the company considers that the NC has been completely addressed and closed.</w:t>
      </w:r>
    </w:p>
    <w:p>
      <w:pPr>
        <w:pStyle w:val="ListParagraph"/>
        <w:numPr>
          <w:ilvl w:val="0"/>
          <w:numId w:val="1"/>
        </w:numPr>
      </w:pPr>
      <w:r>
        <w:t xml:space="preserve">If needed, the CB is able to go back later during the year and modify the auditor review sections (for ex, if CB receives proof from the CH that the NC is closed before next audit).</w:t>
      </w:r>
    </w:p>
    <w:p>
      <w:pPr>
        <w:pStyle w:val="ListParagraph"/>
        <w:numPr>
          <w:ilvl w:val="0"/>
          <w:numId w:val="1"/>
        </w:numPr>
      </w:pPr>
      <w:r>
        <w:t xml:space="preserve">&gt; Longer corrective actions</w:t>
      </w:r>
    </w:p>
    <w:p>
      <w:pPr>
        <w:pStyle w:val="Normal"/>
      </w:pPr>
      <w:r>
        <w:t xml:space="preserve">martes, 10 de marzo de 2026</w:t>
      </w:r>
    </w:p>
    <w:p>
      <w:pPr>
        <w:pStyle w:val="Normal"/>
      </w:pPr>
      <w:r>
        <w:t xml:space="preserve">11:23</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12BDAD92-0598-459B-9682-285D5C81113A}"/>
</file>

<file path=customXml/itemProps2.xml><?xml version="1.0" encoding="utf-8"?>
<ds:datastoreItem xmlns:ds="http://schemas.openxmlformats.org/officeDocument/2006/customXml" ds:itemID="{B27A50D8-A6E9-4048-8D88-51800EC3D5AC}"/>
</file>

<file path=customXml/itemProps3.xml><?xml version="1.0" encoding="utf-8"?>
<ds:datastoreItem xmlns:ds="http://schemas.openxmlformats.org/officeDocument/2006/customXml" ds:itemID="{68504F6D-EEA9-4720-81BB-105E3D74E12C}"/>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