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Statistical Analysis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Data are presented as means and standard deviations (SD). Baseline characteristics of the sample, including age, body mass, stature, body fat percentage, and VO₂max, were compared between the placebo (PLA) and probiotic (PRB) groups using Welch’s independent-samples t-test, which does not assume equal variances between groups.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For principal variables, linear mixed-effects models (LMM) were fitted instead of repeated-measures ANOVA due to the unequal sample sizes between groups (PLA,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10; PRB,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= 9), conditions in which ANOVA lost viability. Each model included group (PLA vs. PRB), moment  and, when applicable, third factor intra-subject (distance or interval period, according to variable), as fixed effects, as well as all relevant interaction terms. A random intercept for each participant was included to account for the dependence of repeated observations within individuals.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Post hoc comparisons were performed using estimated marginal means, with Kenward–Roger degrees-of-freedom adjustment and Holm correction for multiple comparisons. Post hoc comparisons were reported only when the corresponding interaction effect reached statistical significance, in order to minimize the risk of Type I error inflation. The level of significance was 5% (</w:t>
      </w:r>
      <m:oMath>
        <m:r>
          <m:t>α</m:t>
        </m:r>
      </m:oMath>
      <w:r w:rsidDel="00000000" w:rsidR="00000000" w:rsidRPr="00000000">
        <w:rPr>
          <w:rtl w:val="0"/>
        </w:rPr>
        <w:t xml:space="preserve"> = 0.05). All analyses were performed in software R using lme4, lmerTest and  eemmeans packages.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