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INFLUÊNCIA DE FATORES CONTEXTUAIS NAS DEMANDAS MECÂNICAS E RESPOSTAS PSICOFISIOLÓGICAS EM JOGOS OFICIAIS DE BASQUETEBOL MASCULINO DE ELITE AO LONGO DE QUATRO TEMPORADAS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EE0000"/>
          <w:sz w:val="20"/>
          <w:szCs w:val="20"/>
          <w:vertAlign w:val="superscript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  <w:t>Autores</w:t>
      </w:r>
      <w:r>
        <w:rPr>
          <w:rFonts w:cs="Times New Roman" w:ascii="Times New Roman" w:hAnsi="Times New Roman"/>
          <w:sz w:val="20"/>
          <w:szCs w:val="20"/>
        </w:rPr>
        <w:t xml:space="preserve">: </w:t>
      </w:r>
      <w:r>
        <w:rPr>
          <w:rFonts w:cs="Times New Roman" w:ascii="Times New Roman" w:hAnsi="Times New Roman"/>
          <w:color w:val="EE0000"/>
          <w:sz w:val="20"/>
          <w:szCs w:val="20"/>
        </w:rPr>
        <w:t>Túlio B. M. A. Moura</w:t>
      </w:r>
      <w:r>
        <w:rPr>
          <w:rFonts w:cs="Times New Roman" w:ascii="Times New Roman" w:hAnsi="Times New Roman"/>
          <w:color w:val="EE0000"/>
          <w:sz w:val="20"/>
          <w:szCs w:val="20"/>
          <w:vertAlign w:val="superscript"/>
        </w:rPr>
        <w:t>1</w:t>
      </w:r>
      <w:r>
        <w:rPr>
          <w:rFonts w:cs="Times New Roman" w:ascii="Times New Roman" w:hAnsi="Times New Roman"/>
          <w:color w:val="EE0000"/>
          <w:sz w:val="20"/>
          <w:szCs w:val="20"/>
        </w:rPr>
        <w:t>, Valter P. Mercer</w:t>
      </w:r>
      <w:r>
        <w:rPr>
          <w:rFonts w:cs="Times New Roman" w:ascii="Times New Roman" w:hAnsi="Times New Roman"/>
          <w:color w:val="EE0000"/>
          <w:sz w:val="20"/>
          <w:szCs w:val="20"/>
          <w:vertAlign w:val="superscript"/>
        </w:rPr>
        <w:t>1</w:t>
      </w:r>
      <w:r>
        <w:rPr>
          <w:rFonts w:cs="Times New Roman" w:ascii="Times New Roman" w:hAnsi="Times New Roman"/>
          <w:color w:val="EE0000"/>
          <w:sz w:val="20"/>
          <w:szCs w:val="20"/>
        </w:rPr>
        <w:t>, Lucas A. Pereira</w:t>
      </w:r>
      <w:r>
        <w:rPr>
          <w:rFonts w:cs="Times New Roman" w:ascii="Times New Roman" w:hAnsi="Times New Roman"/>
          <w:color w:val="EE0000"/>
          <w:sz w:val="20"/>
          <w:szCs w:val="20"/>
          <w:vertAlign w:val="superscript"/>
        </w:rPr>
        <w:t>1,2</w:t>
      </w:r>
      <w:r>
        <w:rPr>
          <w:rFonts w:cs="Times New Roman" w:ascii="Times New Roman" w:hAnsi="Times New Roman"/>
          <w:color w:val="EE0000"/>
          <w:sz w:val="20"/>
          <w:szCs w:val="20"/>
        </w:rPr>
        <w:t>, Lucas P. Oliveira</w:t>
      </w:r>
      <w:r>
        <w:rPr>
          <w:rFonts w:cs="Times New Roman" w:ascii="Times New Roman" w:hAnsi="Times New Roman"/>
          <w:color w:val="EE0000"/>
          <w:sz w:val="20"/>
          <w:szCs w:val="20"/>
          <w:vertAlign w:val="superscript"/>
        </w:rPr>
        <w:t>2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EE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EE0000"/>
          <w:sz w:val="16"/>
          <w:szCs w:val="16"/>
        </w:rPr>
      </w:pPr>
      <w:r>
        <w:rPr>
          <w:rFonts w:cs="Times New Roman" w:ascii="Times New Roman" w:hAnsi="Times New Roman"/>
          <w:color w:val="EE0000"/>
          <w:sz w:val="16"/>
          <w:szCs w:val="16"/>
          <w:vertAlign w:val="superscript"/>
        </w:rPr>
        <w:t>1</w:t>
      </w:r>
      <w:r>
        <w:rPr>
          <w:rFonts w:cs="Times New Roman" w:ascii="Times New Roman" w:hAnsi="Times New Roman"/>
          <w:color w:val="EE0000"/>
          <w:sz w:val="16"/>
          <w:szCs w:val="16"/>
        </w:rPr>
        <w:t>Núcleo de Alto Rendimento Esportivo de São Paulo, São Paulo, Brasil.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EE0000"/>
          <w:sz w:val="16"/>
          <w:szCs w:val="16"/>
        </w:rPr>
      </w:pPr>
      <w:r>
        <w:rPr>
          <w:rFonts w:cs="Times New Roman" w:ascii="Times New Roman" w:hAnsi="Times New Roman"/>
          <w:color w:val="EE0000"/>
          <w:sz w:val="16"/>
          <w:szCs w:val="16"/>
          <w:vertAlign w:val="superscript"/>
        </w:rPr>
        <w:t>2</w:t>
      </w:r>
      <w:r>
        <w:rPr>
          <w:rFonts w:cs="Times New Roman" w:ascii="Times New Roman" w:hAnsi="Times New Roman"/>
          <w:color w:val="EE0000"/>
          <w:sz w:val="16"/>
          <w:szCs w:val="16"/>
        </w:rPr>
        <w:t>Programa de Pós-Graduação em Ciências do Movimento Humano e Reabilitação, Universidade Federal de São Paulo, São Paulo, Brasil.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</w:pPr>
      <w:r>
        <w:rPr>
          <w:rFonts w:cs="Times New Roman" w:ascii="Times New Roman" w:hAnsi="Times New Roman"/>
          <w:sz w:val="24"/>
          <w:szCs w:val="24"/>
          <w:highlight w:val="yellow"/>
          <w:vertAlign w:val="superscript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INTRODUÇÃO: </w:t>
      </w:r>
      <w:r>
        <w:rPr>
          <w:rFonts w:cs="Times New Roman" w:ascii="Times New Roman" w:hAnsi="Times New Roman"/>
          <w:sz w:val="24"/>
          <w:szCs w:val="24"/>
        </w:rPr>
        <w:t xml:space="preserve">O desempenho físico dos atletas em partidas de basquetebol pode ser influenciado por diversos fatores contextuais. </w:t>
      </w:r>
      <w:r>
        <w:rPr>
          <w:rFonts w:cs="Times New Roman" w:ascii="Times New Roman" w:hAnsi="Times New Roman"/>
          <w:b/>
          <w:bCs/>
          <w:sz w:val="24"/>
          <w:szCs w:val="24"/>
        </w:rPr>
        <w:t>OBJETIVO:</w:t>
      </w:r>
      <w:r>
        <w:rPr>
          <w:rFonts w:cs="Times New Roman" w:ascii="Times New Roman" w:hAnsi="Times New Roman"/>
          <w:sz w:val="24"/>
          <w:szCs w:val="24"/>
        </w:rPr>
        <w:t xml:space="preserve"> Investigar a influência de fatores contextuais sobre </w:t>
      </w:r>
      <w:commentRangeStart w:id="0"/>
      <w:r>
        <w:rPr>
          <w:rFonts w:cs="Times New Roman" w:ascii="Times New Roman" w:hAnsi="Times New Roman"/>
          <w:sz w:val="24"/>
          <w:szCs w:val="24"/>
        </w:rPr>
        <w:t>demandas mecânicas</w:t>
      </w:r>
      <w:r>
        <w:rPr>
          <w:rFonts w:cs="Times New Roman" w:ascii="Times New Roman" w:hAnsi="Times New Roman"/>
          <w:sz w:val="24"/>
          <w:szCs w:val="24"/>
        </w:rPr>
      </w:r>
      <w:commentRangeEnd w:id="0"/>
      <w:r>
        <w:commentReference w:id="0"/>
      </w:r>
      <w:r>
        <w:rPr>
          <w:rFonts w:cs="Times New Roman" w:ascii="Times New Roman" w:hAnsi="Times New Roman"/>
          <w:sz w:val="24"/>
          <w:szCs w:val="24"/>
        </w:rPr>
        <w:t xml:space="preserve"> e respostas psicofisiológicas de atletas de basquetebol profissional em partidas oficiais. </w:t>
      </w:r>
      <w:r>
        <w:rPr>
          <w:rFonts w:cs="Times New Roman" w:ascii="Times New Roman" w:hAnsi="Times New Roman"/>
          <w:b/>
          <w:bCs/>
          <w:sz w:val="24"/>
          <w:szCs w:val="24"/>
        </w:rPr>
        <w:t>MÉTODOS</w:t>
      </w:r>
      <w:r>
        <w:rPr>
          <w:rFonts w:cs="Times New Roman" w:ascii="Times New Roman" w:hAnsi="Times New Roman"/>
          <w:sz w:val="24"/>
          <w:szCs w:val="24"/>
        </w:rPr>
        <w:t xml:space="preserve">: Foram analisadas 4 temporadas de uma equipe do Novo Basquete Brasil, totalizando 6332 observações em 183 partidas de 39 atletas distintos monitorados pelo sistema Polar Team Pro. As variáveis dependentes foram </w:t>
      </w:r>
      <w:commentRangeStart w:id="1"/>
      <w:r>
        <w:rPr>
          <w:rFonts w:cs="Times New Roman" w:ascii="Times New Roman" w:hAnsi="Times New Roman"/>
          <w:sz w:val="24"/>
          <w:szCs w:val="24"/>
        </w:rPr>
        <w:t>distância percorrida total</w:t>
      </w:r>
      <w:r>
        <w:rPr>
          <w:rFonts w:cs="Times New Roman" w:ascii="Times New Roman" w:hAnsi="Times New Roman"/>
          <w:sz w:val="24"/>
          <w:szCs w:val="24"/>
        </w:rPr>
      </w:r>
      <w:commentRangeEnd w:id="1"/>
      <w:r>
        <w:commentReference w:id="1"/>
      </w:r>
      <w:r>
        <w:rPr>
          <w:rFonts w:cs="Times New Roman" w:ascii="Times New Roman" w:hAnsi="Times New Roman"/>
          <w:sz w:val="24"/>
          <w:szCs w:val="24"/>
        </w:rPr>
        <w:t xml:space="preserve"> (DT) e em alta intensidade (DAI; &gt;18 km/h), número de acelerações totais (ACT) e em alta intensidade (ACAI; &gt;2 m/s²) e Training Impulse (TRIMP). Fatores contextuais investigados foram: estatuto posicional, intervalo entre partidas, quarto da partida, idade, local da partida, nível do adversário, diferença de placar e tempo jogado. Foram ajustados modelos lineares mistos (tempo como fator fixo) para distâncias percorridas e TRIMP, em modelos lineares generalizados mistos (tempo como offset) para número de acelerações. Partida e atleta foram incluídos como fatores aleatórios.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RESULTADOS: </w:t>
      </w:r>
      <w:r>
        <w:rPr>
          <w:rFonts w:cs="Times New Roman" w:ascii="Times New Roman" w:hAnsi="Times New Roman"/>
          <w:sz w:val="24"/>
          <w:szCs w:val="24"/>
        </w:rPr>
        <w:t xml:space="preserve">Valores de R² marginal e condicional variaram entre 0,02–0,78 e 0,15–0,87, respectivamente. </w:t>
      </w:r>
      <w:commentRangeStart w:id="2"/>
      <w:r>
        <w:rPr>
          <w:rFonts w:cs="Times New Roman" w:ascii="Times New Roman" w:hAnsi="Times New Roman"/>
          <w:sz w:val="24"/>
          <w:szCs w:val="24"/>
        </w:rPr>
        <w:t>Tempo jogado associou-se positivamente com DT, DAI e TRIMP (β=6,76–139,34; p&lt;0,001).</w:t>
      </w:r>
      <w:r>
        <w:rPr>
          <w:rFonts w:cs="Times New Roman" w:ascii="Times New Roman" w:hAnsi="Times New Roman"/>
          <w:sz w:val="24"/>
          <w:szCs w:val="24"/>
        </w:rPr>
      </w:r>
      <w:commentRangeEnd w:id="2"/>
      <w:r>
        <w:commentReference w:id="2"/>
      </w:r>
      <w:r>
        <w:rPr>
          <w:rFonts w:cs="Times New Roman" w:ascii="Times New Roman" w:hAnsi="Times New Roman"/>
          <w:sz w:val="24"/>
          <w:szCs w:val="24"/>
        </w:rPr>
        <w:t xml:space="preserve"> A passagem dos quartos afeta de forma distinta variáveis totais e de alta intensidade: elevação de DT (β=27,20–111,30; p≤0,005), TRIMP (β=4,71–14,50; p≤0,005) e ACT (IRR=1,06–1,15; p&lt;0,001), e redução de DAI (β=-7,00 e -2,89; p&lt;0,05) e ACAI (IRR=0,95–0,97; p&lt;0,01) no 3º e 4º quartos. A idade reduziu DT (β=-5,71; p=0,002), DAI (β=-1,41; p≤0,005), ACT e ACAI (IRR=0,99; p&lt;0,001). Jogar como visitante reduziu DT (β=-25,86; p=0,001), TRIMP (β=-3,92; p&lt;0,001) e ACT (IRR=0,97; p=0,003). Diferenças maiores no placar reduziram DT (β=-0,91; p=0,021) e TRIMP (β=-0,13; p=0,001). </w:t>
      </w:r>
      <w:r>
        <w:rPr>
          <w:rFonts w:cs="Times New Roman" w:ascii="Times New Roman" w:hAnsi="Times New Roman"/>
          <w:b/>
          <w:bCs/>
          <w:sz w:val="24"/>
          <w:szCs w:val="24"/>
        </w:rPr>
        <w:t>CONCLUSÃO/APLICAÇÕES PRÁTICAS</w:t>
      </w:r>
      <w:r>
        <w:rPr>
          <w:rFonts w:cs="Times New Roman" w:ascii="Times New Roman" w:hAnsi="Times New Roman"/>
          <w:sz w:val="24"/>
          <w:szCs w:val="24"/>
        </w:rPr>
        <w:t>: Fatores contextuais impactam o desempenho físico. Compreender esses fatores auxilia no entendimento das demandas envolvidas nas partidas, além de contribuir no planejamento e monitoramento do treinamento.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8-31T13:44:51Z" w:initials="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Noto Sans Arabic"/>
          <w:sz w:val="24"/>
          <w:szCs w:val="24"/>
          <w:lang w:val="en-US" w:eastAsia="en-US" w:bidi="en-US"/>
        </w:rPr>
        <w:t>Quais variáveis são de resposta mecanica?</w:t>
      </w:r>
    </w:p>
  </w:comment>
  <w:comment w:id="1" w:author="Unknown Author" w:date="2026-08-31T14:41:23Z" w:initials="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Noto Sans Arabic"/>
          <w:sz w:val="24"/>
          <w:szCs w:val="24"/>
          <w:lang w:val="en-US" w:eastAsia="en-US" w:bidi="en-US"/>
        </w:rPr>
        <w:t>Distancia total apenas</w:t>
      </w:r>
    </w:p>
  </w:comment>
  <w:comment w:id="2" w:author="Unknown Author" w:date="2026-08-31T14:47:25Z" w:initials="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Noto Sans Arabic"/>
          <w:sz w:val="24"/>
          <w:szCs w:val="24"/>
          <w:lang w:val="en-US" w:eastAsia="en-US" w:bidi="en-US"/>
        </w:rPr>
        <w:t>Essa informação eu não colocaria ou colocaria mais no final do texto.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33a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65a5e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9c33a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72BA4-F381-4A4D-A3F8-6369B81C3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Application>LibreOffice/24.2.7.2$Linux_X86_64 LibreOffice_project/420$Build-2</Application>
  <AppVersion>15.0000</AppVersion>
  <Pages>1</Pages>
  <Words>368</Words>
  <Characters>2227</Characters>
  <CharactersWithSpaces>2580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2026-06-03T13:41:00Z</dcterms:created>
  <dc:creator>Túlio Moura</dc:creator>
  <dc:description/>
  <dc:language>pt-BR</dc:language>
  <cp:lastModifiedBy/>
  <dcterms:modified xsi:type="dcterms:W3CDTF">2026-08-31T14:50:31Z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