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164182" w14:textId="77777777" w:rsidR="000E5DCD" w:rsidRDefault="000E5DCD" w:rsidP="000E5DCD">
      <w:p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 w:rsidRPr="000E5DCD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Objetivos</w:t>
      </w: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</w:t>
      </w:r>
    </w:p>
    <w:p w14:paraId="31DBF870" w14:textId="77777777" w:rsidR="000E5DCD" w:rsidRDefault="000E5DCD" w:rsidP="000E5DCD">
      <w:p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1) Caracterizar as cargas externa e interna em atletas de basquetebol masculino de elite durante partidas oficiais ao longo de </w:t>
      </w:r>
      <w:r>
        <w:rPr>
          <w:rFonts w:eastAsia="Times New Roman" w:cstheme="minorHAnsi"/>
          <w:color w:val="1F1F1F"/>
          <w:sz w:val="24"/>
          <w:szCs w:val="24"/>
          <w:lang w:eastAsia="pt-BR"/>
        </w:rPr>
        <w:t>três</w:t>
      </w: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temporadas. </w:t>
      </w:r>
    </w:p>
    <w:p w14:paraId="5ED69CDA" w14:textId="77777777" w:rsidR="000E5DCD" w:rsidRPr="000E5DCD" w:rsidRDefault="000E5DCD" w:rsidP="000E5DCD">
      <w:p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>2) Analisar a influência de fatores contextuais (posição do atleta, quarto da partida, local da partida, intervalo entre partidas</w:t>
      </w:r>
      <w:r>
        <w:rPr>
          <w:rFonts w:eastAsia="Times New Roman" w:cstheme="minorHAnsi"/>
          <w:color w:val="1F1F1F"/>
          <w:sz w:val="24"/>
          <w:szCs w:val="24"/>
          <w:lang w:eastAsia="pt-BR"/>
        </w:rPr>
        <w:t>,</w:t>
      </w: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nível do adversário</w:t>
      </w:r>
      <w:r>
        <w:rPr>
          <w:rFonts w:eastAsia="Times New Roman" w:cstheme="minorHAnsi"/>
          <w:color w:val="1F1F1F"/>
          <w:sz w:val="24"/>
          <w:szCs w:val="24"/>
          <w:lang w:eastAsia="pt-BR"/>
        </w:rPr>
        <w:t>, tempo em quadra, diferença no placar e idade do atleta</w:t>
      </w: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) sobre as cargas externa e interna em atletas de basquetebol masculino de elite durante partidas oficiais ao longo de </w:t>
      </w:r>
      <w:r>
        <w:rPr>
          <w:rFonts w:eastAsia="Times New Roman" w:cstheme="minorHAnsi"/>
          <w:color w:val="1F1F1F"/>
          <w:sz w:val="24"/>
          <w:szCs w:val="24"/>
          <w:lang w:eastAsia="pt-BR"/>
        </w:rPr>
        <w:t>três</w:t>
      </w: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temporadas.</w:t>
      </w:r>
    </w:p>
    <w:p w14:paraId="6A4C51ED" w14:textId="77777777" w:rsidR="000E5DCD" w:rsidRDefault="000E5DCD" w:rsidP="000E5DCD">
      <w:p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 w:rsidRPr="000E5DCD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Hipóteses</w:t>
      </w: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</w:t>
      </w:r>
    </w:p>
    <w:p w14:paraId="0CEFDF2C" w14:textId="77777777" w:rsidR="000E5DCD" w:rsidRDefault="000E5DCD" w:rsidP="000E5DCD">
      <w:p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H0: Os fatores contextuais investigados não impactarão os valores de carga externa e interna durante partidas oficiais. </w:t>
      </w:r>
    </w:p>
    <w:p w14:paraId="695147F0" w14:textId="77777777" w:rsidR="000E5DCD" w:rsidRDefault="000E5DCD" w:rsidP="000E5DCD">
      <w:p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H1: </w:t>
      </w:r>
      <w:r>
        <w:rPr>
          <w:rFonts w:eastAsia="Times New Roman" w:cstheme="minorHAnsi"/>
          <w:color w:val="1F1F1F"/>
          <w:sz w:val="24"/>
          <w:szCs w:val="24"/>
          <w:lang w:eastAsia="pt-BR"/>
        </w:rPr>
        <w:t>Alas</w:t>
      </w: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apresentarão valores semelhantes ou superiores de carga externa e interna em relação aos </w:t>
      </w:r>
      <w:r>
        <w:rPr>
          <w:rFonts w:eastAsia="Times New Roman" w:cstheme="minorHAnsi"/>
          <w:color w:val="1F1F1F"/>
          <w:sz w:val="24"/>
          <w:szCs w:val="24"/>
          <w:lang w:eastAsia="pt-BR"/>
        </w:rPr>
        <w:t>armadores</w:t>
      </w: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, e ambas as posições apresentará valores superiores aos pivôs. </w:t>
      </w:r>
    </w:p>
    <w:p w14:paraId="6E41C1CA" w14:textId="77777777" w:rsidR="000E5DCD" w:rsidRDefault="000E5DCD" w:rsidP="000E5DCD">
      <w:p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H2: As variáveis de carga externa apresentarão uma redução progressiva, porém a carga interna será semelhante ou aumentará ao longo dos quartos da partida. </w:t>
      </w:r>
    </w:p>
    <w:p w14:paraId="6BB44908" w14:textId="77777777" w:rsidR="000E5DCD" w:rsidRDefault="000E5DCD" w:rsidP="000E5DCD">
      <w:p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H3: Partidas fora de casa apresentarão valores de carga externa e interna semelhantes ou superiores às partidas realizadas em casa. </w:t>
      </w:r>
    </w:p>
    <w:p w14:paraId="7E62B269" w14:textId="77777777" w:rsidR="000E5DCD" w:rsidRDefault="000E5DCD" w:rsidP="000E5DCD">
      <w:p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H4: Menores intervalos entre partidas irão influenciar negativamente o desempenho dos atletas, os quais possivelmente apresentarão menor carga externa, apesar de uma carga interna semelhante ou maior. </w:t>
      </w:r>
    </w:p>
    <w:p w14:paraId="2B6365C0" w14:textId="77777777" w:rsidR="000E5DCD" w:rsidRDefault="000E5DCD" w:rsidP="000E5DCD">
      <w:p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>H5: As variáveis de carga externa e interna serão superiores em jogos contra adversários mais fortes.</w:t>
      </w:r>
    </w:p>
    <w:p w14:paraId="1F43371E" w14:textId="77777777" w:rsidR="00A06514" w:rsidRDefault="00A06514" w:rsidP="000E5DCD">
      <w:p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>
        <w:rPr>
          <w:rFonts w:eastAsia="Times New Roman" w:cstheme="minorHAnsi"/>
          <w:color w:val="1F1F1F"/>
          <w:sz w:val="24"/>
          <w:szCs w:val="24"/>
          <w:lang w:eastAsia="pt-BR"/>
        </w:rPr>
        <w:t>H6:</w:t>
      </w:r>
      <w:r w:rsidR="000E5DCD">
        <w:rPr>
          <w:rFonts w:eastAsia="Times New Roman" w:cstheme="minorHAnsi"/>
          <w:color w:val="1F1F1F"/>
          <w:sz w:val="24"/>
          <w:szCs w:val="24"/>
          <w:lang w:eastAsia="pt-BR"/>
        </w:rPr>
        <w:t>tempo em quadra</w:t>
      </w:r>
    </w:p>
    <w:p w14:paraId="70A62E7F" w14:textId="77777777" w:rsidR="00A06514" w:rsidRDefault="00A06514" w:rsidP="000E5DCD">
      <w:p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>
        <w:rPr>
          <w:rFonts w:eastAsia="Times New Roman" w:cstheme="minorHAnsi"/>
          <w:color w:val="1F1F1F"/>
          <w:sz w:val="24"/>
          <w:szCs w:val="24"/>
          <w:lang w:eastAsia="pt-BR"/>
        </w:rPr>
        <w:t>H7:</w:t>
      </w:r>
      <w:r w:rsid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diferença no placar </w:t>
      </w:r>
    </w:p>
    <w:p w14:paraId="3252AB9C" w14:textId="77777777" w:rsidR="000E5DCD" w:rsidRPr="000E5DCD" w:rsidRDefault="00A06514" w:rsidP="000E5DCD">
      <w:p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>
        <w:rPr>
          <w:rFonts w:eastAsia="Times New Roman" w:cstheme="minorHAnsi"/>
          <w:color w:val="1F1F1F"/>
          <w:sz w:val="24"/>
          <w:szCs w:val="24"/>
          <w:lang w:eastAsia="pt-BR"/>
        </w:rPr>
        <w:t xml:space="preserve">H8: </w:t>
      </w:r>
      <w:r w:rsidR="000E5DCD">
        <w:rPr>
          <w:rFonts w:eastAsia="Times New Roman" w:cstheme="minorHAnsi"/>
          <w:color w:val="1F1F1F"/>
          <w:sz w:val="24"/>
          <w:szCs w:val="24"/>
          <w:lang w:eastAsia="pt-BR"/>
        </w:rPr>
        <w:t>idade do atleta</w:t>
      </w:r>
    </w:p>
    <w:p w14:paraId="288E41AF" w14:textId="77777777" w:rsidR="000E5DCD" w:rsidRDefault="000E5DCD" w:rsidP="000E5DCD">
      <w:p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 w:rsidRPr="000E5DCD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Métodos</w:t>
      </w: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</w:t>
      </w:r>
    </w:p>
    <w:p w14:paraId="747AB162" w14:textId="77777777" w:rsidR="00A06514" w:rsidRDefault="000E5DCD" w:rsidP="000E5DCD">
      <w:p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>Características dos jogos:</w:t>
      </w:r>
    </w:p>
    <w:p w14:paraId="21F40280" w14:textId="77777777" w:rsidR="000E5DCD" w:rsidRPr="000E5DCD" w:rsidRDefault="000E5DCD" w:rsidP="000E5DCD">
      <w:p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>Todas as partidas analisadas</w:t>
      </w:r>
      <w:r w:rsidR="00A06514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foram válidas pela liga Novo Basquete Brasil (NBB) principal competição do basquetebol brasileiro. </w:t>
      </w:r>
      <w:r w:rsidR="00621716"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Durante o período avaliado, a equipe manteve o mesmo treinador principal, enquanto </w:t>
      </w:r>
      <w:r w:rsidR="00621716">
        <w:rPr>
          <w:rFonts w:eastAsia="Times New Roman" w:cstheme="minorHAnsi"/>
          <w:color w:val="1F1F1F"/>
          <w:sz w:val="24"/>
          <w:szCs w:val="24"/>
          <w:lang w:eastAsia="pt-BR"/>
        </w:rPr>
        <w:t>dois</w:t>
      </w:r>
      <w:r w:rsidR="00621716"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preparadores físicos diferentes atuaram: o primeiro na</w:t>
      </w:r>
      <w:r w:rsidR="00621716">
        <w:rPr>
          <w:rFonts w:eastAsia="Times New Roman" w:cstheme="minorHAnsi"/>
          <w:color w:val="1F1F1F"/>
          <w:sz w:val="24"/>
          <w:szCs w:val="24"/>
          <w:lang w:eastAsia="pt-BR"/>
        </w:rPr>
        <w:t>s</w:t>
      </w:r>
      <w:r w:rsidR="00621716"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temporada</w:t>
      </w:r>
      <w:r w:rsidR="00621716">
        <w:rPr>
          <w:rFonts w:eastAsia="Times New Roman" w:cstheme="minorHAnsi"/>
          <w:color w:val="1F1F1F"/>
          <w:sz w:val="24"/>
          <w:szCs w:val="24"/>
          <w:lang w:eastAsia="pt-BR"/>
        </w:rPr>
        <w:t>s</w:t>
      </w:r>
      <w:r w:rsidR="00621716"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202</w:t>
      </w:r>
      <w:r w:rsidR="00621716">
        <w:rPr>
          <w:rFonts w:eastAsia="Times New Roman" w:cstheme="minorHAnsi"/>
          <w:color w:val="1F1F1F"/>
          <w:sz w:val="24"/>
          <w:szCs w:val="24"/>
          <w:lang w:eastAsia="pt-BR"/>
        </w:rPr>
        <w:t>2</w:t>
      </w:r>
      <w:r w:rsidR="00621716" w:rsidRPr="000E5DCD">
        <w:rPr>
          <w:rFonts w:eastAsia="Times New Roman" w:cstheme="minorHAnsi"/>
          <w:color w:val="1F1F1F"/>
          <w:sz w:val="24"/>
          <w:szCs w:val="24"/>
          <w:lang w:eastAsia="pt-BR"/>
        </w:rPr>
        <w:t>/202</w:t>
      </w:r>
      <w:r w:rsidR="00621716">
        <w:rPr>
          <w:rFonts w:eastAsia="Times New Roman" w:cstheme="minorHAnsi"/>
          <w:color w:val="1F1F1F"/>
          <w:sz w:val="24"/>
          <w:szCs w:val="24"/>
          <w:lang w:eastAsia="pt-BR"/>
        </w:rPr>
        <w:t>3</w:t>
      </w:r>
      <w:r w:rsidR="00621716"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e 2023/2024, e o </w:t>
      </w:r>
      <w:r w:rsidR="00621716">
        <w:rPr>
          <w:rFonts w:eastAsia="Times New Roman" w:cstheme="minorHAnsi"/>
          <w:color w:val="1F1F1F"/>
          <w:sz w:val="24"/>
          <w:szCs w:val="24"/>
          <w:lang w:eastAsia="pt-BR"/>
        </w:rPr>
        <w:t>segundo</w:t>
      </w:r>
      <w:r w:rsidR="00621716"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</w:t>
      </w:r>
      <w:r w:rsidR="00621716">
        <w:rPr>
          <w:rFonts w:eastAsia="Times New Roman" w:cstheme="minorHAnsi"/>
          <w:color w:val="1F1F1F"/>
          <w:sz w:val="24"/>
          <w:szCs w:val="24"/>
          <w:lang w:eastAsia="pt-BR"/>
        </w:rPr>
        <w:t>n</w:t>
      </w:r>
      <w:r w:rsidR="00621716" w:rsidRPr="000E5DCD">
        <w:rPr>
          <w:rFonts w:eastAsia="Times New Roman" w:cstheme="minorHAnsi"/>
          <w:color w:val="1F1F1F"/>
          <w:sz w:val="24"/>
          <w:szCs w:val="24"/>
          <w:lang w:eastAsia="pt-BR"/>
        </w:rPr>
        <w:t>a temporada 2024/2025.</w:t>
      </w:r>
      <w:r w:rsidR="00621716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</w:t>
      </w:r>
      <w:r w:rsidR="00A06514">
        <w:rPr>
          <w:rFonts w:eastAsia="Times New Roman" w:cstheme="minorHAnsi"/>
          <w:color w:val="1F1F1F"/>
          <w:sz w:val="24"/>
          <w:szCs w:val="24"/>
          <w:lang w:eastAsia="pt-BR"/>
        </w:rPr>
        <w:t>As partidas</w:t>
      </w: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foram disputadas de acordo com as regras da Federação Internacional de Basquetebol (FIBA, 2024). As dimensões oficiais da quadra corresponderam a 28 metros de comprimento por 15 metros de largura, com a cesta </w:t>
      </w: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lastRenderedPageBreak/>
        <w:t>posicionada a uma altura de 3,05 metros em relação ao solo. Os jogos tiveram duração total de 40 minutos, divididos em quatro quartos de 10 minutos. Houve intervalos de 2 minutos entre o 1°e o 2° quartos e entre o 3° e o 4° quartos, além de um intervalo de 15 minutos entre o 2°e o 3° quartos. Cada equipe atuou com 5 jogadores em quadra e foram permitidas substituições ilimitadas ao longo da partida.</w:t>
      </w:r>
    </w:p>
    <w:p w14:paraId="2910B2C1" w14:textId="77777777" w:rsidR="000E5DCD" w:rsidRDefault="000E5DCD" w:rsidP="000E5DCD">
      <w:p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 w:rsidRPr="000E5DCD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Aquisição dos dados</w:t>
      </w:r>
    </w:p>
    <w:p w14:paraId="00A6702E" w14:textId="3CF7A03B" w:rsidR="002403AD" w:rsidRDefault="000E5DCD" w:rsidP="000E5DCD">
      <w:p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>Serão incluídas na análise métricas de desempenho relacionadas à carga interna (TRIMP) e à carga externa (distância</w:t>
      </w:r>
      <w:r w:rsidR="002403A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s </w:t>
      </w: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>percorrida</w:t>
      </w:r>
      <w:r w:rsidR="002403A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s, </w:t>
      </w:r>
      <w:r w:rsidR="002403AD" w:rsidRPr="000E5DCD">
        <w:rPr>
          <w:rFonts w:eastAsia="Times New Roman" w:cstheme="minorHAnsi"/>
          <w:color w:val="1F1F1F"/>
          <w:sz w:val="24"/>
          <w:szCs w:val="24"/>
          <w:lang w:eastAsia="pt-BR"/>
        </w:rPr>
        <w:t>número de acelerações e desacelerações</w:t>
      </w:r>
      <w:r w:rsidR="002403A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totais e em</w:t>
      </w: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diferentes zonas de </w:t>
      </w:r>
      <w:r w:rsidR="002403AD">
        <w:rPr>
          <w:rFonts w:eastAsia="Times New Roman" w:cstheme="minorHAnsi"/>
          <w:color w:val="1F1F1F"/>
          <w:sz w:val="24"/>
          <w:szCs w:val="24"/>
          <w:lang w:eastAsia="pt-BR"/>
        </w:rPr>
        <w:t>intensidade</w:t>
      </w: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) dos atletas. </w:t>
      </w:r>
      <w:r w:rsidR="002403AD" w:rsidRPr="000E5DCD">
        <w:rPr>
          <w:rFonts w:eastAsia="Times New Roman" w:cstheme="minorHAnsi"/>
          <w:color w:val="1F1F1F"/>
          <w:sz w:val="24"/>
          <w:szCs w:val="24"/>
          <w:lang w:eastAsia="pt-BR"/>
        </w:rPr>
        <w:t>Os dados</w:t>
      </w:r>
      <w:r w:rsidR="002403A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</w:t>
      </w:r>
      <w:r w:rsidR="002403AD"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utilizados </w:t>
      </w:r>
      <w:r w:rsidR="002403A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foram adquiridos através </w:t>
      </w:r>
      <w:r w:rsidR="002403AD" w:rsidRPr="000E5DCD">
        <w:rPr>
          <w:rFonts w:eastAsia="Times New Roman" w:cstheme="minorHAnsi"/>
          <w:color w:val="1F1F1F"/>
          <w:sz w:val="24"/>
          <w:szCs w:val="24"/>
          <w:lang w:eastAsia="pt-BR"/>
        </w:rPr>
        <w:t>da base de monitoramento de uma equipe profissional de basquetebol masculino</w:t>
      </w:r>
      <w:r w:rsidR="002403AD">
        <w:rPr>
          <w:rFonts w:eastAsia="Times New Roman" w:cstheme="minorHAnsi"/>
          <w:color w:val="1F1F1F"/>
          <w:sz w:val="24"/>
          <w:szCs w:val="24"/>
          <w:lang w:eastAsia="pt-BR"/>
        </w:rPr>
        <w:t>.</w:t>
      </w:r>
      <w:r w:rsidR="002403A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</w:t>
      </w: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>Para análise dos fatores contextuais,</w:t>
      </w:r>
      <w:r w:rsidR="007A0514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informações adicionais foram acrescentadas na base: O</w:t>
      </w: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s valores </w:t>
      </w:r>
      <w:r w:rsidR="007A0514">
        <w:rPr>
          <w:rFonts w:eastAsia="Times New Roman" w:cstheme="minorHAnsi"/>
          <w:color w:val="1F1F1F"/>
          <w:sz w:val="24"/>
          <w:szCs w:val="24"/>
          <w:lang w:eastAsia="pt-BR"/>
        </w:rPr>
        <w:t>foram</w:t>
      </w: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estratificados por quarto da partida</w:t>
      </w:r>
      <w:r w:rsidR="007A0514">
        <w:rPr>
          <w:rFonts w:eastAsia="Times New Roman" w:cstheme="minorHAnsi"/>
          <w:color w:val="1F1F1F"/>
          <w:sz w:val="24"/>
          <w:szCs w:val="24"/>
          <w:lang w:eastAsia="pt-BR"/>
        </w:rPr>
        <w:t xml:space="preserve">, com códigos de 1 à 4 (excluindo da análise as prorrogações); Os atletas foram codificados pelas suas posições de origem (ala, armador e pivô); Foram </w:t>
      </w: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>registrados o nível do adversário, baseado na classificação</w:t>
      </w:r>
      <w:r w:rsidR="007A0514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da equipe</w:t>
      </w: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ao final d</w:t>
      </w:r>
      <w:r w:rsidR="007A0514">
        <w:rPr>
          <w:rFonts w:eastAsia="Times New Roman" w:cstheme="minorHAnsi"/>
          <w:color w:val="1F1F1F"/>
          <w:sz w:val="24"/>
          <w:szCs w:val="24"/>
          <w:lang w:eastAsia="pt-BR"/>
        </w:rPr>
        <w:t>e cada temporada; O</w:t>
      </w: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local da partida (i.e., em casa ou fora)</w:t>
      </w:r>
      <w:r w:rsidR="007A0514">
        <w:rPr>
          <w:rFonts w:eastAsia="Times New Roman" w:cstheme="minorHAnsi"/>
          <w:color w:val="1F1F1F"/>
          <w:sz w:val="24"/>
          <w:szCs w:val="24"/>
          <w:lang w:eastAsia="pt-BR"/>
        </w:rPr>
        <w:t>; O</w:t>
      </w: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intervalo de dias em relação à partida anterior</w:t>
      </w:r>
      <w:r w:rsidR="007A0514">
        <w:rPr>
          <w:rFonts w:eastAsia="Times New Roman" w:cstheme="minorHAnsi"/>
          <w:color w:val="1F1F1F"/>
          <w:sz w:val="24"/>
          <w:szCs w:val="24"/>
          <w:lang w:eastAsia="pt-BR"/>
        </w:rPr>
        <w:t>; O tempo de jogo efetivo do atleta; A idade do atleta, calculada pela diferença</w:t>
      </w:r>
      <w:r w:rsidR="007A0514">
        <w:rPr>
          <w:rFonts w:eastAsia="Times New Roman" w:cstheme="minorHAnsi"/>
          <w:color w:val="1F1F1F"/>
          <w:sz w:val="24"/>
          <w:szCs w:val="24"/>
          <w:lang w:eastAsia="pt-BR"/>
        </w:rPr>
        <w:t>, em anos,</w:t>
      </w:r>
      <w:r w:rsidR="007A0514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da data de nascimento e do jogo e a diferença no placar, que foi inicialmente registrada em pela subtração dos placares finais das partidas e em sequencia foi categorizada a partir da diferença, placar </w:t>
      </w:r>
      <w:r w:rsidR="00C37B78">
        <w:rPr>
          <w:rFonts w:eastAsia="Times New Roman" w:cstheme="minorHAnsi"/>
          <w:color w:val="1F1F1F"/>
          <w:sz w:val="24"/>
          <w:szCs w:val="24"/>
          <w:lang w:eastAsia="pt-BR"/>
        </w:rPr>
        <w:t>próximo</w:t>
      </w:r>
      <w:r w:rsidR="007A0514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(&lt;= 5 pontos) e p</w:t>
      </w:r>
      <w:r w:rsidR="00621716">
        <w:rPr>
          <w:rFonts w:eastAsia="Times New Roman" w:cstheme="minorHAnsi"/>
          <w:color w:val="1F1F1F"/>
          <w:sz w:val="24"/>
          <w:szCs w:val="24"/>
          <w:lang w:eastAsia="pt-BR"/>
        </w:rPr>
        <w:t>lacar elástico (&gt; 5 pontos).</w:t>
      </w:r>
    </w:p>
    <w:p w14:paraId="0C2A54EE" w14:textId="77777777" w:rsidR="000E5DCD" w:rsidRDefault="000E5DCD" w:rsidP="000E5DCD">
      <w:p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 w:rsidRPr="000E5DCD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Variáveis analisadas</w:t>
      </w:r>
      <w:bookmarkStart w:id="0" w:name="_GoBack"/>
      <w:bookmarkEnd w:id="0"/>
    </w:p>
    <w:p w14:paraId="4F08D520" w14:textId="77777777" w:rsidR="00621716" w:rsidRDefault="000E5DCD" w:rsidP="000E5DCD">
      <w:p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>Tempo efetivo em quadra:</w:t>
      </w:r>
    </w:p>
    <w:p w14:paraId="20E5077A" w14:textId="77777777" w:rsidR="000E5DCD" w:rsidRDefault="000E5DCD" w:rsidP="000E5DCD">
      <w:p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O tempo efetivo em quadra por atleta foi obtido por meio das estatísticas oficiais disponíveis no site </w:t>
      </w:r>
      <w:r w:rsidR="00A97DFA">
        <w:rPr>
          <w:rFonts w:eastAsia="Times New Roman" w:cstheme="minorHAnsi"/>
          <w:color w:val="1F1F1F"/>
          <w:sz w:val="24"/>
          <w:szCs w:val="24"/>
          <w:lang w:eastAsia="pt-BR"/>
        </w:rPr>
        <w:t xml:space="preserve">da liga </w:t>
      </w: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(disponível em: </w:t>
      </w:r>
      <w:hyperlink r:id="rId5" w:tgtFrame="_blank" w:history="1">
        <w:r w:rsidRPr="000E5DCD">
          <w:rPr>
            <w:rFonts w:eastAsia="Times New Roman" w:cstheme="minorHAnsi"/>
            <w:color w:val="0B57D0"/>
            <w:sz w:val="24"/>
            <w:szCs w:val="24"/>
            <w:u w:val="single"/>
            <w:bdr w:val="none" w:sz="0" w:space="0" w:color="auto" w:frame="1"/>
            <w:lang w:eastAsia="pt-BR"/>
          </w:rPr>
          <w:t>https://lnb.com.br/</w:t>
        </w:r>
      </w:hyperlink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). </w:t>
      </w:r>
      <w:r w:rsidR="00A97DFA">
        <w:rPr>
          <w:rFonts w:eastAsia="Times New Roman" w:cstheme="minorHAnsi"/>
          <w:color w:val="1F1F1F"/>
          <w:sz w:val="24"/>
          <w:szCs w:val="24"/>
          <w:lang w:eastAsia="pt-BR"/>
        </w:rPr>
        <w:t>Todos os dados foram registrados por atleta e estratificados por quarto de jogo.</w:t>
      </w:r>
    </w:p>
    <w:p w14:paraId="0D5CA333" w14:textId="77777777" w:rsidR="00621716" w:rsidRDefault="000E5DCD" w:rsidP="000E5DCD">
      <w:p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>Carga externa:</w:t>
      </w:r>
    </w:p>
    <w:p w14:paraId="35ED80C5" w14:textId="77777777" w:rsidR="00656AD4" w:rsidRDefault="000E5DCD" w:rsidP="000E5DCD">
      <w:p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As variáveis de carga externa foram registradas utilizando o sistema de monitoramento baseado em sensores inerciais Polar Team Pro (Polar H10 Pro, Finlândia), que apresenta confiabilidade aceitável (ICC = 0,7) para medidas de distância total em ambientes indoor (van </w:t>
      </w:r>
      <w:proofErr w:type="spellStart"/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>den</w:t>
      </w:r>
      <w:proofErr w:type="spellEnd"/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</w:t>
      </w:r>
      <w:proofErr w:type="spellStart"/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>Tillaar</w:t>
      </w:r>
      <w:proofErr w:type="spellEnd"/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et al., 2023). </w:t>
      </w:r>
      <w:r w:rsidR="00A97DFA">
        <w:rPr>
          <w:rFonts w:eastAsia="Times New Roman" w:cstheme="minorHAnsi"/>
          <w:color w:val="1F1F1F"/>
          <w:sz w:val="24"/>
          <w:szCs w:val="24"/>
          <w:lang w:eastAsia="pt-BR"/>
        </w:rPr>
        <w:t xml:space="preserve">O sistema fornece as distancias percorridas em diferentes zonas de velocidade, o </w:t>
      </w:r>
      <w:r w:rsidR="00B75732">
        <w:rPr>
          <w:rFonts w:eastAsia="Times New Roman" w:cstheme="minorHAnsi"/>
          <w:color w:val="1F1F1F"/>
          <w:sz w:val="24"/>
          <w:szCs w:val="24"/>
          <w:lang w:eastAsia="pt-BR"/>
        </w:rPr>
        <w:t>número</w:t>
      </w:r>
      <w:r w:rsidR="00A97DFA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de acelerações e desacelerações em diferentes zonas de intensidade e o tempo de permanência em cada zona de frequência cardíaca</w:t>
      </w:r>
      <w:r w:rsid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(FC)</w:t>
      </w:r>
      <w:r w:rsidR="00A97DFA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em cada zona de intensidade (relativo ao máximo do </w:t>
      </w:r>
      <w:r w:rsidR="00B75732">
        <w:rPr>
          <w:rFonts w:eastAsia="Times New Roman" w:cstheme="minorHAnsi"/>
          <w:color w:val="1F1F1F"/>
          <w:sz w:val="24"/>
          <w:szCs w:val="24"/>
          <w:lang w:eastAsia="pt-BR"/>
        </w:rPr>
        <w:t>indivíduo</w:t>
      </w:r>
      <w:r w:rsidR="00A97DFA">
        <w:rPr>
          <w:rFonts w:eastAsia="Times New Roman" w:cstheme="minorHAnsi"/>
          <w:color w:val="1F1F1F"/>
          <w:sz w:val="24"/>
          <w:szCs w:val="24"/>
          <w:lang w:eastAsia="pt-BR"/>
        </w:rPr>
        <w:t>). Para as análises subsequentes, os valores foram tratados e calculados com a seguinte organização</w:t>
      </w:r>
      <w:r w:rsidR="00B75732">
        <w:rPr>
          <w:rFonts w:eastAsia="Times New Roman" w:cstheme="minorHAnsi"/>
          <w:color w:val="1F1F1F"/>
          <w:sz w:val="24"/>
          <w:szCs w:val="24"/>
          <w:lang w:eastAsia="pt-BR"/>
        </w:rPr>
        <w:t>:</w:t>
      </w:r>
    </w:p>
    <w:p w14:paraId="7371C39B" w14:textId="77777777" w:rsidR="00335CE8" w:rsidRDefault="00335CE8" w:rsidP="000E5DCD">
      <w:p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>
        <w:rPr>
          <w:rFonts w:eastAsia="Times New Roman" w:cstheme="minorHAnsi"/>
          <w:color w:val="1F1F1F"/>
          <w:sz w:val="24"/>
          <w:szCs w:val="24"/>
          <w:lang w:eastAsia="pt-BR"/>
        </w:rPr>
        <w:t>Carga externa</w:t>
      </w:r>
    </w:p>
    <w:p w14:paraId="6E69FA6E" w14:textId="77777777" w:rsidR="00B75732" w:rsidRDefault="00B75732" w:rsidP="000E5DCD">
      <w:p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>
        <w:rPr>
          <w:rFonts w:eastAsia="Times New Roman" w:cstheme="minorHAnsi"/>
          <w:color w:val="1F1F1F"/>
          <w:sz w:val="24"/>
          <w:szCs w:val="24"/>
          <w:lang w:eastAsia="pt-BR"/>
        </w:rPr>
        <w:t>Distâncias percorridas</w:t>
      </w:r>
    </w:p>
    <w:p w14:paraId="72B9482B" w14:textId="77777777" w:rsidR="00B75732" w:rsidRPr="00335CE8" w:rsidRDefault="00B16EC5" w:rsidP="00335CE8">
      <w:pPr>
        <w:pStyle w:val="PargrafodaLista"/>
        <w:numPr>
          <w:ilvl w:val="0"/>
          <w:numId w:val="1"/>
        </w:num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>T</w:t>
      </w:r>
      <w:r w:rsidR="00B75732" w:rsidRPr="00335CE8">
        <w:rPr>
          <w:rFonts w:eastAsia="Times New Roman" w:cstheme="minorHAnsi"/>
          <w:color w:val="1F1F1F"/>
          <w:sz w:val="24"/>
          <w:szCs w:val="24"/>
          <w:lang w:eastAsia="pt-BR"/>
        </w:rPr>
        <w:t>ota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>l: Quaisquer deslocamentos realizados pelo atleta;</w:t>
      </w:r>
    </w:p>
    <w:p w14:paraId="49127D5A" w14:textId="77777777" w:rsidR="00B75732" w:rsidRPr="00335CE8" w:rsidRDefault="00B75732" w:rsidP="00335CE8">
      <w:pPr>
        <w:pStyle w:val="PargrafodaLista"/>
        <w:numPr>
          <w:ilvl w:val="0"/>
          <w:numId w:val="1"/>
        </w:num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>DMI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: Distância em moderada intensidade, percorrida entre 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>12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e 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>17,99 km/h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>;</w:t>
      </w:r>
    </w:p>
    <w:p w14:paraId="655FB68A" w14:textId="77777777" w:rsidR="00B75732" w:rsidRPr="00335CE8" w:rsidRDefault="00B75732" w:rsidP="00335CE8">
      <w:pPr>
        <w:pStyle w:val="PargrafodaLista"/>
        <w:numPr>
          <w:ilvl w:val="0"/>
          <w:numId w:val="1"/>
        </w:num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lastRenderedPageBreak/>
        <w:t>DMAI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: Distancia em moderada a alta intensidade, percorrida acima de 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>12 km/h</w:t>
      </w:r>
    </w:p>
    <w:p w14:paraId="23EACBF6" w14:textId="77777777" w:rsidR="00656AD4" w:rsidRPr="00335CE8" w:rsidRDefault="00B75732" w:rsidP="00335CE8">
      <w:pPr>
        <w:pStyle w:val="PargrafodaLista"/>
        <w:numPr>
          <w:ilvl w:val="0"/>
          <w:numId w:val="1"/>
        </w:num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>DAI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: 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Distancia em alta intensidade, 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>percorrida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acima de 1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>8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km/h</w:t>
      </w:r>
    </w:p>
    <w:p w14:paraId="019F7191" w14:textId="77777777" w:rsidR="00B16EC5" w:rsidRDefault="00B16EC5" w:rsidP="000E5DCD">
      <w:p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>
        <w:rPr>
          <w:rFonts w:eastAsia="Times New Roman" w:cstheme="minorHAnsi"/>
          <w:color w:val="1F1F1F"/>
          <w:sz w:val="24"/>
          <w:szCs w:val="24"/>
          <w:lang w:eastAsia="pt-BR"/>
        </w:rPr>
        <w:t>Número de acelerações</w:t>
      </w:r>
    </w:p>
    <w:p w14:paraId="5CD468F1" w14:textId="77777777" w:rsidR="00B75732" w:rsidRPr="00335CE8" w:rsidRDefault="00B16EC5" w:rsidP="00335CE8">
      <w:pPr>
        <w:pStyle w:val="PargrafodaLista"/>
        <w:numPr>
          <w:ilvl w:val="0"/>
          <w:numId w:val="2"/>
        </w:num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>T</w:t>
      </w:r>
      <w:r w:rsidR="00B75732" w:rsidRPr="00335CE8">
        <w:rPr>
          <w:rFonts w:eastAsia="Times New Roman" w:cstheme="minorHAnsi"/>
          <w:color w:val="1F1F1F"/>
          <w:sz w:val="24"/>
          <w:szCs w:val="24"/>
          <w:lang w:eastAsia="pt-BR"/>
        </w:rPr>
        <w:t>ota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l: Todas as acelerações realizadas pelos atletas. Por padrão, o sistema considera valores maiores que 0,5 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>m/s²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>.</w:t>
      </w:r>
    </w:p>
    <w:p w14:paraId="5BCAD844" w14:textId="77777777" w:rsidR="00B75732" w:rsidRPr="00335CE8" w:rsidRDefault="00B75732" w:rsidP="00335CE8">
      <w:pPr>
        <w:pStyle w:val="PargrafodaLista"/>
        <w:numPr>
          <w:ilvl w:val="0"/>
          <w:numId w:val="2"/>
        </w:num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>A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>CMI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: Acelerações em moderada intensidade, ações realizadas entre 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1 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>e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1,99 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>m/s²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>;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ab/>
      </w:r>
    </w:p>
    <w:p w14:paraId="0FD79188" w14:textId="77777777" w:rsidR="00B75732" w:rsidRPr="00335CE8" w:rsidRDefault="00B75732" w:rsidP="00335CE8">
      <w:pPr>
        <w:pStyle w:val="PargrafodaLista"/>
        <w:numPr>
          <w:ilvl w:val="0"/>
          <w:numId w:val="2"/>
        </w:num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>ACMAI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: 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>Acelerações em moderada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a alta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intensidade, ações realizadas 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>acima de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1 m/s²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>;</w:t>
      </w:r>
    </w:p>
    <w:p w14:paraId="5BF6C64D" w14:textId="77777777" w:rsidR="00B75732" w:rsidRPr="00335CE8" w:rsidRDefault="00B75732" w:rsidP="00335CE8">
      <w:pPr>
        <w:pStyle w:val="PargrafodaLista"/>
        <w:numPr>
          <w:ilvl w:val="0"/>
          <w:numId w:val="2"/>
        </w:num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>ACAI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: 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Acelerações em alta intensidade, ações realizadas acima de 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>2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m/s²;</w:t>
      </w:r>
    </w:p>
    <w:p w14:paraId="25226525" w14:textId="77777777" w:rsidR="00B16EC5" w:rsidRDefault="00B16EC5" w:rsidP="000E5DCD">
      <w:p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>
        <w:rPr>
          <w:rFonts w:eastAsia="Times New Roman" w:cstheme="minorHAnsi"/>
          <w:color w:val="1F1F1F"/>
          <w:sz w:val="24"/>
          <w:szCs w:val="24"/>
          <w:lang w:eastAsia="pt-BR"/>
        </w:rPr>
        <w:t>Número</w:t>
      </w:r>
      <w:r>
        <w:rPr>
          <w:rFonts w:eastAsia="Times New Roman" w:cstheme="minorHAnsi"/>
          <w:color w:val="1F1F1F"/>
          <w:sz w:val="24"/>
          <w:szCs w:val="24"/>
          <w:lang w:eastAsia="pt-BR"/>
        </w:rPr>
        <w:t xml:space="preserve"> de </w:t>
      </w:r>
      <w:r>
        <w:rPr>
          <w:rFonts w:eastAsia="Times New Roman" w:cstheme="minorHAnsi"/>
          <w:color w:val="1F1F1F"/>
          <w:sz w:val="24"/>
          <w:szCs w:val="24"/>
          <w:lang w:eastAsia="pt-BR"/>
        </w:rPr>
        <w:t>des</w:t>
      </w:r>
      <w:r>
        <w:rPr>
          <w:rFonts w:eastAsia="Times New Roman" w:cstheme="minorHAnsi"/>
          <w:color w:val="1F1F1F"/>
          <w:sz w:val="24"/>
          <w:szCs w:val="24"/>
          <w:lang w:eastAsia="pt-BR"/>
        </w:rPr>
        <w:t>acelerações</w:t>
      </w:r>
    </w:p>
    <w:p w14:paraId="338F08DF" w14:textId="77777777" w:rsidR="00B16EC5" w:rsidRPr="00335CE8" w:rsidRDefault="00B16EC5" w:rsidP="00335CE8">
      <w:pPr>
        <w:pStyle w:val="PargrafodaLista"/>
        <w:numPr>
          <w:ilvl w:val="0"/>
          <w:numId w:val="3"/>
        </w:num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Total: Todas as 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>des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>acelerações realizadas pelos atletas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>. P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or padrão, o sistema considera valores 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>menores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que 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- 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>0,5 m/s².</w:t>
      </w:r>
    </w:p>
    <w:p w14:paraId="115410FB" w14:textId="77777777" w:rsidR="00B75732" w:rsidRPr="00335CE8" w:rsidRDefault="00B75732" w:rsidP="00335CE8">
      <w:pPr>
        <w:pStyle w:val="PargrafodaLista"/>
        <w:numPr>
          <w:ilvl w:val="0"/>
          <w:numId w:val="3"/>
        </w:num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>DCMI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>: Desa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celerações em moderada intensidade, ações realizadas entre 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- 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1 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e - 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>1,99 m/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>s²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>;</w:t>
      </w:r>
    </w:p>
    <w:p w14:paraId="611C28FA" w14:textId="77777777" w:rsidR="00B16EC5" w:rsidRPr="00335CE8" w:rsidRDefault="00B75732" w:rsidP="00335CE8">
      <w:pPr>
        <w:pStyle w:val="PargrafodaLista"/>
        <w:numPr>
          <w:ilvl w:val="0"/>
          <w:numId w:val="3"/>
        </w:num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>DCMAI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>: Desa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celerações em moderada a alta intensidade, ações realizadas 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>abaixo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de 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- 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>1 m/s²;</w:t>
      </w:r>
    </w:p>
    <w:p w14:paraId="105CD6B7" w14:textId="77777777" w:rsidR="00B16EC5" w:rsidRPr="00335CE8" w:rsidRDefault="00B75732" w:rsidP="00335CE8">
      <w:pPr>
        <w:pStyle w:val="PargrafodaLista"/>
        <w:numPr>
          <w:ilvl w:val="0"/>
          <w:numId w:val="3"/>
        </w:num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>DCAI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: 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Desacelerações em alta intensidade, ações realizadas abaixo de - 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>2</w:t>
      </w:r>
      <w:r w:rsidR="00B16EC5"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m/s²;</w:t>
      </w:r>
    </w:p>
    <w:p w14:paraId="54A5E06E" w14:textId="77777777" w:rsidR="00335CE8" w:rsidRDefault="00335CE8" w:rsidP="000E5DCD">
      <w:p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>
        <w:rPr>
          <w:rFonts w:eastAsia="Times New Roman" w:cstheme="minorHAnsi"/>
          <w:color w:val="1F1F1F"/>
          <w:sz w:val="24"/>
          <w:szCs w:val="24"/>
          <w:lang w:eastAsia="pt-BR"/>
        </w:rPr>
        <w:t>Carga interna</w:t>
      </w:r>
    </w:p>
    <w:p w14:paraId="7A9FAD68" w14:textId="77777777" w:rsidR="00335CE8" w:rsidRPr="00335CE8" w:rsidRDefault="00335CE8" w:rsidP="00335CE8">
      <w:pPr>
        <w:pStyle w:val="PargrafodaLista"/>
        <w:numPr>
          <w:ilvl w:val="0"/>
          <w:numId w:val="4"/>
        </w:num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TRIMP: São atribuições os seguintes pesos para cada zona de FC: 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>50–59%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(peso 1)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>, 60–69%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(peso 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>2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>), 70– 79%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(peso 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>3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>), 80–89%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(peso 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>4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>) e 90–100%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(peso 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>5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>)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>. Em seguida, o tempo de permanência em cada zona de FC é multiplicado pelo peso da zona e os produtos são somados, constituindo o valor de TRIMP (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>Edwards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 xml:space="preserve">, </w:t>
      </w:r>
      <w:r w:rsidRPr="00335CE8">
        <w:rPr>
          <w:rFonts w:eastAsia="Times New Roman" w:cstheme="minorHAnsi"/>
          <w:color w:val="1F1F1F"/>
          <w:sz w:val="24"/>
          <w:szCs w:val="24"/>
          <w:lang w:eastAsia="pt-BR"/>
        </w:rPr>
        <w:t>1993)</w:t>
      </w:r>
    </w:p>
    <w:p w14:paraId="5ACC59A1" w14:textId="77777777" w:rsidR="00335CE8" w:rsidRDefault="00335CE8" w:rsidP="000E5DCD">
      <w:p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>
        <w:rPr>
          <w:rFonts w:eastAsia="Times New Roman" w:cstheme="minorHAnsi"/>
          <w:color w:val="1F1F1F"/>
          <w:sz w:val="24"/>
          <w:szCs w:val="24"/>
          <w:lang w:eastAsia="pt-BR"/>
        </w:rPr>
        <w:t>Vale destacar nesse ponto a notável</w:t>
      </w:r>
      <w:r w:rsidR="000E5DCD"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carência na literatura de estudos que estabeleçam valores de referência para os pontos de corte para o basquetebol profissional masculino (</w:t>
      </w:r>
      <w:proofErr w:type="spellStart"/>
      <w:r w:rsidR="000E5DCD" w:rsidRPr="000E5DCD">
        <w:rPr>
          <w:rFonts w:eastAsia="Times New Roman" w:cstheme="minorHAnsi"/>
          <w:color w:val="1F1F1F"/>
          <w:sz w:val="24"/>
          <w:szCs w:val="24"/>
          <w:lang w:eastAsia="pt-BR"/>
        </w:rPr>
        <w:t>Tuttle</w:t>
      </w:r>
      <w:proofErr w:type="spellEnd"/>
      <w:r w:rsidR="000E5DCD"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et al., 2024). Por outro lado, os valores utilizados no presente estudo estão alinhados com aqueles utilizados em diversos estudos da literatura do basquetebol (</w:t>
      </w:r>
      <w:proofErr w:type="spellStart"/>
      <w:r w:rsidR="000E5DCD" w:rsidRPr="000E5DCD">
        <w:rPr>
          <w:rFonts w:eastAsia="Times New Roman" w:cstheme="minorHAnsi"/>
          <w:color w:val="1F1F1F"/>
          <w:sz w:val="24"/>
          <w:szCs w:val="24"/>
          <w:lang w:eastAsia="pt-BR"/>
        </w:rPr>
        <w:t>Tuttle</w:t>
      </w:r>
      <w:proofErr w:type="spellEnd"/>
      <w:r w:rsidR="000E5DCD"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et al., 2024).</w:t>
      </w:r>
      <w:r>
        <w:rPr>
          <w:rFonts w:eastAsia="Times New Roman" w:cstheme="minorHAnsi"/>
          <w:color w:val="1F1F1F"/>
          <w:sz w:val="24"/>
          <w:szCs w:val="24"/>
          <w:lang w:eastAsia="pt-BR"/>
        </w:rPr>
        <w:t xml:space="preserve"> </w:t>
      </w:r>
      <w:r w:rsidR="000E5DCD"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A frequência cardíaca máxima dos atletas foi avaliada no início da temporada por meio do teste </w:t>
      </w:r>
      <w:proofErr w:type="spellStart"/>
      <w:r w:rsidR="000E5DCD" w:rsidRPr="000E5DCD">
        <w:rPr>
          <w:rFonts w:eastAsia="Times New Roman" w:cstheme="minorHAnsi"/>
          <w:color w:val="1F1F1F"/>
          <w:sz w:val="24"/>
          <w:szCs w:val="24"/>
          <w:lang w:eastAsia="pt-BR"/>
        </w:rPr>
        <w:t>Yo-Yo</w:t>
      </w:r>
      <w:proofErr w:type="spellEnd"/>
      <w:r w:rsidR="000E5DCD"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IR1, que consiste em corridas lineares de 20 metros realizadas em ida e volta, com incrementos progressivos da velocidade, guiada por sinais sonoros. Foi dado um intervalo de 10 s a cada uma ida e volta, caracterizando o teste como intermitente. O teste foi encerrado quando o participante não conseguiu completar a distância de 20 metros, dentro do tempo pré-estabelecido, duas vezes seguidas (</w:t>
      </w:r>
      <w:proofErr w:type="spellStart"/>
      <w:r w:rsidR="000E5DCD" w:rsidRPr="000E5DCD">
        <w:rPr>
          <w:rFonts w:eastAsia="Times New Roman" w:cstheme="minorHAnsi"/>
          <w:color w:val="1F1F1F"/>
          <w:sz w:val="24"/>
          <w:szCs w:val="24"/>
          <w:lang w:eastAsia="pt-BR"/>
        </w:rPr>
        <w:t>Krustrup</w:t>
      </w:r>
      <w:proofErr w:type="spellEnd"/>
      <w:r w:rsidR="000E5DCD"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et al., 2003). Ao longo das primeiras partidas da temporada, os valores de referência poderiam ser ajustados caso o atleta permanecesse em valores acima do 100% sustentadamente; nesse caso, o maior valor atingido durante as partidas passaria a ser considerado como a sua frequência cardíaca máxima.</w:t>
      </w:r>
    </w:p>
    <w:p w14:paraId="6C975039" w14:textId="77777777" w:rsidR="000E5DCD" w:rsidRDefault="000E5DCD" w:rsidP="000E5DCD">
      <w:p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 w:rsidRPr="000E5DCD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Tratamento dos dados</w:t>
      </w:r>
    </w:p>
    <w:p w14:paraId="03ED99A4" w14:textId="77777777" w:rsidR="000E5DCD" w:rsidRPr="000E5DCD" w:rsidRDefault="000E5DCD" w:rsidP="000E5DCD">
      <w:p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lastRenderedPageBreak/>
        <w:t xml:space="preserve">Todos os dados coletados </w:t>
      </w:r>
      <w:r w:rsidR="00135B54">
        <w:rPr>
          <w:rFonts w:eastAsia="Times New Roman" w:cstheme="minorHAnsi"/>
          <w:color w:val="1F1F1F"/>
          <w:sz w:val="24"/>
          <w:szCs w:val="24"/>
          <w:lang w:eastAsia="pt-BR"/>
        </w:rPr>
        <w:t>foram</w:t>
      </w: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organizados em planilhas eletrônicas, com cada linha </w:t>
      </w:r>
      <w:r w:rsidR="00135B54">
        <w:rPr>
          <w:rFonts w:eastAsia="Times New Roman" w:cstheme="minorHAnsi"/>
          <w:color w:val="1F1F1F"/>
          <w:sz w:val="24"/>
          <w:szCs w:val="24"/>
          <w:lang w:eastAsia="pt-BR"/>
        </w:rPr>
        <w:t>contendo uma observação, ou seja,</w:t>
      </w: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</w:t>
      </w:r>
      <w:r w:rsidR="00135B54">
        <w:rPr>
          <w:rFonts w:eastAsia="Times New Roman" w:cstheme="minorHAnsi"/>
          <w:color w:val="1F1F1F"/>
          <w:sz w:val="24"/>
          <w:szCs w:val="24"/>
          <w:lang w:eastAsia="pt-BR"/>
        </w:rPr>
        <w:t>um quarto de cada partida para um atleta</w:t>
      </w: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e cada coluna correspondendo a uma variável de interesse (e.g.</w:t>
      </w:r>
      <w:r w:rsidR="00135B54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código</w:t>
      </w: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do atleta, data da partida, adversário, métricas </w:t>
      </w:r>
      <w:r w:rsidR="00135B54">
        <w:rPr>
          <w:rFonts w:eastAsia="Times New Roman" w:cstheme="minorHAnsi"/>
          <w:color w:val="1F1F1F"/>
          <w:sz w:val="24"/>
          <w:szCs w:val="24"/>
          <w:lang w:eastAsia="pt-BR"/>
        </w:rPr>
        <w:t>de carga interna e externa</w:t>
      </w: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>). Adicionalmente, todas as variáveis de carga serão relativizadas por minuto jogado, para permitir a comparação entre atletas com diferentes tempos de participação em quadra (García et al., 2020).</w:t>
      </w:r>
    </w:p>
    <w:p w14:paraId="4D2BD0AA" w14:textId="77777777" w:rsidR="000E5DCD" w:rsidRDefault="000E5DCD" w:rsidP="000E5DCD">
      <w:p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 w:rsidRPr="000E5DCD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Análise estatística</w:t>
      </w:r>
    </w:p>
    <w:p w14:paraId="24F0EA6B" w14:textId="77777777" w:rsidR="00F12CE3" w:rsidRDefault="000E5DCD" w:rsidP="000E5DCD">
      <w:p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Para a análise estatística, será empregado um modelo linear misto com o objetivo de verificar se as métricas de interesse (TRIMP, distância total e por zonas de velocidade) são influenciadas pelos fatores fixos: quarto da partida, posição do atleta, local da partida, intervalo desde o jogo anterior e nível do adversário. Após o ajuste dos modelos, os seguintes pressupostos serão avaliados: Normalidade dos resíduos: Teste de Shapiro-Wilk; </w:t>
      </w:r>
      <w:proofErr w:type="spellStart"/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>Homocedasticidade</w:t>
      </w:r>
      <w:proofErr w:type="spellEnd"/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dos resíduos: Teste de </w:t>
      </w:r>
      <w:proofErr w:type="spellStart"/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>Breusch-Pagan</w:t>
      </w:r>
      <w:proofErr w:type="spellEnd"/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; Presença e impacto de outliers nos resíduos: Teste de </w:t>
      </w:r>
      <w:proofErr w:type="spellStart"/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>Durbin</w:t>
      </w:r>
      <w:proofErr w:type="spellEnd"/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-Watson; Colinearidade entre as variáveis independentes: Correlação de Pearson. Todas as análises serão conduzidas em linguagem Python (versão 3.10), utilizando o ambiente Google </w:t>
      </w:r>
      <w:proofErr w:type="spellStart"/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>Collaboratory</w:t>
      </w:r>
      <w:proofErr w:type="spellEnd"/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. As bibliotecas Pandas e </w:t>
      </w:r>
      <w:proofErr w:type="spellStart"/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>NumPy</w:t>
      </w:r>
      <w:proofErr w:type="spellEnd"/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serão utilizadas para o tratamento e organização dos dados, </w:t>
      </w:r>
      <w:proofErr w:type="spellStart"/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>SciPy</w:t>
      </w:r>
      <w:proofErr w:type="spellEnd"/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e </w:t>
      </w:r>
      <w:proofErr w:type="spellStart"/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>Statsmodels</w:t>
      </w:r>
      <w:proofErr w:type="spellEnd"/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para os testes estatísticos, e </w:t>
      </w:r>
      <w:proofErr w:type="spellStart"/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>Matplotlib</w:t>
      </w:r>
      <w:proofErr w:type="spellEnd"/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e </w:t>
      </w:r>
      <w:proofErr w:type="spellStart"/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>Seaborn</w:t>
      </w:r>
      <w:proofErr w:type="spellEnd"/>
      <w:r w:rsidRPr="000E5DCD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para a visualização gráfica dos resultados. O nível de significância adotado será de α = 5%.</w:t>
      </w:r>
    </w:p>
    <w:p w14:paraId="495DCA7C" w14:textId="77777777" w:rsidR="008A0432" w:rsidRDefault="008A0432" w:rsidP="000E5DCD">
      <w:p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 w:rsidRPr="008A0432">
        <w:rPr>
          <w:rFonts w:eastAsia="Times New Roman" w:cstheme="minorHAnsi"/>
          <w:color w:val="1F1F1F"/>
          <w:sz w:val="24"/>
          <w:szCs w:val="24"/>
          <w:lang w:eastAsia="pt-BR"/>
        </w:rPr>
        <w:t>Análise estatística</w:t>
      </w:r>
    </w:p>
    <w:p w14:paraId="2E2DD90E" w14:textId="77777777" w:rsidR="00517F01" w:rsidRDefault="008A0432" w:rsidP="000E5DCD">
      <w:p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r w:rsidRPr="008A0432">
        <w:rPr>
          <w:rFonts w:eastAsia="Times New Roman" w:cstheme="minorHAnsi"/>
          <w:color w:val="1F1F1F"/>
          <w:sz w:val="24"/>
          <w:szCs w:val="24"/>
          <w:lang w:eastAsia="pt-BR"/>
        </w:rPr>
        <w:t xml:space="preserve">A normalidade dos resíduos e dos efeitos aleatórios para todos os modelos lineares foi avaliada graficamente e por meio do teste </w:t>
      </w:r>
      <w:proofErr w:type="spellStart"/>
      <w:r w:rsidRPr="008A0432">
        <w:rPr>
          <w:rFonts w:eastAsia="Times New Roman" w:cstheme="minorHAnsi"/>
          <w:color w:val="1F1F1F"/>
          <w:sz w:val="24"/>
          <w:szCs w:val="24"/>
          <w:lang w:eastAsia="pt-BR"/>
        </w:rPr>
        <w:t>Kolmogorov</w:t>
      </w:r>
      <w:proofErr w:type="spellEnd"/>
      <w:r w:rsidRPr="008A0432">
        <w:rPr>
          <w:rFonts w:eastAsia="Times New Roman" w:cstheme="minorHAnsi"/>
          <w:color w:val="1F1F1F"/>
          <w:sz w:val="24"/>
          <w:szCs w:val="24"/>
          <w:lang w:eastAsia="pt-BR"/>
        </w:rPr>
        <w:t xml:space="preserve">-Smirnov, enquanto a </w:t>
      </w:r>
      <w:proofErr w:type="spellStart"/>
      <w:r w:rsidRPr="008A0432">
        <w:rPr>
          <w:rFonts w:eastAsia="Times New Roman" w:cstheme="minorHAnsi"/>
          <w:color w:val="1F1F1F"/>
          <w:sz w:val="24"/>
          <w:szCs w:val="24"/>
          <w:lang w:eastAsia="pt-BR"/>
        </w:rPr>
        <w:t>homocedasticidade</w:t>
      </w:r>
      <w:proofErr w:type="spellEnd"/>
      <w:r w:rsidRPr="008A0432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foi avaliada graficamente. Todos os resultados são relatados como médias ± desvi</w:t>
      </w:r>
      <w:r>
        <w:rPr>
          <w:rFonts w:eastAsia="Times New Roman" w:cstheme="minorHAnsi"/>
          <w:color w:val="1F1F1F"/>
          <w:sz w:val="24"/>
          <w:szCs w:val="24"/>
          <w:lang w:eastAsia="pt-BR"/>
        </w:rPr>
        <w:t>o</w:t>
      </w:r>
      <w:r w:rsidRPr="008A0432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padrão.</w:t>
      </w:r>
      <w:r>
        <w:rPr>
          <w:rFonts w:eastAsia="Times New Roman" w:cstheme="minorHAnsi"/>
          <w:color w:val="1F1F1F"/>
          <w:sz w:val="24"/>
          <w:szCs w:val="24"/>
          <w:lang w:eastAsia="pt-BR"/>
        </w:rPr>
        <w:t xml:space="preserve"> Cinco</w:t>
      </w:r>
      <w:r w:rsidRPr="008A0432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modelos lineares de efeitos mistos foram ajustados para avaliar os efeitos </w:t>
      </w:r>
      <w:r>
        <w:rPr>
          <w:rFonts w:eastAsia="Times New Roman" w:cstheme="minorHAnsi"/>
          <w:color w:val="1F1F1F"/>
          <w:sz w:val="24"/>
          <w:szCs w:val="24"/>
          <w:lang w:eastAsia="pt-BR"/>
        </w:rPr>
        <w:t>dos fatores contextuais sobre as distancias percorridas, acelerações e desacelerações em cada zona de intensidade</w:t>
      </w:r>
      <w:r w:rsidR="00517F01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e</w:t>
      </w:r>
      <w:r>
        <w:rPr>
          <w:rFonts w:eastAsia="Times New Roman" w:cstheme="minorHAnsi"/>
          <w:color w:val="1F1F1F"/>
          <w:sz w:val="24"/>
          <w:szCs w:val="24"/>
          <w:lang w:eastAsia="pt-BR"/>
        </w:rPr>
        <w:t xml:space="preserve"> TRIMP</w:t>
      </w:r>
      <w:r w:rsidRPr="008A0432">
        <w:rPr>
          <w:rFonts w:eastAsia="Times New Roman" w:cstheme="minorHAnsi"/>
          <w:color w:val="1F1F1F"/>
          <w:sz w:val="24"/>
          <w:szCs w:val="24"/>
          <w:lang w:eastAsia="pt-BR"/>
        </w:rPr>
        <w:t>.</w:t>
      </w:r>
      <w:r>
        <w:rPr>
          <w:rFonts w:eastAsia="Times New Roman" w:cstheme="minorHAnsi"/>
          <w:color w:val="1F1F1F"/>
          <w:sz w:val="24"/>
          <w:szCs w:val="24"/>
          <w:lang w:eastAsia="pt-BR"/>
        </w:rPr>
        <w:t xml:space="preserve"> </w:t>
      </w:r>
      <w:r w:rsidRPr="008A0432">
        <w:rPr>
          <w:rFonts w:eastAsia="Times New Roman" w:cstheme="minorHAnsi"/>
          <w:color w:val="1F1F1F"/>
          <w:sz w:val="24"/>
          <w:szCs w:val="24"/>
          <w:lang w:eastAsia="pt-BR"/>
        </w:rPr>
        <w:t>Os jogadores</w:t>
      </w:r>
      <w:r>
        <w:rPr>
          <w:rFonts w:eastAsia="Times New Roman" w:cstheme="minorHAnsi"/>
          <w:color w:val="1F1F1F"/>
          <w:sz w:val="24"/>
          <w:szCs w:val="24"/>
          <w:lang w:eastAsia="pt-BR"/>
        </w:rPr>
        <w:t xml:space="preserve"> e a partida</w:t>
      </w:r>
      <w:r w:rsidRPr="008A0432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foram modelados como efeito</w:t>
      </w:r>
      <w:r>
        <w:rPr>
          <w:rFonts w:eastAsia="Times New Roman" w:cstheme="minorHAnsi"/>
          <w:color w:val="1F1F1F"/>
          <w:sz w:val="24"/>
          <w:szCs w:val="24"/>
          <w:lang w:eastAsia="pt-BR"/>
        </w:rPr>
        <w:t>s</w:t>
      </w:r>
      <w:r w:rsidRPr="008A0432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aleatório</w:t>
      </w:r>
      <w:r>
        <w:rPr>
          <w:rFonts w:eastAsia="Times New Roman" w:cstheme="minorHAnsi"/>
          <w:color w:val="1F1F1F"/>
          <w:sz w:val="24"/>
          <w:szCs w:val="24"/>
          <w:lang w:eastAsia="pt-BR"/>
        </w:rPr>
        <w:t>s</w:t>
      </w:r>
      <w:r w:rsidRPr="008A0432">
        <w:rPr>
          <w:rFonts w:eastAsia="Times New Roman" w:cstheme="minorHAnsi"/>
          <w:color w:val="1F1F1F"/>
          <w:sz w:val="24"/>
          <w:szCs w:val="24"/>
          <w:lang w:eastAsia="pt-BR"/>
        </w:rPr>
        <w:t>. Os efeitos fixos incluíram fatores contextuais e individuais já conhecidos por influenciar o desempenho físico</w:t>
      </w:r>
      <w:r w:rsidR="00517F01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conforme apresentado na introdução do presente trabalho. (INCLUIR A TABELA COM A PROGRESSÃO DAS VARIÁVEIS DOS MODELOS)</w:t>
      </w:r>
    </w:p>
    <w:p w14:paraId="2FECB80B" w14:textId="77777777" w:rsidR="00517F01" w:rsidRPr="000E5DCD" w:rsidRDefault="00517F01" w:rsidP="00CD0B80">
      <w:pPr>
        <w:spacing w:before="100" w:beforeAutospacing="1" w:after="0" w:line="240" w:lineRule="auto"/>
        <w:jc w:val="both"/>
        <w:rPr>
          <w:rFonts w:eastAsia="Times New Roman" w:cstheme="minorHAnsi"/>
          <w:color w:val="1F1F1F"/>
          <w:sz w:val="24"/>
          <w:szCs w:val="24"/>
          <w:lang w:eastAsia="pt-BR"/>
        </w:rPr>
      </w:pPr>
      <w:commentRangeStart w:id="1"/>
      <w:r>
        <w:rPr>
          <w:rFonts w:eastAsia="Times New Roman" w:cstheme="minorHAnsi"/>
          <w:color w:val="1F1F1F"/>
          <w:sz w:val="24"/>
          <w:szCs w:val="24"/>
          <w:lang w:eastAsia="pt-BR"/>
        </w:rPr>
        <w:t>As variáveis de idade</w:t>
      </w:r>
      <w:r w:rsidR="008A0432" w:rsidRPr="008A0432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foram centralizadas na média</w:t>
      </w:r>
      <w:commentRangeEnd w:id="1"/>
      <w:r w:rsidR="0050179F">
        <w:rPr>
          <w:rStyle w:val="Refdecomentrio"/>
        </w:rPr>
        <w:commentReference w:id="1"/>
      </w:r>
      <w:r w:rsidR="008A0432" w:rsidRPr="008A0432">
        <w:rPr>
          <w:rFonts w:eastAsia="Times New Roman" w:cstheme="minorHAnsi"/>
          <w:color w:val="1F1F1F"/>
          <w:sz w:val="24"/>
          <w:szCs w:val="24"/>
          <w:lang w:eastAsia="pt-BR"/>
        </w:rPr>
        <w:t xml:space="preserve">, subtraindo-se a média da variável de cada observação. Esse procedimento tornou os interceptos do modelo mais significativos e melhorou a </w:t>
      </w:r>
      <w:proofErr w:type="spellStart"/>
      <w:r w:rsidR="008A0432" w:rsidRPr="008A0432">
        <w:rPr>
          <w:rFonts w:eastAsia="Times New Roman" w:cstheme="minorHAnsi"/>
          <w:color w:val="1F1F1F"/>
          <w:sz w:val="24"/>
          <w:szCs w:val="24"/>
          <w:lang w:eastAsia="pt-BR"/>
        </w:rPr>
        <w:t>interpretabilidade</w:t>
      </w:r>
      <w:proofErr w:type="spellEnd"/>
      <w:r w:rsidR="008A0432" w:rsidRPr="008A0432">
        <w:rPr>
          <w:rFonts w:eastAsia="Times New Roman" w:cstheme="minorHAnsi"/>
          <w:color w:val="1F1F1F"/>
          <w:sz w:val="24"/>
          <w:szCs w:val="24"/>
          <w:lang w:eastAsia="pt-BR"/>
        </w:rPr>
        <w:t xml:space="preserve">. A colinearidade entre as variáveis independentes foi analisada utilizando o fator de inflação da variância (ou seja, VIF &gt; 10 indicou colinearidade). Testes post hoc de </w:t>
      </w:r>
      <w:proofErr w:type="spellStart"/>
      <w:r w:rsidR="008A0432" w:rsidRPr="008A0432">
        <w:rPr>
          <w:rFonts w:eastAsia="Times New Roman" w:cstheme="minorHAnsi"/>
          <w:color w:val="1F1F1F"/>
          <w:sz w:val="24"/>
          <w:szCs w:val="24"/>
          <w:lang w:eastAsia="pt-BR"/>
        </w:rPr>
        <w:t>Tukey</w:t>
      </w:r>
      <w:proofErr w:type="spellEnd"/>
      <w:r w:rsidR="008A0432" w:rsidRPr="008A0432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foram realizados para determinar se havia diferenças significativas entre as posições dos jogadores. O $R^2$ condicional foi calculado para descrever a variância explicada tanto pelos efeitos fixos quanto pelos aleatórios, e o $R^2$ marginal foi calculado para descrever a variância explicada apenas pelos efeitos fixos. Os modelos foram comparados utilizando o Critério de Informação de </w:t>
      </w:r>
      <w:proofErr w:type="spellStart"/>
      <w:r w:rsidR="008A0432" w:rsidRPr="008A0432">
        <w:rPr>
          <w:rFonts w:eastAsia="Times New Roman" w:cstheme="minorHAnsi"/>
          <w:color w:val="1F1F1F"/>
          <w:sz w:val="24"/>
          <w:szCs w:val="24"/>
          <w:lang w:eastAsia="pt-BR"/>
        </w:rPr>
        <w:t>Akaike</w:t>
      </w:r>
      <w:proofErr w:type="spellEnd"/>
      <w:r w:rsidR="008A0432" w:rsidRPr="008A0432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(AIC); o modelo com o menor valor de AIC foi considerado o mais parcimonioso. A significância estatística dos efeitos fixos individuais foi avaliada por meio de valores de </w:t>
      </w:r>
      <w:proofErr w:type="spellStart"/>
      <w:r w:rsidR="008A0432" w:rsidRPr="008A0432">
        <w:rPr>
          <w:rFonts w:eastAsia="Times New Roman" w:cstheme="minorHAnsi"/>
          <w:color w:val="1F1F1F"/>
          <w:sz w:val="24"/>
          <w:szCs w:val="24"/>
          <w:lang w:eastAsia="pt-BR"/>
        </w:rPr>
        <w:t>p.As</w:t>
      </w:r>
      <w:proofErr w:type="spellEnd"/>
      <w:r w:rsidR="008A0432" w:rsidRPr="008A0432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análises estatísticas foram realizadas no software </w:t>
      </w:r>
      <w:proofErr w:type="spellStart"/>
      <w:r w:rsidR="008A0432" w:rsidRPr="008A0432">
        <w:rPr>
          <w:rFonts w:eastAsia="Times New Roman" w:cstheme="minorHAnsi"/>
          <w:color w:val="1F1F1F"/>
          <w:sz w:val="24"/>
          <w:szCs w:val="24"/>
          <w:lang w:eastAsia="pt-BR"/>
        </w:rPr>
        <w:t>RStudio</w:t>
      </w:r>
      <w:proofErr w:type="spellEnd"/>
      <w:r w:rsidR="008A0432" w:rsidRPr="008A0432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versão 2025.05.0 Build 496© 2009–2025 </w:t>
      </w:r>
      <w:proofErr w:type="spellStart"/>
      <w:r w:rsidR="008A0432" w:rsidRPr="008A0432">
        <w:rPr>
          <w:rFonts w:eastAsia="Times New Roman" w:cstheme="minorHAnsi"/>
          <w:color w:val="1F1F1F"/>
          <w:sz w:val="24"/>
          <w:szCs w:val="24"/>
          <w:lang w:eastAsia="pt-BR"/>
        </w:rPr>
        <w:t>Posit</w:t>
      </w:r>
      <w:proofErr w:type="spellEnd"/>
      <w:r w:rsidR="008A0432" w:rsidRPr="008A0432">
        <w:rPr>
          <w:rFonts w:eastAsia="Times New Roman" w:cstheme="minorHAnsi"/>
          <w:color w:val="1F1F1F"/>
          <w:sz w:val="24"/>
          <w:szCs w:val="24"/>
          <w:lang w:eastAsia="pt-BR"/>
        </w:rPr>
        <w:t xml:space="preserve"> Software, PBC, utilizando o R versão </w:t>
      </w:r>
      <w:r w:rsidR="008A0432" w:rsidRPr="008A0432">
        <w:rPr>
          <w:rFonts w:eastAsia="Times New Roman" w:cstheme="minorHAnsi"/>
          <w:color w:val="1F1F1F"/>
          <w:sz w:val="24"/>
          <w:szCs w:val="24"/>
          <w:lang w:eastAsia="pt-BR"/>
        </w:rPr>
        <w:lastRenderedPageBreak/>
        <w:t xml:space="preserve">4.5.0. A análise linear de efeitos mistos foi executada utilizando os pacotes lme4 e </w:t>
      </w:r>
      <w:proofErr w:type="spellStart"/>
      <w:r w:rsidR="008A0432" w:rsidRPr="008A0432">
        <w:rPr>
          <w:rFonts w:eastAsia="Times New Roman" w:cstheme="minorHAnsi"/>
          <w:color w:val="1F1F1F"/>
          <w:sz w:val="24"/>
          <w:szCs w:val="24"/>
          <w:lang w:eastAsia="pt-BR"/>
        </w:rPr>
        <w:t>lmerTest</w:t>
      </w:r>
      <w:proofErr w:type="spellEnd"/>
      <w:r w:rsidR="008A0432" w:rsidRPr="008A0432">
        <w:rPr>
          <w:rFonts w:eastAsia="Times New Roman" w:cstheme="minorHAnsi"/>
          <w:color w:val="1F1F1F"/>
          <w:sz w:val="24"/>
          <w:szCs w:val="24"/>
          <w:lang w:eastAsia="pt-BR"/>
        </w:rPr>
        <w:t>. O nível de significância estatística foi definido em $p &lt; 0,05$.</w:t>
      </w:r>
    </w:p>
    <w:sectPr w:rsidR="00517F01" w:rsidRPr="000E5D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1" w:author="GUILHERME  GUISSO PIZZOL" w:date="2026-03-07T17:07:00Z" w:initials="GGP">
    <w:p w14:paraId="55684482" w14:textId="2DB6FA98" w:rsidR="0050179F" w:rsidRDefault="0050179F">
      <w:pPr>
        <w:pStyle w:val="Textodecomentrio"/>
      </w:pPr>
      <w:r>
        <w:rPr>
          <w:rStyle w:val="Refdecomentrio"/>
        </w:rPr>
        <w:annotationRef/>
      </w:r>
      <w:r w:rsidR="00C37B78">
        <w:rPr>
          <w:noProof/>
        </w:rPr>
        <w:t>Ta e</w:t>
      </w:r>
      <w:r w:rsidR="00C37B78">
        <w:rPr>
          <w:noProof/>
        </w:rPr>
        <w:t>stranho no meu</w:t>
      </w:r>
      <w:r w:rsidR="00C37B78">
        <w:rPr>
          <w:noProof/>
        </w:rPr>
        <w:t xml:space="preserve">.. Não muda </w:t>
      </w:r>
      <w:r w:rsidR="00C37B78">
        <w:rPr>
          <w:noProof/>
        </w:rPr>
        <w:t>os betas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5568448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D56D9D4" w16cex:dateUtc="2026-03-07T20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55684482" w16cid:durableId="2D56D9D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0452D2C"/>
    <w:multiLevelType w:val="hybridMultilevel"/>
    <w:tmpl w:val="6122B5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450EEA"/>
    <w:multiLevelType w:val="hybridMultilevel"/>
    <w:tmpl w:val="C1406D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EF6526"/>
    <w:multiLevelType w:val="hybridMultilevel"/>
    <w:tmpl w:val="673269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956FC4"/>
    <w:multiLevelType w:val="hybridMultilevel"/>
    <w:tmpl w:val="1D3CD2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GUILHERME  GUISSO PIZZOL">
    <w15:presenceInfo w15:providerId="AD" w15:userId="S::guilhermegpizzol@ufmg.br::f672d298-3d4d-4fca-89ea-2a2d7dd0a85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DCD"/>
    <w:rsid w:val="000E5DCD"/>
    <w:rsid w:val="00135B54"/>
    <w:rsid w:val="002403AD"/>
    <w:rsid w:val="00335CE8"/>
    <w:rsid w:val="0050179F"/>
    <w:rsid w:val="00517F01"/>
    <w:rsid w:val="00621716"/>
    <w:rsid w:val="00656AD4"/>
    <w:rsid w:val="007A0514"/>
    <w:rsid w:val="008A0432"/>
    <w:rsid w:val="00A06514"/>
    <w:rsid w:val="00A97DFA"/>
    <w:rsid w:val="00B16EC5"/>
    <w:rsid w:val="00B75732"/>
    <w:rsid w:val="00C37B78"/>
    <w:rsid w:val="00CD0B80"/>
    <w:rsid w:val="00F12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79FC5"/>
  <w15:chartTrackingRefBased/>
  <w15:docId w15:val="{48C5ADD7-5E28-4DFA-8ADE-88471B27B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5D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0E5DCD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335CE8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517F01"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rsid w:val="0050179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0179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0179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0179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0179F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50179F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5017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0179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9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hyperlink" Target="https://lnb.com.br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5</Pages>
  <Words>1696</Words>
  <Characters>9162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 GUISSO PIZZOL</dc:creator>
  <cp:keywords/>
  <dc:description/>
  <cp:lastModifiedBy>GUILHERME  GUISSO PIZZOL</cp:lastModifiedBy>
  <cp:revision>5</cp:revision>
  <dcterms:created xsi:type="dcterms:W3CDTF">2026-03-07T16:46:00Z</dcterms:created>
  <dcterms:modified xsi:type="dcterms:W3CDTF">2026-03-08T02:55:00Z</dcterms:modified>
</cp:coreProperties>
</file>