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0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Caracterização da base de dados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base utilizada nas análises inclui dados de 16 atletas em cada temporada. Com a manutenção de alguns em duas ou três temporadas, o volume total de atletas distintos na base é de 33, compondo um total de 4561 observações (135 jogos), sendo 1316 (41 jogos), 1644 (47 jogos) e 1601 (47 jogos) advindas das temporadas de 2022-2023, 2023-2024 e 2024-2025, respectivamente. O maior volume de observações foi obtido dos alas (2393), seguido dos pivôs (1142) e armadores (1026). A média de idade entre as observações é de 29,2 ± 4,8 anos (mín.: 16,0 e máx.: 37,0 anos). Os valores médios das distâncias, acelerações e desacelerações nas diferentes zonas de intensidade totais e estratificados por quarto e posição estão descritos nas Tabelas 1-3.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Análise dos modelos lineares mistos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Os cinco modelos lineares mistos testados para cada variável dependente apresentaram valores semelhantes de AIC, BIC, R^2 marginal e condicional, conforme apresentado na Tabela 4. Sendo assim, optamos por exibir apenas o modelo 5 (com o maior número de fatores fixos) para todas as variáveis dependentes. Todos os modelos apresentaram níveis aceitáveis de 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colinearidade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(VIFs &lt; 1,07).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Os valores de R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marginal e condicional variaram de 11,2% e 28,7% (modelo: DCAI) até 53,9% e 69,1% (modelo: TRIMP), indicando que a inclusão dos fatores aleatórios dos códigos do atleta (npf) e da partida (nome_sessao) contribuiu para a melhora dos modelos. Adicionalmente, demonstram que uma parte considerável da variância de métricas de carga interna e, principalmente, externa, não é explicada pelos fatores incluídos na presente análise. As Tabelas 5 a 7 contém os resultados dos modelos agrupados pelo tipo de variável dependente.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Distâncias percorridas nas zonas de intensidade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quarto de jogo contribuiu significativamente (p &lt; 0,001) para explicar a variância das distâncias percorridas em todas as faixas de velocidade (conferir se vale para todos os modelos). A progressão dos quartos de jogo está associada à redução dos valores relativizados por minuto jogado das distâncias percorridas em alta (β = -0,67; IC 95%: -0,81 – -0,53), moderada a alta (β = -1,88; IC 95%: -2,14 – -1,61) e moderada (β = -1,21; IC 95%: -1,39 – -1,02) intensidade. Por outro lado, observa-se um aumento da distância total percorrida ao longo dos quartos de jogo (β = 2,97; IC 95%: 2,18 – 3,76).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idade do jogador influenciou negativamente as distâncias percorridas em todas as zonas de velocidade (β variando entre -0,45 e -1,25). A maior magnitude foi observada na distância total relativizada, com o decréscimo de 1,25 m/min a cada ano de idade a mais (IC 95%: -2,09 – -0,41).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Quanto à posição do atleta, em comparação aos alas, os pivôs apresentam menores valores de distância percorrida em todas as zonas de velocidade (β variando entre -7,01 e -19,49), com diferenças mais expressivas na distância total (β = -19,49; IC 95%: -34,85 – -4,13). Enquanto na comparação entre alas e armadores, não foram observadas diferenças significativas (p &gt; 0,739).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tempo de permanência em quadra prejudicou significativamente os valores relativizados de distância total (β = -5,94; IC 95%: -6,35 – -5,53), em intensidade moderada (β = -0,31; IC 95%: -0,41 – -0,22) e moderada a alta (β = -0,38; IC 95%: -0,51 – -0,24), não sendo significante para a distância em alta intensidade (p = 0,077).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intervalo de dias em relação à partida anterior também contribuiu para a explicação, com um aumento de 0,67 m/min (IC 95%: 0,06 – 1,29) na distância total a cada dia adicional de intervalo. Não foram observados impactos significativos nas demais variáveis (p &gt; 0,063).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mando de quadra influenciou significativamente apenas a distância total, com uma redução de 5,85 m/min nas partidas em casa em comparação com as de fora (IC 95%: -9,63 – -2,06). Já a diferença no placar e a classificação do adversário não demonstraram impactos significativos sobre nenhuma das variáveis analisadas (p &gt; 0,151).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Número de acelerações nas zonas de intensidade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quarto de jogo possui impactos distintos no número de acelerações a depender da intensidade. A análise demonstrou uma ligeira redução de 0,10 aceleração por minuto a cada quarto (IC 95%: -0,12 – -0,07) e um aumento de 0,64 (IC 95%: 0,54 – 0,74), 0,74 (IC 95%: 0,64 – 0,83) e 1,18 (IC 95%: 1,03 – 1,33) no número de acelerações de intensidade moderada a alta, moderada e totais, respectivamente. A idade do jogador impactou negativamente o número de acelerações em todas as zonas de intensidade (β variando entre -0,19 e -0,06). Quanto à posição do atleta, 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armadores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realizam menos acelerações moderadas (β: -1,49; IC 95%: -2,64 – -0,33) e de moderada a intensa (β: -1,37; IC 95%: -2,70 – -0,05) em comparação aos alas. Não foram observadas diferenças significativas entre alas e pivôs (p &gt; 0,755). O tempo de permanência em quadra reduziu o número de acelerações por minuto em todas as zonas de intensidade (β variando entre -1,77 e -0,06). A cada dia a mais de intervalo em relação à partida anterior, o número de acelerações de alta intensidade aumenta em 0,02 (IC 95%: 0,00 – 0,04). Quanto ao mando de quadra, partidas em casa reduzem o número por minuto de acelerações totais (β: -1,10; IC 95%: -1,88 – -0,33), moderadas (β: -0,67; IC 95%: -1,15 – -0,19) e de moderada a intensa (β: -0,77; IC 95%: -1,30 – -0,24). A diferença no placar e a classificação do adversário não explicaram significativamente a variância do número de acelerações (p &gt; 0,57 e p &gt; 0,58, respectivamente).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Número de desacelerações nas zonas de intensidade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quarto de jogo contribui para explicar a variância no número de desacelerações. A análise demonstrou que não houve impacto significativo nas desacelerações intensas (p = 0,778), mas observou-se um aumento de 0,73 (IC 95%: 0,62 – 0,84), 0,73 (IC 95%: 0,64 – 0,83) e 1,10 (IC 95%: 0,96 – 1,25) no número de desacelerações por minuto de intensidade moderada a intensa, moderada e totais, respectivamente, a cada quarto de jogo. A idade do jogador impactou negativamente o número de desacelerações em todas as zonas de intensidade (β variando entre -0,19 e -0,06). Quanto à posição do atleta, não foram observadas diferenças significativas entre os pivôs e armadores em comparação aos alas em nenhuma das zonas de intensidade de desaceleração (p &gt; 0,134). O tempo de permanência em quadra reduziu o número de desacelerações por minuto em todas as zonas de intensidade (β variando entre -1,71 e -0,09). O intervalo de dias entre as partidas não explicou significativamente a variância do número de desacelerações em nenhuma das intensidades (p &gt; 0,091). Quanto ao mando de campo, jogar em casa reduz o número por minuto de desacelerações totais (β: -1,16; IC 95%: -1,93 – -0,40), moderadas (β: -0,75; IC 95%: -1,23 – -0,26) e de moderada a intensa (β: -0,86; IC 95%: -1,41 – -0,30). A classificação do adversário não impactou significativamente o número de desacelerações, apenas com uma tendência observada nas desacelerações moderadas (p = 0,056), enquanto a diferença no placar apresentou impacto significativo apenas nas desacelerações moderadas, com um aumento de 0,62 em jogos com menores diferenças no placar (&lt; 5 pontos) (IC 95%: 0,00 – 1,24).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Training Impulse (TRIMP)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TRIMP foi a única variável do estudo analisada sem ser relativizada pelo tempo jogado; com isso, naturalmente o tempo em quadra apresentou grande associação positiva com a mesma (β = 6,67; IC 95%: 6,49 – 6,85) pelo acúmulo progressivo. Os valores de TRIMP foram 2,83 UA (IC 95%: 2,49 – 3,18) maiores a cada quarto de jogo. Jogar em casa 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reduziu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a carga em 4,66 UA (IC 95%: -6,90 – -2,41). Menores diferenças no placar (&lt; 5 pontos) elevaram em 3,31 UA (IC 95%: 0,47 – 6,15) o valor da variável.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DISCUSSÃO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objetivo do presente estudo foi investigar os fatores contextuais que afetam os valores de carga externa e interna em partidas oficiais de basquetebol. Os principais achados do estudo são que a posição e a idade do atleta, o quarto da partida e o tempo de permanência em quadra contribuem significativamente para explicar a variância em grande parte dos modelos testados; entretanto, a magnitude e até mesmo o sentido da influência são distintos entre as variáveis dependentes.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Distâncias percorridas nas zonas de intensidade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quarto da partida impactou a maior parte das variáveis incluídas no estudo. Esse fator é um dos mais investigados na literatura do basquetebol e diversos estudos encontraram reduções nas variáveis de carga externa, como a diminuição das demandas pico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PlayerLoad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 desacelerações, além da distância percorrida total e em alta intensidade (Pérez-Chao et al., 2022, 2023; Salazar et al., 2024; Vázquez-Guerrero et al., 2019; García et al., 2020). Sosa-Marin et al. (2024) observaram reduções nas distâncias percorridas em todas as zonas de intensidade, no número de acelerações (&gt; 2 m/s^2) e desacelerações (&lt; -2 m/s^2) ao longo dos quartos de partidas oficiais de basquetebol sub-18. Esses achados são consistentes com o presente estudo; entretanto, observamos uma breve diferença em relação ao padrão da distância total, com um aumento dessa métrica ao longo dos quartos. Estudos anteriores atribuem a redução da produção de carga externa ao acúmulo de fadiga e a estratégias táticas distintas (García et al., 2020; Sosa-Marin et al., 2024). O presente estudo reforça a ocorrência desse padrão, mas evidencia que os ajustes táticos e o acúmulo de fadiga podem influenciar não só na redução da produção, mas também no ajuste da intensidade dos deslocamentos ao longo da partida. Essas estratégias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pacing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(i.e., aumento das distâncias percorridas em baixa e redução em alta intensidade) para tolerar a fadiga acumulada na partida foram recentemente abordadas a partir da influência do estresse térmico sobre o desempenho físico em partidas de futebol (Carmo et al., 2026).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Numa perspectiva semelhante, outro reflexo do acúmulo de fadiga é a associação negativa do tempo em quadra com todas as variáveis de carga externa analisadas (exceto DAI). O estudo de Pérez-Chao et al. (2021) comparou atletas com menor e maior tempo em quadra, e os achados corroboram o presente trabalho, com maiores 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demandas pico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de carga externa observadas em atletas com menor tempo em quadra. No contexto do futebol, o estudo de Gonçalves et al. (2024) comparou atletas titulares e reservas, observando maiores valores de carga externa para os atletas com menos tempo em campo. Além da hipótese da fadiga acumulada nos atletas titulares, o estudo destaca que, entre os reservas, por saberem que terão menos tempo de jogo, os atletas tendem a se expor a maiores intensidades (Gonçalves et al., 2024). Apesar da dinâmica distinta de substituições, a hipótese da motivação também pode ser extrapolada para o contexto do basquetebol; entretanto, sem dados objetivos para tal, essa interpretação é apenas especulativa.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posição de pivô percorre menores distâncias em todas as zonas de intensidade em comparação aos alas. Esse comportamento corrobora parcialmente outros estudos (Martinho et al., 2025) e pode ser influenciado pelas características antropométricas dos atletas dessa posição (i.e., tipicamente mais altos e pesados) ou também pelas demandas táticas da mesma, com mais ações próximas ao garrafão, sem a necessidade de grandes deslocamentos (Salazar et al., 2020). Curiosamente, ao contrário das distâncias percorridas, pivôs e alas não demonstraram diferenças significativas quanto ao número relativizado de acelerações e desacelerações em nenhuma das zonas de intensidade. Enquanto os armadores apresentaram menor número de acelerações em intensidade moderada e moderada a alta. A literatura não demonstra um padrão consistente quanto à produção das variáveis de carga externa nas diferentes posições. Essa inconsistência pode refletir limitações na análise, por exemplo: instruções táticas específicas da equipe e do treinador que alteram a função da posição em ações de ataque e defesa; atletas que cumprem mais de uma função em jogos distintos ou mesmo em momentos distintos dentro da própria partida (e.g., ala-pivô, ala-armador). Esses aspectos limitam uma compreensão geral do comportamento da carga externa nas posições do basquetebol, mas, por outro lado, os achados do presente estudo reforçam a importância de considerar a posição do atleta na análise das demandas de jogo e no planejamento de treinamentos que preparem os atletas para tais.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aumento da idade também apresenta uma associação negativa com praticamente todas as variáveis de carga externa. A literatura é escassa a respeito desse fator contextual, mas algumas hipóteses podem explicar essa relação. Além de eventuais declínios das capacidades físicas com o avanço da idade, atletas mais velhos são também mais experientes na modalidade e, consequentemente, podem encontrar estratégias distintas de jogo que levem a essa redução nas variáveis de carga externa. Outra possível explicação é que atletas mais velhos tendem a ser também os atletas que jogam por mais tempo e são titulares mais vezes ao longo dos jogos, levando a um padrão semelhante ao que foi discutido anteriormente.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As partidas em casa apresentaram menores valores relativizados de distância total e em todas as zonas de intensidade de aceleração e desaceleração, além de menores valores absolutos de TRIMP. Nossos achados corroboram Fox et al. (2019), que observaram menores valores de carga externa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Player Load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) e interna (PSE sessão) em jogos em casa comparados aos de fora. Os autores atribuem essa distinção a aspectos como a familiaridade com o local e o maior apoio da torcida (Fox et al., 2019). Outra possível explicação para a redução da TRIMP em jogos em casa é o fator ambiental: o ginásio do clube analisado no presente estudo possui climatização artificial, enquanto alguns outros ginásios utilizados no campeonato não possuem. Entretanto, novos estudos devem ser conduzidos para entender essa relação.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diferença no placar impactou apenas as desacelerações em moderada intensidade e a TRIMP, não sendo significante para nenhuma outra variável de carga externa. Nossos achados corroboram Pérez-Chao et al. (2022) que, em uma proposta similar, observou que o resultado da partida completa (vitória e derrota) e a diferença de placar no quarto possui baixa influência sobre o pico das demandas de carga externa no jogo. Enquanto Fox et al. (2019) observaram que jogos com menores diferenças no placar levam a uma resposta superior de métricas de carga interna, como PSE sessão e a soma dos tempos nas zonas de frequência cardíaca.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ALONSO PÉREZ-CHAO, E. et al. Fluctuations in External Peak Demands Across Quarters During Basketball Games.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Frontiers in Physiology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13, p. 868009, abr. 2022.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ALONSO PÉREZ-CHAO, E. et al. Higher Playing Times Accumulated Across Entire Games and Prior to Intense Passages Reduce the Peak Demands Reached by Elite, Junior, Male Basketball Players.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American Journal of Men’s Health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15, n. 5, set./out. 2021.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ALONSO PÉREZ-CHAO, E. et al. Influence of game and quarter results on external peak demands during games in under-18 years, male basketball players.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Biology of Sport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40, n. 2, p. 365-375, abr. 2023.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CARMO, A. A. L. et al. Physical performance in elite male soccer under extreme heat: A case study of the 2025 FIFA Club World Cup. Temperature, [s. l.], v. 13, n. 1, p. 71-87, 2026. Disponível em: https://doi.org/10.1080/23328940.2026.2623745.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FOX, J. L. et al. The Influence of Contextual Factors on Internal and External Game Demands in Elite Women's Basketball.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International Journal of Sports Physiology and Performance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15, n. 4, p. 450-456, out. 2019.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GARCÍA, F. et al. Differences in Physical Demands between Game Quarters and Playing Positions on Professional Basketball Players during Official Competition.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Journal of Sports Science and Medicine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19, n. 2, p. 256-263, maio 2020.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GONÇALVES, L. G. et al. Influence of contextual factors on match running performance of starters and non-starters in elite youth male soccer players. Science Progress, [s. l.], v. 107, n. 2, p. 1-16, abr./jun. 2024. Disponível em: 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https://doi.org/10.1177/00368504241239187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MARTINHO, D. V. et al. Physical, Physiological, Technical and Tactical Responses According to the Playing Position in Male Basketball: A Systematic Scoping Review.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Journal of Human Kinetics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96, p. 5-35, abr. 2025.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SALAZAR, H. et al. Do Elite Basketball Players Maintain Peak External Demands throughout the Entire Game?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24, n. 13, p. 4318, jul. 2024.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SOSA-MARIN, C. et al. External Physical Demands during Official Under-18 Basketball Games: Consideration of Overtime Periods.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Journal of Human Kinetics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94, p. 181-190, jul. 2024.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VÁZQUEZ-GUERRERO, J. et al. Changes in physical demands between game quarters of U18 elite official basketball games.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PLoS ONE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[s. l.], v. 14, n. 9, e0221818, set. 2019.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Fontepargpadro"/>
    <w:uiPriority w:val="22"/>
    <w:qFormat w:val="1"/>
    <w:rsid w:val="00EA4EC4"/>
    <w:rPr>
      <w:b w:val="1"/>
      <w:bCs w:val="1"/>
    </w:rPr>
  </w:style>
  <w:style w:type="character" w:styleId="dtet0b" w:customStyle="1">
    <w:name w:val="dtet0b"/>
    <w:basedOn w:val="Fontepargpadro"/>
    <w:rsid w:val="00046B88"/>
  </w:style>
  <w:style w:type="character" w:styleId="Ttulo3Char" w:customStyle="1">
    <w:name w:val="Título 3 Char"/>
    <w:basedOn w:val="Fontepargpadro"/>
    <w:link w:val="Ttulo3"/>
    <w:uiPriority w:val="9"/>
    <w:rsid w:val="0086295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 w:val="1"/>
    <w:rsid w:val="008629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math-inline" w:customStyle="1">
    <w:name w:val="math-inline"/>
    <w:basedOn w:val="Fontepargpadro"/>
    <w:rsid w:val="00862957"/>
  </w:style>
  <w:style w:type="paragraph" w:styleId="Cabealho">
    <w:name w:val="header"/>
    <w:basedOn w:val="Normal"/>
    <w:link w:val="CabealhoChar"/>
    <w:uiPriority w:val="99"/>
    <w:unhideWhenUsed w:val="1"/>
    <w:rsid w:val="001B50B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B50B6"/>
  </w:style>
  <w:style w:type="paragraph" w:styleId="Rodap">
    <w:name w:val="footer"/>
    <w:basedOn w:val="Normal"/>
    <w:link w:val="RodapChar"/>
    <w:uiPriority w:val="99"/>
    <w:unhideWhenUsed w:val="1"/>
    <w:rsid w:val="001B50B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B50B6"/>
  </w:style>
  <w:style w:type="character" w:styleId="Ttulo1Char" w:customStyle="1">
    <w:name w:val="Título 1 Char"/>
    <w:basedOn w:val="Fontepargpadro"/>
    <w:link w:val="Ttulo1"/>
    <w:uiPriority w:val="9"/>
    <w:rsid w:val="00BB056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yperlink">
    <w:name w:val="Hyperlink"/>
    <w:basedOn w:val="Fontepargpadro"/>
    <w:uiPriority w:val="99"/>
    <w:semiHidden w:val="1"/>
    <w:unhideWhenUsed w:val="1"/>
    <w:rsid w:val="00B134C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Xe4Q1vg5rtEpPR6Cr0C26ORyg==">CgMxLjA4AHIhMV90a18xQ0ZybEFmSGFxbU96UVYxNkRIQjkzdlRBeGUx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2026-02-23T02:09:00Z</dcterms:created>
  <dc:creator>GUILHERME  GUISSO PIZZOL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0x0101001DDAD293ED10CC46A897A20299936E12</vt:lpwstr>
  </property>
</Properties>
</file>