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 w:eastAsia="Times New Roman"/>
          <w:b/>
          <w:color w:val="000000"/>
          <w:sz w:val="32"/>
        </w:rPr>
        <w:t>Design and Verification of a Rigid-Tough Block Copolymer for Enhanced Thermal and Mechanical Performance with Controlled Degradation</w:t>
      </w:r>
    </w:p>
    <w:p>
      <w:pPr>
        <w:pStyle w:val="Heading2"/>
      </w:pPr>
      <w:r>
        <w:rPr>
          <w:rFonts w:ascii="Times New Roman" w:hAnsi="Times New Roman" w:eastAsia="Times New Roman"/>
          <w:b/>
          <w:color w:val="000000"/>
          <w:sz w:val="30"/>
        </w:rPr>
        <w:t>Abstract</w:t>
      </w:r>
    </w:p>
    <w:p>
      <w:pPr>
        <w:spacing w:line="360" w:lineRule="auto"/>
        <w:jc w:val="both"/>
      </w:pPr>
      <w:r>
        <w:rPr>
          <w:rFonts w:ascii="Times New Roman" w:hAnsi="Times New Roman" w:eastAsia="Times New Roman"/>
          <w:color w:val="000000"/>
          <w:sz w:val="24"/>
        </w:rPr>
        <w:t>This study proposes a biodegradable block copolymer architecture combining rigid high-Tg segments with tough elastomeric blocks to simultaneously elevate glass transition temperature (Tg), preserve toughness, and maintain clinically relevant degradation kinetics. The hypothesis posits that microphase-separated domains of poly(L-lactide) (PLLA) and aliphatic polycarbonates (e.g., poly(trimethylene carbonate), PTMC) can synergistically enhance thermomechanical properties while retaining enzymatic degradability. Literature evidence [1, 2, 3, 4] provides indirect mechanistic support for Tg elevation through chain confinement and toughness via rubbery phase energy dissipation, though direct evidence for simultaneous optimization remains limited. Experimental verification will synthesize ABA-type triblock copolymers with systematic variation of PLLA:PTMC ratios (70:30 to 50:50) using ring-opening polymerization. Key readouts include DMA-measured Tg, tensile toughness, and enzymatic degradation at 37°C. Major risks include undesirable miscibility suppressing Tg elevation and accelerated degradation compromising mechanical integrity. Conservative feasibility scoring reflects significant evidence gaps in degradation rate predictability.</w:t>
      </w:r>
    </w:p>
    <w:p>
      <w:pPr>
        <w:pStyle w:val="Heading2"/>
      </w:pPr>
      <w:r>
        <w:rPr>
          <w:rFonts w:ascii="Times New Roman" w:hAnsi="Times New Roman" w:eastAsia="Times New Roman"/>
          <w:b/>
          <w:color w:val="000000"/>
          <w:sz w:val="30"/>
        </w:rPr>
        <w:t>Graphical Repeat-Unit Representation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326370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dea1_Rigid-Tough_Block_Copolymer_repeat_uni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2637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Times New Roman"/>
          <w:i/>
          <w:sz w:val="20"/>
        </w:rPr>
        <w:t>Representative repeat-unit schematic</w:t>
      </w:r>
    </w:p>
    <w:p>
      <w:pPr>
        <w:spacing w:line="360" w:lineRule="auto"/>
        <w:jc w:val="both"/>
      </w:pPr>
      <w:r>
        <w:rPr>
          <w:rFonts w:ascii="Times New Roman" w:hAnsi="Times New Roman" w:eastAsia="Times New Roman"/>
          <w:color w:val="000000"/>
          <w:sz w:val="24"/>
        </w:rPr>
        <w:t>**Figure.** Representative polymer-structure schematic of the PLLA-b-PTMC-b-PLLA block copolymer with rigid poly(L-lactide) blocks and tough poly(trimethylene carbonate) blocks.</w:t>
      </w:r>
    </w:p>
    <w:p>
      <w:pPr>
        <w:spacing w:line="360" w:lineRule="auto"/>
        <w:jc w:val="both"/>
      </w:pPr>
      <w:r>
        <w:rPr>
          <w:rFonts w:ascii="Times New Roman" w:hAnsi="Times New Roman" w:eastAsia="Times New Roman"/>
          <w:color w:val="000000"/>
          <w:sz w:val="24"/>
        </w:rPr>
        <w:t>Structure confidence: high. Architecture: block copolymer. Composition note: ABA triblock with variable PLLA:PTMC ratio. Dictionary/RDKit validation: 1/1 mapped structure(s) validated.</w:t>
      </w:r>
    </w:p>
    <w:p>
      <w:pPr>
        <w:pStyle w:val="Heading2"/>
      </w:pPr>
      <w:r>
        <w:rPr>
          <w:rFonts w:ascii="Times New Roman" w:hAnsi="Times New Roman" w:eastAsia="Times New Roman"/>
          <w:b/>
          <w:color w:val="000000"/>
          <w:sz w:val="30"/>
        </w:rPr>
        <w:t>1. Introduction</w:t>
      </w:r>
    </w:p>
    <w:p>
      <w:pPr>
        <w:pStyle w:val="Heading3"/>
      </w:pPr>
      <w:r>
        <w:rPr>
          <w:rFonts w:ascii="Times New Roman" w:hAnsi="Times New Roman" w:eastAsia="Times New Roman"/>
          <w:b/>
          <w:color w:val="000000"/>
          <w:sz w:val="28"/>
        </w:rPr>
        <w:t>1.1 Scientific Background</w:t>
      </w:r>
    </w:p>
    <w:p>
      <w:pPr>
        <w:spacing w:line="360" w:lineRule="auto"/>
        <w:jc w:val="both"/>
      </w:pPr>
      <w:r>
        <w:rPr>
          <w:rFonts w:ascii="Times New Roman" w:hAnsi="Times New Roman" w:eastAsia="Times New Roman"/>
          <w:color w:val="000000"/>
          <w:sz w:val="24"/>
        </w:rPr>
        <w:t>Biodegradable polymers face inherent trade-offs between thermal stability, mechanical robustness, and degradation kinetics. Poly(lactic acid) derivatives exhibit suitable degradation profiles but suffer from brittleness (elongation &lt;10%) and suboptimal Tg (55-60°C) for many clinical applications [5]. Current toughening strategies—plasticization, blending, or rubber modification—typically depress Tg or accelerate degradation [6], necessitating designs that decouple these properties.</w:t>
      </w:r>
    </w:p>
    <w:p>
      <w:pPr>
        <w:pStyle w:val="Heading3"/>
      </w:pPr>
      <w:r>
        <w:rPr>
          <w:rFonts w:ascii="Times New Roman" w:hAnsi="Times New Roman" w:eastAsia="Times New Roman"/>
          <w:b/>
          <w:color w:val="000000"/>
          <w:sz w:val="28"/>
        </w:rPr>
        <w:t>1.2 Design Hypothesis</w:t>
      </w:r>
    </w:p>
    <w:p>
      <w:pPr>
        <w:spacing w:line="360" w:lineRule="auto"/>
        <w:jc w:val="both"/>
      </w:pPr>
      <w:r>
        <w:rPr>
          <w:rFonts w:ascii="Times New Roman" w:hAnsi="Times New Roman" w:eastAsia="Times New Roman"/>
          <w:color w:val="000000"/>
          <w:sz w:val="24"/>
        </w:rPr>
        <w:t>We hypothesize that precisely sequenced block copolymers with rigid PLLA blocks and soft polycarbonate segments (e.g., PTMC, Tg ≈ -20°C [3]) will yield microphase-separated morphologies where:</w:t>
      </w:r>
    </w:p>
    <w:p>
      <w:pPr>
        <w:spacing w:line="360" w:lineRule="auto"/>
        <w:jc w:val="both"/>
      </w:pPr>
      <w:r>
        <w:rPr>
          <w:rFonts w:ascii="Times New Roman" w:hAnsi="Times New Roman" w:eastAsia="Times New Roman"/>
          <w:color w:val="000000"/>
          <w:sz w:val="24"/>
        </w:rPr>
        <w:t>- Rigid domains elevate overall Tg through chain confinement and reduced mobility [2]</w:t>
      </w:r>
    </w:p>
    <w:p>
      <w:pPr>
        <w:spacing w:line="360" w:lineRule="auto"/>
        <w:jc w:val="both"/>
      </w:pPr>
      <w:r>
        <w:rPr>
          <w:rFonts w:ascii="Times New Roman" w:hAnsi="Times New Roman" w:eastAsia="Times New Roman"/>
          <w:color w:val="000000"/>
          <w:sz w:val="24"/>
        </w:rPr>
        <w:t>- Rubbery domains dissipate energy to preserve toughness [4]</w:t>
      </w:r>
    </w:p>
    <w:p>
      <w:pPr>
        <w:spacing w:line="360" w:lineRule="auto"/>
        <w:jc w:val="both"/>
      </w:pPr>
      <w:r>
        <w:rPr>
          <w:rFonts w:ascii="Times New Roman" w:hAnsi="Times New Roman" w:eastAsia="Times New Roman"/>
          <w:color w:val="000000"/>
          <w:sz w:val="24"/>
        </w:rPr>
        <w:t>- Hydrolytically labile carbonate bonds maintain degradation rates within clinical thresholds</w:t>
      </w:r>
    </w:p>
    <w:p>
      <w:pPr>
        <w:spacing w:line="360" w:lineRule="auto"/>
        <w:jc w:val="both"/>
      </w:pPr>
      <w:r>
        <w:rPr>
          <w:rFonts w:ascii="Times New Roman" w:hAnsi="Times New Roman" w:eastAsia="Times New Roman"/>
          <w:color w:val="000000"/>
          <w:sz w:val="24"/>
        </w:rPr>
        <w:t>This approach leverages the dual benefit of immiscible blocks: thermal enhancement without plasticization-induced Tg suppression.</w:t>
      </w:r>
    </w:p>
    <w:p>
      <w:pPr>
        <w:pStyle w:val="Heading3"/>
      </w:pPr>
      <w:r>
        <w:rPr>
          <w:rFonts w:ascii="Times New Roman" w:hAnsi="Times New Roman" w:eastAsia="Times New Roman"/>
          <w:b/>
          <w:color w:val="000000"/>
          <w:sz w:val="28"/>
        </w:rPr>
        <w:t>1.3 Scope of This Study</w:t>
      </w:r>
    </w:p>
    <w:p>
      <w:pPr>
        <w:spacing w:line="360" w:lineRule="auto"/>
        <w:jc w:val="both"/>
      </w:pPr>
      <w:r>
        <w:rPr>
          <w:rFonts w:ascii="Times New Roman" w:hAnsi="Times New Roman" w:eastAsia="Times New Roman"/>
          <w:color w:val="000000"/>
          <w:sz w:val="24"/>
        </w:rPr>
        <w:t>Direct evidence exists for individual mechanisms: Tg elevation in PLLA-rich blocks [2], toughness enhancement via polycarbonates [4], and enzymatic degradability of similar systems [1]. However, no literature directly reports the *simultaneous* optimization of these properties in one copolymer system. This study will experimentally verify interfacial effects on Tg, toughness degradation trade-offs, and hydrolysis kinetics.</w:t>
      </w:r>
    </w:p>
    <w:p>
      <w:pPr>
        <w:pStyle w:val="Heading2"/>
      </w:pPr>
      <w:r>
        <w:rPr>
          <w:rFonts w:ascii="Times New Roman" w:hAnsi="Times New Roman" w:eastAsia="Times New Roman"/>
          <w:b/>
          <w:color w:val="000000"/>
          <w:sz w:val="30"/>
        </w:rPr>
        <w:t>2. Mechanistic Rationale and Design Hypothesis</w:t>
      </w:r>
    </w:p>
    <w:p>
      <w:pPr>
        <w:pStyle w:val="Heading3"/>
      </w:pPr>
      <w:r>
        <w:rPr>
          <w:rFonts w:ascii="Times New Roman" w:hAnsi="Times New Roman" w:eastAsia="Times New Roman"/>
          <w:b/>
          <w:color w:val="000000"/>
          <w:sz w:val="28"/>
        </w:rPr>
        <w:t>2.1 Mechanistic Basis</w:t>
      </w:r>
    </w:p>
    <w:p>
      <w:pPr>
        <w:spacing w:line="360" w:lineRule="auto"/>
        <w:jc w:val="both"/>
      </w:pPr>
      <w:r>
        <w:rPr>
          <w:rFonts w:ascii="Times New Roman" w:hAnsi="Times New Roman" w:eastAsia="Times New Roman"/>
          <w:color w:val="000000"/>
          <w:sz w:val="24"/>
        </w:rPr>
        <w:t>Literature indicates two key mechanisms:</w:t>
      </w:r>
    </w:p>
    <w:p>
      <w:pPr>
        <w:spacing w:line="360" w:lineRule="auto"/>
        <w:jc w:val="both"/>
      </w:pPr>
      <w:r>
        <w:rPr>
          <w:rFonts w:ascii="Times New Roman" w:hAnsi="Times New Roman" w:eastAsia="Times New Roman"/>
          <w:color w:val="000000"/>
          <w:sz w:val="24"/>
        </w:rPr>
        <w:t>1. **Tg Elevation**: Partial miscibility at block interfaces restricts chain mobility in PLLA domains, increasing Tg beyond homopolymer values (e.g., +5-10°C) [2]. Lamellar morphologies in high-PLLA triblocks further enhance storage modulus [2].</w:t>
      </w:r>
    </w:p>
    <w:p>
      <w:pPr>
        <w:spacing w:line="360" w:lineRule="auto"/>
        <w:jc w:val="both"/>
      </w:pPr>
      <w:r>
        <w:rPr>
          <w:rFonts w:ascii="Times New Roman" w:hAnsi="Times New Roman" w:eastAsia="Times New Roman"/>
          <w:color w:val="000000"/>
          <w:sz w:val="24"/>
        </w:rPr>
        <w:t>2. **Toughness Preservation**: Rubbery polycarbonate blocks (Tg &lt; 0°C) impart energy dissipation through reversible deformation [3, 4]. ABA architectures facilitate network-like behavior at 20-40 wt% soft phase [4].</w:t>
      </w:r>
    </w:p>
    <w:p>
      <w:pPr>
        <w:spacing w:line="360" w:lineRule="auto"/>
        <w:jc w:val="both"/>
      </w:pPr>
      <w:r>
        <w:rPr>
          <w:rFonts w:ascii="Times New Roman" w:hAnsi="Times New Roman" w:eastAsia="Times New Roman"/>
          <w:color w:val="000000"/>
          <w:sz w:val="24"/>
        </w:rPr>
        <w:t>3. **Degradation Control**: Enzymatic cleavage preferentially targets ester/carbonate bonds [1], with rate modulation possible via crystallinity adjustments [7].</w:t>
      </w:r>
    </w:p>
    <w:p>
      <w:pPr>
        <w:pStyle w:val="Heading3"/>
      </w:pPr>
      <w:r>
        <w:rPr>
          <w:rFonts w:ascii="Times New Roman" w:hAnsi="Times New Roman" w:eastAsia="Times New Roman"/>
          <w:b/>
          <w:color w:val="000000"/>
          <w:sz w:val="28"/>
        </w:rPr>
        <w:t>2.2 Evidence-Supported Design Rules</w:t>
      </w:r>
    </w:p>
    <w:p>
      <w:pPr>
        <w:spacing w:line="360" w:lineRule="auto"/>
        <w:jc w:val="both"/>
      </w:pPr>
      <w:r>
        <w:rPr>
          <w:rFonts w:ascii="Times New Roman" w:hAnsi="Times New Roman" w:eastAsia="Times New Roman"/>
          <w:color w:val="000000"/>
          <w:sz w:val="24"/>
        </w:rPr>
        <w:t>| Property          | Key Variables                          | Evidence Support |</w:t>
      </w:r>
    </w:p>
    <w:p>
      <w:pPr>
        <w:spacing w:line="360" w:lineRule="auto"/>
        <w:jc w:val="both"/>
      </w:pPr>
      <w:r>
        <w:rPr>
          <w:rFonts w:ascii="Times New Roman" w:hAnsi="Times New Roman" w:eastAsia="Times New Roman"/>
          <w:color w:val="000000"/>
          <w:sz w:val="24"/>
        </w:rPr>
        <w:t>|-------------------|----------------------------------------|------------------|</w:t>
      </w:r>
    </w:p>
    <w:p>
      <w:pPr>
        <w:spacing w:line="360" w:lineRule="auto"/>
        <w:jc w:val="both"/>
      </w:pPr>
      <w:r>
        <w:rPr>
          <w:rFonts w:ascii="Times New Roman" w:hAnsi="Times New Roman" w:eastAsia="Times New Roman"/>
          <w:color w:val="000000"/>
          <w:sz w:val="24"/>
        </w:rPr>
        <w:t>| Mechanical        | PLLA block length, soft/hard ratio    | Strong [2, 4]     |</w:t>
      </w:r>
    </w:p>
    <w:p>
      <w:pPr>
        <w:spacing w:line="360" w:lineRule="auto"/>
        <w:jc w:val="both"/>
      </w:pPr>
      <w:r>
        <w:rPr>
          <w:rFonts w:ascii="Times New Roman" w:hAnsi="Times New Roman" w:eastAsia="Times New Roman"/>
          <w:color w:val="000000"/>
          <w:sz w:val="24"/>
        </w:rPr>
        <w:t>| Degradation       | Crystallinity, carbonate content      | Moderate [1, 3]   |</w:t>
      </w:r>
    </w:p>
    <w:p>
      <w:pPr>
        <w:spacing w:line="360" w:lineRule="auto"/>
        <w:jc w:val="both"/>
      </w:pPr>
      <w:r>
        <w:rPr>
          <w:rFonts w:ascii="Times New Roman" w:hAnsi="Times New Roman" w:eastAsia="Times New Roman"/>
          <w:color w:val="000000"/>
          <w:sz w:val="24"/>
        </w:rPr>
        <w:t>| Thermal           | Block immiscibility, interfacial area | Strong [2, 8]     |</w:t>
      </w:r>
    </w:p>
    <w:p>
      <w:pPr>
        <w:spacing w:line="360" w:lineRule="auto"/>
        <w:jc w:val="both"/>
      </w:pPr>
      <w:r>
        <w:rPr>
          <w:rFonts w:ascii="Times New Roman" w:hAnsi="Times New Roman" w:eastAsia="Times New Roman"/>
          <w:color w:val="000000"/>
          <w:sz w:val="24"/>
        </w:rPr>
        <w:t>*Biocompatibility evidence is currently insufficient for specific design rules.*</w:t>
      </w:r>
    </w:p>
    <w:p>
      <w:pPr>
        <w:pStyle w:val="Heading3"/>
      </w:pPr>
      <w:r>
        <w:rPr>
          <w:rFonts w:ascii="Times New Roman" w:hAnsi="Times New Roman" w:eastAsia="Times New Roman"/>
          <w:b/>
          <w:color w:val="000000"/>
          <w:sz w:val="28"/>
        </w:rPr>
        <w:t>2.3 Trade-Offs and Constraints</w:t>
      </w:r>
    </w:p>
    <w:p>
      <w:pPr>
        <w:spacing w:line="360" w:lineRule="auto"/>
        <w:jc w:val="both"/>
      </w:pPr>
      <w:r>
        <w:rPr>
          <w:rFonts w:ascii="Times New Roman" w:hAnsi="Times New Roman" w:eastAsia="Times New Roman"/>
          <w:color w:val="000000"/>
          <w:sz w:val="24"/>
        </w:rPr>
        <w:t>Critical trade-offs emerge from evidence:</w:t>
      </w:r>
    </w:p>
    <w:p>
      <w:pPr>
        <w:spacing w:line="360" w:lineRule="auto"/>
        <w:jc w:val="both"/>
      </w:pPr>
      <w:r>
        <w:rPr>
          <w:rFonts w:ascii="Times New Roman" w:hAnsi="Times New Roman" w:eastAsia="Times New Roman"/>
          <w:color w:val="000000"/>
          <w:sz w:val="24"/>
        </w:rPr>
        <w:t>- Increasing PLLA content elevates Tg but reduces elongation (&gt;60% PLLA causes brittle fracture) [2, 5]</w:t>
      </w:r>
    </w:p>
    <w:p>
      <w:pPr>
        <w:spacing w:line="360" w:lineRule="auto"/>
        <w:jc w:val="both"/>
      </w:pPr>
      <w:r>
        <w:rPr>
          <w:rFonts w:ascii="Times New Roman" w:hAnsi="Times New Roman" w:eastAsia="Times New Roman"/>
          <w:color w:val="000000"/>
          <w:sz w:val="24"/>
        </w:rPr>
        <w:t>- Higher carbonate content accelerates hydrolysis but risks premature strength loss [3]</w:t>
      </w:r>
    </w:p>
    <w:p>
      <w:pPr>
        <w:spacing w:line="360" w:lineRule="auto"/>
        <w:jc w:val="both"/>
      </w:pPr>
      <w:r>
        <w:rPr>
          <w:rFonts w:ascii="Times New Roman" w:hAnsi="Times New Roman" w:eastAsia="Times New Roman"/>
          <w:color w:val="000000"/>
          <w:sz w:val="24"/>
        </w:rPr>
        <w:t>- Lamellar morphologies (55% PLLA) optimize stiffness-toughness balance but require precise block length control [2]</w:t>
      </w:r>
    </w:p>
    <w:p>
      <w:pPr>
        <w:spacing w:line="360" w:lineRule="auto"/>
        <w:jc w:val="both"/>
      </w:pPr>
      <w:r>
        <w:rPr>
          <w:rFonts w:ascii="Times New Roman" w:hAnsi="Times New Roman" w:eastAsia="Times New Roman"/>
          <w:color w:val="000000"/>
          <w:sz w:val="24"/>
        </w:rPr>
        <w:t>Clinically acceptable degradation (weeks-months) remains undefined in literature, representing a key uncertainty.</w:t>
      </w:r>
    </w:p>
    <w:p>
      <w:pPr>
        <w:pStyle w:val="Heading2"/>
      </w:pPr>
      <w:r>
        <w:rPr>
          <w:rFonts w:ascii="Times New Roman" w:hAnsi="Times New Roman" w:eastAsia="Times New Roman"/>
          <w:b/>
          <w:color w:val="000000"/>
          <w:sz w:val="30"/>
        </w:rPr>
        <w:t>3. Materials and Methods</w:t>
      </w:r>
    </w:p>
    <w:p>
      <w:pPr>
        <w:pStyle w:val="Heading3"/>
      </w:pPr>
      <w:r>
        <w:rPr>
          <w:rFonts w:ascii="Times New Roman" w:hAnsi="Times New Roman" w:eastAsia="Times New Roman"/>
          <w:b/>
          <w:color w:val="000000"/>
          <w:sz w:val="28"/>
        </w:rPr>
        <w:t>3.1 Material System and Variable Definition</w:t>
      </w:r>
    </w:p>
    <w:p>
      <w:pPr>
        <w:spacing w:line="360" w:lineRule="auto"/>
        <w:jc w:val="both"/>
      </w:pPr>
      <w:r>
        <w:rPr>
          <w:rFonts w:ascii="Times New Roman" w:hAnsi="Times New Roman" w:eastAsia="Times New Roman"/>
          <w:color w:val="000000"/>
          <w:sz w:val="24"/>
        </w:rPr>
        <w:t>- **Base System**: PLLA-b-PTMC-b-PLLA triblock copolymer</w:t>
      </w:r>
    </w:p>
    <w:p>
      <w:pPr>
        <w:spacing w:line="360" w:lineRule="auto"/>
        <w:jc w:val="both"/>
      </w:pPr>
      <w:r>
        <w:rPr>
          <w:rFonts w:ascii="Times New Roman" w:hAnsi="Times New Roman" w:eastAsia="Times New Roman"/>
          <w:color w:val="000000"/>
          <w:sz w:val="24"/>
        </w:rPr>
        <w:t>- **Primary Variables**:</w:t>
      </w:r>
    </w:p>
    <w:p>
      <w:pPr>
        <w:spacing w:line="360" w:lineRule="auto"/>
        <w:jc w:val="both"/>
      </w:pPr>
      <w:r>
        <w:rPr>
          <w:rFonts w:ascii="Times New Roman" w:hAnsi="Times New Roman" w:eastAsia="Times New Roman"/>
          <w:color w:val="000000"/>
          <w:sz w:val="24"/>
        </w:rPr>
        <w:t>- PLLA:PTMC molar ratio (70:30, 60:40, 50:50)</w:t>
      </w:r>
    </w:p>
    <w:p>
      <w:pPr>
        <w:spacing w:line="360" w:lineRule="auto"/>
        <w:jc w:val="both"/>
      </w:pPr>
      <w:r>
        <w:rPr>
          <w:rFonts w:ascii="Times New Roman" w:hAnsi="Times New Roman" w:eastAsia="Times New Roman"/>
          <w:color w:val="000000"/>
          <w:sz w:val="24"/>
        </w:rPr>
        <w:t>- PLLA block length (DPn = 50, 100 - TBD)</w:t>
      </w:r>
    </w:p>
    <w:p>
      <w:pPr>
        <w:spacing w:line="360" w:lineRule="auto"/>
        <w:jc w:val="both"/>
      </w:pPr>
      <w:r>
        <w:rPr>
          <w:rFonts w:ascii="Times New Roman" w:hAnsi="Times New Roman" w:eastAsia="Times New Roman"/>
          <w:color w:val="000000"/>
          <w:sz w:val="24"/>
        </w:rPr>
        <w:t>- **Fixed Parameters**:</w:t>
      </w:r>
    </w:p>
    <w:p>
      <w:pPr>
        <w:spacing w:line="360" w:lineRule="auto"/>
        <w:jc w:val="both"/>
      </w:pPr>
      <w:r>
        <w:rPr>
          <w:rFonts w:ascii="Times New Roman" w:hAnsi="Times New Roman" w:eastAsia="Times New Roman"/>
          <w:color w:val="000000"/>
          <w:sz w:val="24"/>
        </w:rPr>
        <w:t>- PTMC Mn ≈ 10 kDa (Tg ≈ -20°C [3])</w:t>
      </w:r>
    </w:p>
    <w:p>
      <w:pPr>
        <w:spacing w:line="360" w:lineRule="auto"/>
        <w:jc w:val="both"/>
      </w:pPr>
      <w:r>
        <w:rPr>
          <w:rFonts w:ascii="Times New Roman" w:hAnsi="Times New Roman" w:eastAsia="Times New Roman"/>
          <w:color w:val="000000"/>
          <w:sz w:val="24"/>
        </w:rPr>
        <w:t>- Initiator: Benzyl alcohol</w:t>
      </w:r>
    </w:p>
    <w:p>
      <w:pPr>
        <w:spacing w:line="360" w:lineRule="auto"/>
        <w:jc w:val="both"/>
      </w:pPr>
      <w:r>
        <w:rPr>
          <w:rFonts w:ascii="Times New Roman" w:hAnsi="Times New Roman" w:eastAsia="Times New Roman"/>
          <w:color w:val="000000"/>
          <w:sz w:val="24"/>
        </w:rPr>
        <w:t>- **Unknowns Requiring Optimization**:</w:t>
      </w:r>
    </w:p>
    <w:p>
      <w:pPr>
        <w:spacing w:line="360" w:lineRule="auto"/>
        <w:jc w:val="both"/>
      </w:pPr>
      <w:r>
        <w:rPr>
          <w:rFonts w:ascii="Times New Roman" w:hAnsi="Times New Roman" w:eastAsia="Times New Roman"/>
          <w:color w:val="000000"/>
          <w:sz w:val="24"/>
        </w:rPr>
        <w:t>- Catalyst loading for minimal transesterification</w:t>
      </w:r>
    </w:p>
    <w:p>
      <w:pPr>
        <w:spacing w:line="360" w:lineRule="auto"/>
        <w:jc w:val="both"/>
      </w:pPr>
      <w:r>
        <w:rPr>
          <w:rFonts w:ascii="Times New Roman" w:hAnsi="Times New Roman" w:eastAsia="Times New Roman"/>
          <w:color w:val="000000"/>
          <w:sz w:val="24"/>
        </w:rPr>
        <w:t>- Annealing conditions for crystallization control</w:t>
      </w:r>
    </w:p>
    <w:p>
      <w:pPr>
        <w:pStyle w:val="Heading3"/>
      </w:pPr>
      <w:r>
        <w:rPr>
          <w:rFonts w:ascii="Times New Roman" w:hAnsi="Times New Roman" w:eastAsia="Times New Roman"/>
          <w:b/>
          <w:color w:val="000000"/>
          <w:sz w:val="28"/>
        </w:rPr>
        <w:t>3.2 Formulation / Sample Matrix Design</w:t>
      </w:r>
    </w:p>
    <w:p>
      <w:pPr>
        <w:spacing w:line="360" w:lineRule="auto"/>
        <w:jc w:val="both"/>
      </w:pPr>
      <w:r>
        <w:rPr>
          <w:rFonts w:ascii="Times New Roman" w:hAnsi="Times New Roman" w:eastAsia="Times New Roman"/>
          <w:color w:val="000000"/>
          <w:sz w:val="24"/>
        </w:rPr>
        <w:t>| Sample   | PLLA:PTMC | PLLA DPn | PTMC Mn (kDa) | Controls               |</w:t>
      </w:r>
    </w:p>
    <w:p>
      <w:pPr>
        <w:spacing w:line="360" w:lineRule="auto"/>
        <w:jc w:val="both"/>
      </w:pPr>
      <w:r>
        <w:rPr>
          <w:rFonts w:ascii="Times New Roman" w:hAnsi="Times New Roman" w:eastAsia="Times New Roman"/>
          <w:color w:val="000000"/>
          <w:sz w:val="24"/>
        </w:rPr>
        <w:t>|----------|-----------|----------|---------------|------------------------|</w:t>
      </w:r>
    </w:p>
    <w:p>
      <w:pPr>
        <w:spacing w:line="360" w:lineRule="auto"/>
        <w:jc w:val="both"/>
      </w:pPr>
      <w:r>
        <w:rPr>
          <w:rFonts w:ascii="Times New Roman" w:hAnsi="Times New Roman" w:eastAsia="Times New Roman"/>
          <w:color w:val="000000"/>
          <w:sz w:val="24"/>
        </w:rPr>
        <w:t>| PLLA100  | 100:0     | 100      | -             | Homopolymer control    |</w:t>
      </w:r>
    </w:p>
    <w:p>
      <w:pPr>
        <w:spacing w:line="360" w:lineRule="auto"/>
        <w:jc w:val="both"/>
      </w:pPr>
      <w:r>
        <w:rPr>
          <w:rFonts w:ascii="Times New Roman" w:hAnsi="Times New Roman" w:eastAsia="Times New Roman"/>
          <w:color w:val="000000"/>
          <w:sz w:val="24"/>
        </w:rPr>
        <w:t>| TBC70    | 70:30     | 100      | 10            | Primary test group     |</w:t>
      </w:r>
    </w:p>
    <w:p>
      <w:pPr>
        <w:spacing w:line="360" w:lineRule="auto"/>
        <w:jc w:val="both"/>
      </w:pPr>
      <w:r>
        <w:rPr>
          <w:rFonts w:ascii="Times New Roman" w:hAnsi="Times New Roman" w:eastAsia="Times New Roman"/>
          <w:color w:val="000000"/>
          <w:sz w:val="24"/>
        </w:rPr>
        <w:t>| TBC60    | 60:40     | 100      | 10            | Primary test group     |</w:t>
      </w:r>
    </w:p>
    <w:p>
      <w:pPr>
        <w:spacing w:line="360" w:lineRule="auto"/>
        <w:jc w:val="both"/>
      </w:pPr>
      <w:r>
        <w:rPr>
          <w:rFonts w:ascii="Times New Roman" w:hAnsi="Times New Roman" w:eastAsia="Times New Roman"/>
          <w:color w:val="000000"/>
          <w:sz w:val="24"/>
        </w:rPr>
        <w:t>| TBC50    | 50:50     | 100      | 10            | Primary test group     |</w:t>
      </w:r>
    </w:p>
    <w:p>
      <w:pPr>
        <w:spacing w:line="360" w:lineRule="auto"/>
        <w:jc w:val="both"/>
      </w:pPr>
      <w:r>
        <w:rPr>
          <w:rFonts w:ascii="Times New Roman" w:hAnsi="Times New Roman" w:eastAsia="Times New Roman"/>
          <w:color w:val="000000"/>
          <w:sz w:val="24"/>
        </w:rPr>
        <w:t>| PTMC100  | 0:100     | -        | 10            | Soft segment control   |</w:t>
      </w:r>
    </w:p>
    <w:p>
      <w:pPr>
        <w:spacing w:line="360" w:lineRule="auto"/>
        <w:jc w:val="both"/>
      </w:pPr>
      <w:r>
        <w:rPr>
          <w:rFonts w:ascii="Times New Roman" w:hAnsi="Times New Roman" w:eastAsia="Times New Roman"/>
          <w:color w:val="000000"/>
          <w:sz w:val="24"/>
        </w:rPr>
        <w:t>*First-pass DOE varies composition at fixed block length. Second phase will optimize DPn.*</w:t>
      </w:r>
    </w:p>
    <w:p>
      <w:pPr>
        <w:pStyle w:val="Heading3"/>
      </w:pPr>
      <w:r>
        <w:rPr>
          <w:rFonts w:ascii="Times New Roman" w:hAnsi="Times New Roman" w:eastAsia="Times New Roman"/>
          <w:b/>
          <w:color w:val="000000"/>
          <w:sz w:val="28"/>
        </w:rPr>
        <w:t>3.3 Sample Preparation / Fabrication Procedure</w:t>
      </w:r>
    </w:p>
    <w:p>
      <w:pPr>
        <w:spacing w:line="360" w:lineRule="auto"/>
        <w:jc w:val="both"/>
      </w:pPr>
      <w:r>
        <w:rPr>
          <w:rFonts w:ascii="Times New Roman" w:hAnsi="Times New Roman" w:eastAsia="Times New Roman"/>
          <w:color w:val="000000"/>
          <w:sz w:val="24"/>
        </w:rPr>
        <w:t>1. **Synthesis**: Sequential ring-opening polymerization [1, 4]</w:t>
      </w:r>
    </w:p>
    <w:p>
      <w:pPr>
        <w:spacing w:line="360" w:lineRule="auto"/>
        <w:jc w:val="both"/>
      </w:pPr>
      <w:r>
        <w:rPr>
          <w:rFonts w:ascii="Times New Roman" w:hAnsi="Times New Roman" w:eastAsia="Times New Roman"/>
          <w:color w:val="000000"/>
          <w:sz w:val="24"/>
        </w:rPr>
        <w:t>- Step 1: PTMC macroinitiator synthesis from TMC monomer (Sn(Oct)₂ catalyst, 110°C, 24h)</w:t>
      </w:r>
    </w:p>
    <w:p>
      <w:pPr>
        <w:spacing w:line="360" w:lineRule="auto"/>
        <w:jc w:val="both"/>
      </w:pPr>
      <w:r>
        <w:rPr>
          <w:rFonts w:ascii="Times New Roman" w:hAnsi="Times New Roman" w:eastAsia="Times New Roman"/>
          <w:color w:val="000000"/>
          <w:sz w:val="24"/>
        </w:rPr>
        <w:t>- Step 2: L-lactide addition (130°C, 48h) under argon</w:t>
      </w:r>
    </w:p>
    <w:p>
      <w:pPr>
        <w:spacing w:line="360" w:lineRule="auto"/>
        <w:jc w:val="both"/>
      </w:pPr>
      <w:r>
        <w:rPr>
          <w:rFonts w:ascii="Times New Roman" w:hAnsi="Times New Roman" w:eastAsia="Times New Roman"/>
          <w:color w:val="000000"/>
          <w:sz w:val="24"/>
        </w:rPr>
        <w:t>- Step 3: Precipitation in cold methanol, vacuum drying</w:t>
      </w:r>
    </w:p>
    <w:p>
      <w:pPr>
        <w:spacing w:line="360" w:lineRule="auto"/>
        <w:jc w:val="both"/>
      </w:pPr>
      <w:r>
        <w:rPr>
          <w:rFonts w:ascii="Times New Roman" w:hAnsi="Times New Roman" w:eastAsia="Times New Roman"/>
          <w:color w:val="000000"/>
          <w:sz w:val="24"/>
        </w:rPr>
        <w:t>2. **Processing**: Solution casting (chloroform) followed by:</w:t>
      </w:r>
    </w:p>
    <w:p>
      <w:pPr>
        <w:spacing w:line="360" w:lineRule="auto"/>
        <w:jc w:val="both"/>
      </w:pPr>
      <w:r>
        <w:rPr>
          <w:rFonts w:ascii="Times New Roman" w:hAnsi="Times New Roman" w:eastAsia="Times New Roman"/>
          <w:color w:val="000000"/>
          <w:sz w:val="24"/>
        </w:rPr>
        <w:t>- Annealing at 100°C (T &lt; Tm,PLLA) for 1h to standardize crystallinity</w:t>
      </w:r>
    </w:p>
    <w:p>
      <w:pPr>
        <w:spacing w:line="360" w:lineRule="auto"/>
        <w:jc w:val="both"/>
      </w:pPr>
      <w:r>
        <w:rPr>
          <w:rFonts w:ascii="Times New Roman" w:hAnsi="Times New Roman" w:eastAsia="Times New Roman"/>
          <w:color w:val="000000"/>
          <w:sz w:val="24"/>
        </w:rPr>
        <w:t>- Quenching to room temperature</w:t>
      </w:r>
    </w:p>
    <w:p>
      <w:pPr>
        <w:spacing w:line="360" w:lineRule="auto"/>
        <w:jc w:val="both"/>
      </w:pPr>
      <w:r>
        <w:rPr>
          <w:rFonts w:ascii="Times New Roman" w:hAnsi="Times New Roman" w:eastAsia="Times New Roman"/>
          <w:color w:val="000000"/>
          <w:sz w:val="24"/>
        </w:rPr>
        <w:t>*Thermal history standardization critical for Tg comparison [2].*</w:t>
      </w:r>
    </w:p>
    <w:p>
      <w:pPr>
        <w:pStyle w:val="Heading3"/>
      </w:pPr>
      <w:r>
        <w:rPr>
          <w:rFonts w:ascii="Times New Roman" w:hAnsi="Times New Roman" w:eastAsia="Times New Roman"/>
          <w:b/>
          <w:color w:val="000000"/>
          <w:sz w:val="28"/>
        </w:rPr>
        <w:t>3.4 Structural and Physicochemical Characterization</w:t>
      </w:r>
    </w:p>
    <w:p>
      <w:pPr>
        <w:spacing w:line="360" w:lineRule="auto"/>
        <w:jc w:val="both"/>
      </w:pPr>
      <w:r>
        <w:rPr>
          <w:rFonts w:ascii="Times New Roman" w:hAnsi="Times New Roman" w:eastAsia="Times New Roman"/>
          <w:color w:val="000000"/>
          <w:sz w:val="24"/>
        </w:rPr>
        <w:t>- **DSC**: Tg, Tm, crystallinity (10°C/min, N₂ atmosphere)</w:t>
      </w:r>
    </w:p>
    <w:p>
      <w:pPr>
        <w:spacing w:line="360" w:lineRule="auto"/>
        <w:jc w:val="both"/>
      </w:pPr>
      <w:r>
        <w:rPr>
          <w:rFonts w:ascii="Times New Roman" w:hAnsi="Times New Roman" w:eastAsia="Times New Roman"/>
          <w:color w:val="000000"/>
          <w:sz w:val="24"/>
        </w:rPr>
        <w:t>- **GPC**: Mn, Đ (vs. polystyrene standards)</w:t>
      </w:r>
    </w:p>
    <w:p>
      <w:pPr>
        <w:spacing w:line="360" w:lineRule="auto"/>
        <w:jc w:val="both"/>
      </w:pPr>
      <w:r>
        <w:rPr>
          <w:rFonts w:ascii="Times New Roman" w:hAnsi="Times New Roman" w:eastAsia="Times New Roman"/>
          <w:color w:val="000000"/>
          <w:sz w:val="24"/>
        </w:rPr>
        <w:t>- **SAXS/WAXS**: Phase separation distance, crystallite size [2]</w:t>
      </w:r>
    </w:p>
    <w:p>
      <w:pPr>
        <w:spacing w:line="360" w:lineRule="auto"/>
        <w:jc w:val="both"/>
      </w:pPr>
      <w:r>
        <w:rPr>
          <w:rFonts w:ascii="Times New Roman" w:hAnsi="Times New Roman" w:eastAsia="Times New Roman"/>
          <w:color w:val="000000"/>
          <w:sz w:val="24"/>
        </w:rPr>
        <w:t>- **ATR-FTIR**: Ester/carbonate bond quantification</w:t>
      </w:r>
    </w:p>
    <w:p>
      <w:pPr>
        <w:spacing w:line="360" w:lineRule="auto"/>
        <w:jc w:val="both"/>
      </w:pPr>
      <w:r>
        <w:rPr>
          <w:rFonts w:ascii="Times New Roman" w:hAnsi="Times New Roman" w:eastAsia="Times New Roman"/>
          <w:color w:val="000000"/>
          <w:sz w:val="24"/>
        </w:rPr>
        <w:t>*SAXS essential for verifying microphase separation critical to mechanism [2].*</w:t>
      </w:r>
    </w:p>
    <w:p>
      <w:pPr>
        <w:pStyle w:val="Heading3"/>
      </w:pPr>
      <w:r>
        <w:rPr>
          <w:rFonts w:ascii="Times New Roman" w:hAnsi="Times New Roman" w:eastAsia="Times New Roman"/>
          <w:b/>
          <w:color w:val="000000"/>
          <w:sz w:val="28"/>
        </w:rPr>
        <w:t>3.5 Mechanical Testing Protocol</w:t>
      </w:r>
    </w:p>
    <w:p>
      <w:pPr>
        <w:spacing w:line="360" w:lineRule="auto"/>
        <w:jc w:val="both"/>
      </w:pPr>
      <w:r>
        <w:rPr>
          <w:rFonts w:ascii="Times New Roman" w:hAnsi="Times New Roman" w:eastAsia="Times New Roman"/>
          <w:color w:val="000000"/>
          <w:sz w:val="24"/>
        </w:rPr>
        <w:t>- **Tensile Testing** (ASTM D638, dry state):</w:t>
      </w:r>
    </w:p>
    <w:p>
      <w:pPr>
        <w:spacing w:line="360" w:lineRule="auto"/>
        <w:jc w:val="both"/>
      </w:pPr>
      <w:r>
        <w:rPr>
          <w:rFonts w:ascii="Times New Roman" w:hAnsi="Times New Roman" w:eastAsia="Times New Roman"/>
          <w:color w:val="000000"/>
          <w:sz w:val="24"/>
        </w:rPr>
        <w:t>- Young's modulus, tensile strength, elongation at break</w:t>
      </w:r>
    </w:p>
    <w:p>
      <w:pPr>
        <w:spacing w:line="360" w:lineRule="auto"/>
        <w:jc w:val="both"/>
      </w:pPr>
      <w:r>
        <w:rPr>
          <w:rFonts w:ascii="Times New Roman" w:hAnsi="Times New Roman" w:eastAsia="Times New Roman"/>
          <w:color w:val="000000"/>
          <w:sz w:val="24"/>
        </w:rPr>
        <w:t>- Toughness calculation from stress-strain integral</w:t>
      </w:r>
    </w:p>
    <w:p>
      <w:pPr>
        <w:spacing w:line="360" w:lineRule="auto"/>
        <w:jc w:val="both"/>
      </w:pPr>
      <w:r>
        <w:rPr>
          <w:rFonts w:ascii="Times New Roman" w:hAnsi="Times New Roman" w:eastAsia="Times New Roman"/>
          <w:color w:val="000000"/>
          <w:sz w:val="24"/>
        </w:rPr>
        <w:t>- **Control Comparisons**:</w:t>
      </w:r>
    </w:p>
    <w:p>
      <w:pPr>
        <w:spacing w:line="360" w:lineRule="auto"/>
        <w:jc w:val="both"/>
      </w:pPr>
      <w:r>
        <w:rPr>
          <w:rFonts w:ascii="Times New Roman" w:hAnsi="Times New Roman" w:eastAsia="Times New Roman"/>
          <w:color w:val="000000"/>
          <w:sz w:val="24"/>
        </w:rPr>
        <w:t>- TBC vs. PLLA100 (brittleness baseline)</w:t>
      </w:r>
    </w:p>
    <w:p>
      <w:pPr>
        <w:spacing w:line="360" w:lineRule="auto"/>
        <w:jc w:val="both"/>
      </w:pPr>
      <w:r>
        <w:rPr>
          <w:rFonts w:ascii="Times New Roman" w:hAnsi="Times New Roman" w:eastAsia="Times New Roman"/>
          <w:color w:val="000000"/>
          <w:sz w:val="24"/>
        </w:rPr>
        <w:t>- TBC vs. PTMC100 (elasticity baseline)</w:t>
      </w:r>
    </w:p>
    <w:p>
      <w:pPr>
        <w:spacing w:line="360" w:lineRule="auto"/>
        <w:jc w:val="both"/>
      </w:pPr>
      <w:r>
        <w:rPr>
          <w:rFonts w:ascii="Times New Roman" w:hAnsi="Times New Roman" w:eastAsia="Times New Roman"/>
          <w:color w:val="000000"/>
          <w:sz w:val="24"/>
        </w:rPr>
        <w:t>- **Failure Analysis**: SEM of fracture surfaces</w:t>
      </w:r>
    </w:p>
    <w:p>
      <w:pPr>
        <w:spacing w:line="360" w:lineRule="auto"/>
        <w:jc w:val="both"/>
      </w:pPr>
      <w:r>
        <w:rPr>
          <w:rFonts w:ascii="Times New Roman" w:hAnsi="Times New Roman" w:eastAsia="Times New Roman"/>
          <w:color w:val="000000"/>
          <w:sz w:val="24"/>
        </w:rPr>
        <w:t>*Prioritize dry-state testing to isolate intrinsic properties before degradation.*</w:t>
      </w:r>
    </w:p>
    <w:p>
      <w:pPr>
        <w:pStyle w:val="Heading3"/>
      </w:pPr>
      <w:r>
        <w:rPr>
          <w:rFonts w:ascii="Times New Roman" w:hAnsi="Times New Roman" w:eastAsia="Times New Roman"/>
          <w:b/>
          <w:color w:val="000000"/>
          <w:sz w:val="28"/>
        </w:rPr>
        <w:t>3.6 Degradation Evaluation Protocol</w:t>
      </w:r>
    </w:p>
    <w:p>
      <w:pPr>
        <w:spacing w:line="360" w:lineRule="auto"/>
        <w:jc w:val="both"/>
      </w:pPr>
      <w:r>
        <w:rPr>
          <w:rFonts w:ascii="Times New Roman" w:hAnsi="Times New Roman" w:eastAsia="Times New Roman"/>
          <w:color w:val="000000"/>
          <w:sz w:val="24"/>
        </w:rPr>
        <w:t>- **Conditions**: PBS + Proteinase K (10 μg/mL, 37°C) [1]</w:t>
      </w:r>
    </w:p>
    <w:p>
      <w:pPr>
        <w:spacing w:line="360" w:lineRule="auto"/>
        <w:jc w:val="both"/>
      </w:pPr>
      <w:r>
        <w:rPr>
          <w:rFonts w:ascii="Times New Roman" w:hAnsi="Times New Roman" w:eastAsia="Times New Roman"/>
          <w:color w:val="000000"/>
          <w:sz w:val="24"/>
        </w:rPr>
        <w:t>- **Monitoring**:</w:t>
      </w:r>
    </w:p>
    <w:p>
      <w:pPr>
        <w:spacing w:line="360" w:lineRule="auto"/>
        <w:jc w:val="both"/>
      </w:pPr>
      <w:r>
        <w:rPr>
          <w:rFonts w:ascii="Times New Roman" w:hAnsi="Times New Roman" w:eastAsia="Times New Roman"/>
          <w:color w:val="000000"/>
          <w:sz w:val="24"/>
        </w:rPr>
        <w:t>- Mass loss weekly (8 weeks)</w:t>
      </w:r>
    </w:p>
    <w:p>
      <w:pPr>
        <w:spacing w:line="360" w:lineRule="auto"/>
        <w:jc w:val="both"/>
      </w:pPr>
      <w:r>
        <w:rPr>
          <w:rFonts w:ascii="Times New Roman" w:hAnsi="Times New Roman" w:eastAsia="Times New Roman"/>
          <w:color w:val="000000"/>
          <w:sz w:val="24"/>
        </w:rPr>
        <w:t>- GPC every 14 days (molecular weight decline)</w:t>
      </w:r>
    </w:p>
    <w:p>
      <w:pPr>
        <w:spacing w:line="360" w:lineRule="auto"/>
        <w:jc w:val="both"/>
      </w:pPr>
      <w:r>
        <w:rPr>
          <w:rFonts w:ascii="Times New Roman" w:hAnsi="Times New Roman" w:eastAsia="Times New Roman"/>
          <w:color w:val="000000"/>
          <w:sz w:val="24"/>
        </w:rPr>
        <w:t>- Correlate mechanical retention (tensile tests at t=0,4,8 weeks)</w:t>
      </w:r>
    </w:p>
    <w:p>
      <w:pPr>
        <w:spacing w:line="360" w:lineRule="auto"/>
        <w:jc w:val="both"/>
      </w:pPr>
      <w:r>
        <w:rPr>
          <w:rFonts w:ascii="Times New Roman" w:hAnsi="Times New Roman" w:eastAsia="Times New Roman"/>
          <w:color w:val="000000"/>
          <w:sz w:val="24"/>
        </w:rPr>
        <w:t>- **Accelerated Testing**: 50°C for preliminary screening</w:t>
      </w:r>
    </w:p>
    <w:p>
      <w:pPr>
        <w:spacing w:line="360" w:lineRule="auto"/>
        <w:jc w:val="both"/>
      </w:pPr>
      <w:r>
        <w:rPr>
          <w:rFonts w:ascii="Times New Roman" w:hAnsi="Times New Roman" w:eastAsia="Times New Roman"/>
          <w:color w:val="000000"/>
          <w:sz w:val="24"/>
        </w:rPr>
        <w:t>*Enzymatic degradation preferred over hydrolytic for clinical relevance [1].*</w:t>
      </w:r>
    </w:p>
    <w:p>
      <w:pPr>
        <w:pStyle w:val="Heading3"/>
      </w:pPr>
      <w:r>
        <w:rPr>
          <w:rFonts w:ascii="Times New Roman" w:hAnsi="Times New Roman" w:eastAsia="Times New Roman"/>
          <w:b/>
          <w:color w:val="000000"/>
          <w:sz w:val="28"/>
        </w:rPr>
        <w:t>3.7 Biocompatibility / Biofunction Evaluation</w:t>
      </w:r>
    </w:p>
    <w:p>
      <w:pPr>
        <w:spacing w:line="360" w:lineRule="auto"/>
        <w:jc w:val="both"/>
      </w:pPr>
      <w:r>
        <w:rPr>
          <w:rFonts w:ascii="Times New Roman" w:hAnsi="Times New Roman" w:eastAsia="Times New Roman"/>
          <w:color w:val="000000"/>
          <w:sz w:val="24"/>
        </w:rPr>
        <w:t>*Provisional protocol due to limited evidence:*</w:t>
      </w:r>
    </w:p>
    <w:p>
      <w:pPr>
        <w:spacing w:line="360" w:lineRule="auto"/>
        <w:jc w:val="both"/>
      </w:pPr>
      <w:r>
        <w:rPr>
          <w:rFonts w:ascii="Times New Roman" w:hAnsi="Times New Roman" w:eastAsia="Times New Roman"/>
          <w:color w:val="000000"/>
          <w:sz w:val="24"/>
        </w:rPr>
        <w:t>- Cytotoxicity screening (ISO 10993-5) with L929 fibroblasts</w:t>
      </w:r>
    </w:p>
    <w:p>
      <w:pPr>
        <w:spacing w:line="360" w:lineRule="auto"/>
        <w:jc w:val="both"/>
      </w:pPr>
      <w:r>
        <w:rPr>
          <w:rFonts w:ascii="Times New Roman" w:hAnsi="Times New Roman" w:eastAsia="Times New Roman"/>
          <w:color w:val="000000"/>
          <w:sz w:val="24"/>
        </w:rPr>
        <w:t>- pH monitoring during degradation to assess autocatalysis risk</w:t>
      </w:r>
    </w:p>
    <w:p>
      <w:pPr>
        <w:pStyle w:val="Heading3"/>
      </w:pPr>
      <w:r>
        <w:rPr>
          <w:rFonts w:ascii="Times New Roman" w:hAnsi="Times New Roman" w:eastAsia="Times New Roman"/>
          <w:b/>
          <w:color w:val="000000"/>
          <w:sz w:val="28"/>
        </w:rPr>
        <w:t>3.8 Controls, Decision Criteria, and Statistical Comparison</w:t>
      </w:r>
    </w:p>
    <w:p>
      <w:pPr>
        <w:spacing w:line="360" w:lineRule="auto"/>
        <w:jc w:val="both"/>
      </w:pPr>
      <w:r>
        <w:rPr>
          <w:rFonts w:ascii="Times New Roman" w:hAnsi="Times New Roman" w:eastAsia="Times New Roman"/>
          <w:color w:val="000000"/>
          <w:sz w:val="24"/>
        </w:rPr>
        <w:t>- **Success Criteria**:</w:t>
      </w:r>
    </w:p>
    <w:p>
      <w:pPr>
        <w:spacing w:line="360" w:lineRule="auto"/>
        <w:jc w:val="both"/>
      </w:pPr>
      <w:r>
        <w:rPr>
          <w:rFonts w:ascii="Times New Roman" w:hAnsi="Times New Roman" w:eastAsia="Times New Roman"/>
          <w:color w:val="000000"/>
          <w:sz w:val="24"/>
        </w:rPr>
        <w:t>- Tg ≥ 65°C (ΔTg ≥ +5°C vs. PLLA100)</w:t>
      </w:r>
    </w:p>
    <w:p>
      <w:pPr>
        <w:spacing w:line="360" w:lineRule="auto"/>
        <w:jc w:val="both"/>
      </w:pPr>
      <w:r>
        <w:rPr>
          <w:rFonts w:ascii="Times New Roman" w:hAnsi="Times New Roman" w:eastAsia="Times New Roman"/>
          <w:color w:val="000000"/>
          <w:sz w:val="24"/>
        </w:rPr>
        <w:t>- Toughness ≥ 50 MJ/m³ (2× PLLA100)</w:t>
      </w:r>
    </w:p>
    <w:p>
      <w:pPr>
        <w:spacing w:line="360" w:lineRule="auto"/>
        <w:jc w:val="both"/>
      </w:pPr>
      <w:r>
        <w:rPr>
          <w:rFonts w:ascii="Times New Roman" w:hAnsi="Times New Roman" w:eastAsia="Times New Roman"/>
          <w:color w:val="000000"/>
          <w:sz w:val="24"/>
        </w:rPr>
        <w:t>- &lt;30% mass loss at 4 weeks (enzymatic)</w:t>
      </w:r>
    </w:p>
    <w:p>
      <w:pPr>
        <w:spacing w:line="360" w:lineRule="auto"/>
        <w:jc w:val="both"/>
      </w:pPr>
      <w:r>
        <w:rPr>
          <w:rFonts w:ascii="Times New Roman" w:hAnsi="Times New Roman" w:eastAsia="Times New Roman"/>
          <w:color w:val="000000"/>
          <w:sz w:val="24"/>
        </w:rPr>
        <w:t>- **Statistical Design**:</w:t>
      </w:r>
    </w:p>
    <w:p>
      <w:pPr>
        <w:spacing w:line="360" w:lineRule="auto"/>
        <w:jc w:val="both"/>
      </w:pPr>
      <w:r>
        <w:rPr>
          <w:rFonts w:ascii="Times New Roman" w:hAnsi="Times New Roman" w:eastAsia="Times New Roman"/>
          <w:color w:val="000000"/>
          <w:sz w:val="24"/>
        </w:rPr>
        <w:t>- n=5 for mechanical tests, n=3 for degradation</w:t>
      </w:r>
    </w:p>
    <w:p>
      <w:pPr>
        <w:spacing w:line="360" w:lineRule="auto"/>
        <w:jc w:val="both"/>
      </w:pPr>
      <w:r>
        <w:rPr>
          <w:rFonts w:ascii="Times New Roman" w:hAnsi="Times New Roman" w:eastAsia="Times New Roman"/>
          <w:color w:val="000000"/>
          <w:sz w:val="24"/>
        </w:rPr>
        <w:t>- ANOVA with Tukey post-hoc (α=0.05) for composition effects</w:t>
      </w:r>
    </w:p>
    <w:p>
      <w:pPr>
        <w:spacing w:line="360" w:lineRule="auto"/>
        <w:jc w:val="both"/>
      </w:pPr>
      <w:r>
        <w:rPr>
          <w:rFonts w:ascii="Times New Roman" w:hAnsi="Times New Roman" w:eastAsia="Times New Roman"/>
          <w:color w:val="000000"/>
          <w:sz w:val="24"/>
        </w:rPr>
        <w:t>- **Termination Thresholds**:</w:t>
      </w:r>
    </w:p>
    <w:p>
      <w:pPr>
        <w:spacing w:line="360" w:lineRule="auto"/>
        <w:jc w:val="both"/>
      </w:pPr>
      <w:r>
        <w:rPr>
          <w:rFonts w:ascii="Times New Roman" w:hAnsi="Times New Roman" w:eastAsia="Times New Roman"/>
          <w:color w:val="000000"/>
          <w:sz w:val="24"/>
        </w:rPr>
        <w:t>- Phase separation absence (SAXS)</w:t>
      </w:r>
    </w:p>
    <w:p>
      <w:pPr>
        <w:spacing w:line="360" w:lineRule="auto"/>
        <w:jc w:val="both"/>
      </w:pPr>
      <w:r>
        <w:rPr>
          <w:rFonts w:ascii="Times New Roman" w:hAnsi="Times New Roman" w:eastAsia="Times New Roman"/>
          <w:color w:val="000000"/>
          <w:sz w:val="24"/>
        </w:rPr>
        <w:t>|Tg elevation| &lt; 2°C</w:t>
      </w:r>
    </w:p>
    <w:p>
      <w:pPr>
        <w:pStyle w:val="Heading2"/>
      </w:pPr>
      <w:r>
        <w:rPr>
          <w:rFonts w:ascii="Times New Roman" w:hAnsi="Times New Roman" w:eastAsia="Times New Roman"/>
          <w:b/>
          <w:color w:val="000000"/>
          <w:sz w:val="30"/>
        </w:rPr>
        <w:t>4. Results and Evidence-Based Discussion</w:t>
      </w:r>
    </w:p>
    <w:p>
      <w:pPr>
        <w:pStyle w:val="Heading3"/>
      </w:pPr>
      <w:r>
        <w:rPr>
          <w:rFonts w:ascii="Times New Roman" w:hAnsi="Times New Roman" w:eastAsia="Times New Roman"/>
          <w:b/>
          <w:color w:val="000000"/>
          <w:sz w:val="28"/>
        </w:rPr>
        <w:t>4.1 Directly Supported Expectations</w:t>
      </w:r>
    </w:p>
    <w:p>
      <w:pPr>
        <w:spacing w:line="360" w:lineRule="auto"/>
        <w:jc w:val="both"/>
      </w:pPr>
      <w:r>
        <w:rPr>
          <w:rFonts w:ascii="Times New Roman" w:hAnsi="Times New Roman" w:eastAsia="Times New Roman"/>
          <w:color w:val="000000"/>
          <w:sz w:val="24"/>
        </w:rPr>
        <w:t>- Tg elevation of 5-10°C expected in TBC70/60 via PLLA chain confinement [2]</w:t>
      </w:r>
    </w:p>
    <w:p>
      <w:pPr>
        <w:spacing w:line="360" w:lineRule="auto"/>
        <w:jc w:val="both"/>
      </w:pPr>
      <w:r>
        <w:rPr>
          <w:rFonts w:ascii="Times New Roman" w:hAnsi="Times New Roman" w:eastAsia="Times New Roman"/>
          <w:color w:val="000000"/>
          <w:sz w:val="24"/>
        </w:rPr>
        <w:t>- Toughness enhancement (200-300% elongation) anticipated at 40-50% PTMC content [4]</w:t>
      </w:r>
    </w:p>
    <w:p>
      <w:pPr>
        <w:spacing w:line="360" w:lineRule="auto"/>
        <w:jc w:val="both"/>
      </w:pPr>
      <w:r>
        <w:rPr>
          <w:rFonts w:ascii="Times New Roman" w:hAnsi="Times New Roman" w:eastAsia="Times New Roman"/>
          <w:color w:val="000000"/>
          <w:sz w:val="24"/>
        </w:rPr>
        <w:t>- Enzymatic degradation within weeks confirmed for similar systems [1]</w:t>
      </w:r>
    </w:p>
    <w:p>
      <w:pPr>
        <w:pStyle w:val="Heading3"/>
      </w:pPr>
      <w:r>
        <w:rPr>
          <w:rFonts w:ascii="Times New Roman" w:hAnsi="Times New Roman" w:eastAsia="Times New Roman"/>
          <w:b/>
          <w:color w:val="000000"/>
          <w:sz w:val="28"/>
        </w:rPr>
        <w:t>4.2 Mechanistically Inferred Expectations</w:t>
      </w:r>
    </w:p>
    <w:p>
      <w:pPr>
        <w:spacing w:line="360" w:lineRule="auto"/>
        <w:jc w:val="both"/>
      </w:pPr>
      <w:r>
        <w:rPr>
          <w:rFonts w:ascii="Times New Roman" w:hAnsi="Times New Roman" w:eastAsia="Times New Roman"/>
          <w:color w:val="000000"/>
          <w:sz w:val="24"/>
        </w:rPr>
        <w:t>- Optimal balance at ≈60:40 ratio: Lamellar morphology may provide simultaneous Tg elevation and toughness [2, 4]</w:t>
      </w:r>
    </w:p>
    <w:p>
      <w:pPr>
        <w:spacing w:line="360" w:lineRule="auto"/>
        <w:jc w:val="both"/>
      </w:pPr>
      <w:r>
        <w:rPr>
          <w:rFonts w:ascii="Times New Roman" w:hAnsi="Times New Roman" w:eastAsia="Times New Roman"/>
          <w:color w:val="000000"/>
          <w:sz w:val="24"/>
        </w:rPr>
        <w:t>- Degradation rate acceleration with increasing carbonate content [3], though kinetics remain unpredictable</w:t>
      </w:r>
    </w:p>
    <w:p>
      <w:pPr>
        <w:spacing w:line="360" w:lineRule="auto"/>
        <w:jc w:val="both"/>
      </w:pPr>
      <w:r>
        <w:rPr>
          <w:rFonts w:ascii="Times New Roman" w:hAnsi="Times New Roman" w:eastAsia="Times New Roman"/>
          <w:color w:val="000000"/>
          <w:sz w:val="24"/>
        </w:rPr>
        <w:t>- Possible reduction in crystallinity at high PTMC fractions affecting degradation homogeneity</w:t>
      </w:r>
    </w:p>
    <w:p>
      <w:pPr>
        <w:pStyle w:val="Heading3"/>
      </w:pPr>
      <w:r>
        <w:rPr>
          <w:rFonts w:ascii="Times New Roman" w:hAnsi="Times New Roman" w:eastAsia="Times New Roman"/>
          <w:b/>
          <w:color w:val="000000"/>
          <w:sz w:val="28"/>
        </w:rPr>
        <w:t>4.3 Evidence Gaps and Uncertainty</w:t>
      </w:r>
    </w:p>
    <w:p>
      <w:pPr>
        <w:spacing w:line="360" w:lineRule="auto"/>
        <w:jc w:val="both"/>
      </w:pPr>
      <w:r>
        <w:rPr>
          <w:rFonts w:ascii="Times New Roman" w:hAnsi="Times New Roman" w:eastAsia="Times New Roman"/>
          <w:color w:val="000000"/>
          <w:sz w:val="24"/>
        </w:rPr>
        <w:t>- **Critical Gaps**:</w:t>
      </w:r>
    </w:p>
    <w:p>
      <w:pPr>
        <w:spacing w:line="360" w:lineRule="auto"/>
        <w:jc w:val="both"/>
      </w:pPr>
      <w:r>
        <w:rPr>
          <w:rFonts w:ascii="Times New Roman" w:hAnsi="Times New Roman" w:eastAsia="Times New Roman"/>
          <w:color w:val="000000"/>
          <w:sz w:val="24"/>
        </w:rPr>
        <w:t>- No data on *simultaneous* Tg/toughness/degradation optimization</w:t>
      </w:r>
    </w:p>
    <w:p>
      <w:pPr>
        <w:spacing w:line="360" w:lineRule="auto"/>
        <w:jc w:val="both"/>
      </w:pPr>
      <w:r>
        <w:rPr>
          <w:rFonts w:ascii="Times New Roman" w:hAnsi="Times New Roman" w:eastAsia="Times New Roman"/>
          <w:color w:val="000000"/>
          <w:sz w:val="24"/>
        </w:rPr>
        <w:t>- Clinically acceptable degradation rate undefined</w:t>
      </w:r>
    </w:p>
    <w:p>
      <w:pPr>
        <w:spacing w:line="360" w:lineRule="auto"/>
        <w:jc w:val="both"/>
      </w:pPr>
      <w:r>
        <w:rPr>
          <w:rFonts w:ascii="Times New Roman" w:hAnsi="Times New Roman" w:eastAsia="Times New Roman"/>
          <w:color w:val="000000"/>
          <w:sz w:val="24"/>
        </w:rPr>
        <w:t>- Bulk erosion vs. surface erosion behavior unknown</w:t>
      </w:r>
    </w:p>
    <w:p>
      <w:pPr>
        <w:spacing w:line="360" w:lineRule="auto"/>
        <w:jc w:val="both"/>
      </w:pPr>
      <w:r>
        <w:rPr>
          <w:rFonts w:ascii="Times New Roman" w:hAnsi="Times New Roman" w:eastAsia="Times New Roman"/>
          <w:color w:val="000000"/>
          <w:sz w:val="24"/>
        </w:rPr>
        <w:t>- Long-term (&gt;8 week) mechanical retention unreported</w:t>
      </w:r>
    </w:p>
    <w:p>
      <w:pPr>
        <w:spacing w:line="360" w:lineRule="auto"/>
        <w:jc w:val="both"/>
      </w:pPr>
      <w:r>
        <w:rPr>
          <w:rFonts w:ascii="Times New Roman" w:hAnsi="Times New Roman" w:eastAsia="Times New Roman"/>
          <w:color w:val="000000"/>
          <w:sz w:val="24"/>
        </w:rPr>
        <w:t>- **Uncertainties**:</w:t>
      </w:r>
    </w:p>
    <w:p>
      <w:pPr>
        <w:spacing w:line="360" w:lineRule="auto"/>
        <w:jc w:val="both"/>
      </w:pPr>
      <w:r>
        <w:rPr>
          <w:rFonts w:ascii="Times New Roman" w:hAnsi="Times New Roman" w:eastAsia="Times New Roman"/>
          <w:color w:val="000000"/>
          <w:sz w:val="24"/>
        </w:rPr>
        <w:t>|Parameter       | Confidence |</w:t>
      </w:r>
    </w:p>
    <w:p>
      <w:pPr>
        <w:spacing w:line="360" w:lineRule="auto"/>
        <w:jc w:val="both"/>
      </w:pPr>
      <w:r>
        <w:rPr>
          <w:rFonts w:ascii="Times New Roman" w:hAnsi="Times New Roman" w:eastAsia="Times New Roman"/>
          <w:color w:val="000000"/>
          <w:sz w:val="24"/>
        </w:rPr>
        <w:t>|----------------|------------|</w:t>
      </w:r>
    </w:p>
    <w:p>
      <w:pPr>
        <w:spacing w:line="360" w:lineRule="auto"/>
        <w:jc w:val="both"/>
      </w:pPr>
      <w:r>
        <w:rPr>
          <w:rFonts w:ascii="Times New Roman" w:hAnsi="Times New Roman" w:eastAsia="Times New Roman"/>
          <w:color w:val="000000"/>
          <w:sz w:val="24"/>
        </w:rPr>
        <w:t>|Tg elevation    | Medium [2] |</w:t>
      </w:r>
    </w:p>
    <w:p>
      <w:pPr>
        <w:spacing w:line="360" w:lineRule="auto"/>
        <w:jc w:val="both"/>
      </w:pPr>
      <w:r>
        <w:rPr>
          <w:rFonts w:ascii="Times New Roman" w:hAnsi="Times New Roman" w:eastAsia="Times New Roman"/>
          <w:color w:val="000000"/>
          <w:sz w:val="24"/>
        </w:rPr>
        <w:t>|Toughness       | High [4]   |</w:t>
      </w:r>
    </w:p>
    <w:p>
      <w:pPr>
        <w:spacing w:line="360" w:lineRule="auto"/>
        <w:jc w:val="both"/>
      </w:pPr>
      <w:r>
        <w:rPr>
          <w:rFonts w:ascii="Times New Roman" w:hAnsi="Times New Roman" w:eastAsia="Times New Roman"/>
          <w:color w:val="000000"/>
          <w:sz w:val="24"/>
        </w:rPr>
        <w:t>|Degradation rate| Low [1, 3]  |</w:t>
      </w:r>
    </w:p>
    <w:p>
      <w:pPr>
        <w:pStyle w:val="Heading3"/>
      </w:pPr>
      <w:r>
        <w:rPr>
          <w:rFonts w:ascii="Times New Roman" w:hAnsi="Times New Roman" w:eastAsia="Times New Roman"/>
          <w:b/>
          <w:color w:val="000000"/>
          <w:sz w:val="28"/>
        </w:rPr>
        <w:t>4.4 Comparison with Prior Systems</w:t>
      </w:r>
    </w:p>
    <w:p>
      <w:pPr>
        <w:spacing w:line="360" w:lineRule="auto"/>
        <w:jc w:val="both"/>
      </w:pPr>
      <w:r>
        <w:rPr>
          <w:rFonts w:ascii="Times New Roman" w:hAnsi="Times New Roman" w:eastAsia="Times New Roman"/>
          <w:color w:val="000000"/>
          <w:sz w:val="24"/>
        </w:rPr>
        <w:t>Compared to plasticized PLA (Tg depression inevitable [6]) or rubber-toughened blends (strength loss [4]), this block copolymer approach offers superior thermomechanical control. However, it lacks the degradation predictability of homogeneous systems like PCL [3].</w:t>
      </w:r>
    </w:p>
    <w:p>
      <w:pPr>
        <w:pStyle w:val="Heading2"/>
      </w:pPr>
      <w:r>
        <w:rPr>
          <w:rFonts w:ascii="Times New Roman" w:hAnsi="Times New Roman" w:eastAsia="Times New Roman"/>
          <w:b/>
          <w:color w:val="000000"/>
          <w:sz w:val="30"/>
        </w:rPr>
        <w:t>5. Risk Analysis and Optimization Path</w:t>
      </w:r>
    </w:p>
    <w:p>
      <w:pPr>
        <w:pStyle w:val="Heading3"/>
      </w:pPr>
      <w:r>
        <w:rPr>
          <w:rFonts w:ascii="Times New Roman" w:hAnsi="Times New Roman" w:eastAsia="Times New Roman"/>
          <w:b/>
          <w:color w:val="000000"/>
          <w:sz w:val="28"/>
        </w:rPr>
        <w:t>5.1 Major Failure Modes</w:t>
      </w:r>
    </w:p>
    <w:p>
      <w:pPr>
        <w:spacing w:line="360" w:lineRule="auto"/>
        <w:jc w:val="both"/>
      </w:pPr>
      <w:r>
        <w:rPr>
          <w:rFonts w:ascii="Times New Roman" w:hAnsi="Times New Roman" w:eastAsia="Times New Roman"/>
          <w:color w:val="000000"/>
          <w:sz w:val="24"/>
        </w:rPr>
        <w:t>1. **Phase mixing**: Eliminates Tg elevation mechanism (SAXS screening critical)</w:t>
      </w:r>
    </w:p>
    <w:p>
      <w:pPr>
        <w:spacing w:line="360" w:lineRule="auto"/>
        <w:jc w:val="both"/>
      </w:pPr>
      <w:r>
        <w:rPr>
          <w:rFonts w:ascii="Times New Roman" w:hAnsi="Times New Roman" w:eastAsia="Times New Roman"/>
          <w:color w:val="000000"/>
          <w:sz w:val="24"/>
        </w:rPr>
        <w:t>2. **Premature embrittlement**: Degradation-induced crystallinity changes</w:t>
      </w:r>
    </w:p>
    <w:p>
      <w:pPr>
        <w:spacing w:line="360" w:lineRule="auto"/>
        <w:jc w:val="both"/>
      </w:pPr>
      <w:r>
        <w:rPr>
          <w:rFonts w:ascii="Times New Roman" w:hAnsi="Times New Roman" w:eastAsia="Times New Roman"/>
          <w:color w:val="000000"/>
          <w:sz w:val="24"/>
        </w:rPr>
        <w:t>3. **Acidic byproduct accumulation**: Local pH drop accelerating autocatalysis</w:t>
      </w:r>
    </w:p>
    <w:p>
      <w:pPr>
        <w:pStyle w:val="Heading3"/>
      </w:pPr>
      <w:r>
        <w:rPr>
          <w:rFonts w:ascii="Times New Roman" w:hAnsi="Times New Roman" w:eastAsia="Times New Roman"/>
          <w:b/>
          <w:color w:val="000000"/>
          <w:sz w:val="28"/>
        </w:rPr>
        <w:t>5.2 Optimization Pathway</w:t>
      </w:r>
    </w:p>
    <w:p>
      <w:pPr>
        <w:spacing w:line="360" w:lineRule="auto"/>
        <w:jc w:val="both"/>
      </w:pPr>
      <w:r>
        <w:rPr>
          <w:rFonts w:ascii="Times New Roman" w:hAnsi="Times New Roman" w:eastAsia="Times New Roman"/>
          <w:color w:val="000000"/>
          <w:sz w:val="24"/>
        </w:rPr>
        <w:t>- **Degradation too fast**: Reduce carbonate content; increase crystallinity via annealing</w:t>
      </w:r>
    </w:p>
    <w:p>
      <w:pPr>
        <w:spacing w:line="360" w:lineRule="auto"/>
        <w:jc w:val="both"/>
      </w:pPr>
      <w:r>
        <w:rPr>
          <w:rFonts w:ascii="Times New Roman" w:hAnsi="Times New Roman" w:eastAsia="Times New Roman"/>
          <w:color w:val="000000"/>
          <w:sz w:val="24"/>
        </w:rPr>
        <w:t>- **Tg too low**: Increase PLLA block length; enhance immiscibility with stereocomplexation</w:t>
      </w:r>
    </w:p>
    <w:p>
      <w:pPr>
        <w:spacing w:line="360" w:lineRule="auto"/>
        <w:jc w:val="both"/>
      </w:pPr>
      <w:r>
        <w:rPr>
          <w:rFonts w:ascii="Times New Roman" w:hAnsi="Times New Roman" w:eastAsia="Times New Roman"/>
          <w:color w:val="000000"/>
          <w:sz w:val="24"/>
        </w:rPr>
        <w:t>- **Toughness low**: Adjust soft block molecular weight; introduce gradient interfaces</w:t>
      </w:r>
    </w:p>
    <w:p>
      <w:pPr>
        <w:spacing w:line="360" w:lineRule="auto"/>
        <w:jc w:val="both"/>
      </w:pPr>
      <w:r>
        <w:rPr>
          <w:rFonts w:ascii="Times New Roman" w:hAnsi="Times New Roman" w:eastAsia="Times New Roman"/>
          <w:color w:val="000000"/>
          <w:sz w:val="24"/>
        </w:rPr>
        <w:t>- **Wet-state failure**: Hydrophobic surface modification; crystallinity optimization</w:t>
      </w:r>
    </w:p>
    <w:p>
      <w:pPr>
        <w:pStyle w:val="Heading2"/>
      </w:pPr>
      <w:r>
        <w:rPr>
          <w:rFonts w:ascii="Times New Roman" w:hAnsi="Times New Roman" w:eastAsia="Times New Roman"/>
          <w:b/>
          <w:color w:val="000000"/>
          <w:sz w:val="30"/>
        </w:rPr>
        <w:t>6. Conclusion</w:t>
      </w:r>
    </w:p>
    <w:p>
      <w:pPr>
        <w:spacing w:line="360" w:lineRule="auto"/>
        <w:jc w:val="both"/>
      </w:pPr>
      <w:r>
        <w:rPr>
          <w:rFonts w:ascii="Times New Roman" w:hAnsi="Times New Roman" w:eastAsia="Times New Roman"/>
          <w:color w:val="000000"/>
          <w:sz w:val="24"/>
        </w:rPr>
        <w:t>The rigid-tough block copolymer concept demonstrates moderate feasibility based on fragmentary mechanistic evidence. While literature strongly supports individual property enhancements [2, 4], simultaneous optimization of Tg, toughness, and degradation remains experimentally unverified. The proposed ABA triblock architecture warrants validation given its potential to overcome plasticization trade-offs. Highest risk lies in degradation rate control, necessitating enzymatic kinetics as the critical first experiment. Recommended next step: Synthesis and SAXS/DMA verification of TBC60 as the highest-potential composition.</w:t>
      </w:r>
    </w:p>
    <w:p>
      <w:pPr>
        <w:pStyle w:val="Heading2"/>
      </w:pPr>
      <w:r>
        <w:rPr>
          <w:rFonts w:ascii="Times New Roman" w:hAnsi="Times New Roman" w:eastAsia="Times New Roman"/>
          <w:b/>
          <w:color w:val="000000"/>
          <w:sz w:val="30"/>
        </w:rPr>
        <w:t>8. References</w:t>
      </w:r>
    </w:p>
    <w:p>
      <w:pPr>
        <w:spacing w:line="360" w:lineRule="auto"/>
        <w:jc w:val="both"/>
      </w:pPr>
      <w:r>
        <w:rPr>
          <w:rFonts w:ascii="Times New Roman" w:hAnsi="Times New Roman" w:eastAsia="Times New Roman"/>
          <w:color w:val="000000"/>
          <w:sz w:val="24"/>
        </w:rPr>
        <w:t>- [1] 101039_d5gc02301g</w:t>
      </w:r>
    </w:p>
    <w:p>
      <w:pPr>
        <w:spacing w:line="360" w:lineRule="auto"/>
        <w:jc w:val="both"/>
      </w:pPr>
      <w:r>
        <w:rPr>
          <w:rFonts w:ascii="Times New Roman" w:hAnsi="Times New Roman" w:eastAsia="Times New Roman"/>
          <w:color w:val="000000"/>
          <w:sz w:val="24"/>
        </w:rPr>
        <w:t>- [2] 101016_jpolymer201707014</w:t>
      </w:r>
    </w:p>
    <w:p>
      <w:pPr>
        <w:spacing w:line="360" w:lineRule="auto"/>
        <w:jc w:val="both"/>
      </w:pPr>
      <w:r>
        <w:rPr>
          <w:rFonts w:ascii="Times New Roman" w:hAnsi="Times New Roman" w:eastAsia="Times New Roman"/>
          <w:color w:val="000000"/>
          <w:sz w:val="24"/>
        </w:rPr>
        <w:t>- [3] 101002_app37932</w:t>
      </w:r>
    </w:p>
    <w:p>
      <w:pPr>
        <w:spacing w:line="360" w:lineRule="auto"/>
        <w:jc w:val="both"/>
      </w:pPr>
      <w:r>
        <w:rPr>
          <w:rFonts w:ascii="Times New Roman" w:hAnsi="Times New Roman" w:eastAsia="Times New Roman"/>
          <w:color w:val="000000"/>
          <w:sz w:val="24"/>
        </w:rPr>
        <w:t>- [4] 101002_pi5723</w:t>
      </w:r>
    </w:p>
    <w:p>
      <w:pPr>
        <w:spacing w:line="360" w:lineRule="auto"/>
        <w:jc w:val="both"/>
      </w:pPr>
      <w:r>
        <w:rPr>
          <w:rFonts w:ascii="Times New Roman" w:hAnsi="Times New Roman" w:eastAsia="Times New Roman"/>
          <w:color w:val="000000"/>
          <w:sz w:val="24"/>
        </w:rPr>
        <w:t>- [5] 101007_s10965-022-02914-w</w:t>
      </w:r>
    </w:p>
    <w:p>
      <w:pPr>
        <w:spacing w:line="360" w:lineRule="auto"/>
        <w:jc w:val="both"/>
      </w:pPr>
      <w:r>
        <w:rPr>
          <w:rFonts w:ascii="Times New Roman" w:hAnsi="Times New Roman" w:eastAsia="Times New Roman"/>
          <w:color w:val="000000"/>
          <w:sz w:val="24"/>
        </w:rPr>
        <w:t>- [6] 101002_marc202100619</w:t>
      </w:r>
    </w:p>
    <w:p>
      <w:pPr>
        <w:spacing w:line="360" w:lineRule="auto"/>
        <w:jc w:val="both"/>
      </w:pPr>
      <w:r>
        <w:rPr>
          <w:rFonts w:ascii="Times New Roman" w:hAnsi="Times New Roman" w:eastAsia="Times New Roman"/>
          <w:color w:val="000000"/>
          <w:sz w:val="24"/>
        </w:rPr>
        <w:t>- [7] 101016_jpolymer2024127235</w:t>
      </w:r>
    </w:p>
    <w:p>
      <w:pPr>
        <w:spacing w:line="360" w:lineRule="auto"/>
        <w:jc w:val="both"/>
      </w:pPr>
      <w:r>
        <w:rPr>
          <w:rFonts w:ascii="Times New Roman" w:hAnsi="Times New Roman" w:eastAsia="Times New Roman"/>
          <w:color w:val="000000"/>
          <w:sz w:val="24"/>
        </w:rPr>
        <w:t>- [8] 101007_s00289-023-04928-w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