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color w:val="000000"/>
          <w:sz w:val="32"/>
        </w:rPr>
        <w:t>Design of a Dynamic Covalent Network Elastomer for Enhanced Thermal Stability and Toughness with Controlled Degradation</w:t>
      </w:r>
    </w:p>
    <w:p>
      <w:pPr>
        <w:pStyle w:val="Heading2"/>
      </w:pPr>
      <w:r>
        <w:rPr>
          <w:rFonts w:ascii="Times New Roman" w:hAnsi="Times New Roman" w:eastAsia="Times New Roman"/>
          <w:b/>
          <w:color w:val="000000"/>
          <w:sz w:val="30"/>
        </w:rPr>
        <w:t>Abstract</w:t>
      </w:r>
    </w:p>
    <w:p>
      <w:pPr>
        <w:spacing w:line="360" w:lineRule="auto"/>
        <w:jc w:val="both"/>
      </w:pPr>
      <w:r>
        <w:rPr>
          <w:rFonts w:ascii="Times New Roman" w:hAnsi="Times New Roman" w:eastAsia="Times New Roman"/>
          <w:color w:val="000000"/>
          <w:sz w:val="24"/>
        </w:rPr>
        <w:t>This study proposes a dynamic covalent network (DCN) elastomer based on star-shaped poly(ethylene glycol)-poly(lactic acid) (PEG-PLA) copolymers crosslinked via imine or urea bonds. The hypothesis posits that the star topology enables high molecular weight pre-polymers to form dynamic networks, balancing glass transition temperature (Tg), toughness, and degradation rate. Literature evidence supports the feasibility of imine/urea-based DCNs for tunable mechanical properties [1, 2] and hydrolytic degradation [3, 4], though direct evidence linking crosslink density to degradation kinetics remains sparse. A two-phase experimental plan is proposed: (1) synthesize star PEG-PLA with varying aldehyde/amine ratios and crosslink densities, and (2) characterize thermal, mechanical, and degradation profiles. Key risks include phase separation during crosslinking and accelerated degradation under physiological conditions. Preliminary evidence suggests this design offers a promising route to clinically viable biodegradable elastomers, pending validation of degradation-property retention coupling.</w:t>
      </w:r>
    </w:p>
    <w:p>
      <w:pPr>
        <w:pStyle w:val="Heading2"/>
      </w:pPr>
      <w:r>
        <w:rPr>
          <w:rFonts w:ascii="Times New Roman" w:hAnsi="Times New Roman" w:eastAsia="Times New Roman"/>
          <w:b/>
          <w:color w:val="000000"/>
          <w:sz w:val="30"/>
        </w:rPr>
        <w:t>Graphical Repeat-Unit Representation</w:t>
      </w:r>
    </w:p>
    <w:p>
      <w:pPr>
        <w:jc w:val="center"/>
      </w:pPr>
      <w:r>
        <w:drawing>
          <wp:inline xmlns:a="http://schemas.openxmlformats.org/drawingml/2006/main" xmlns:pic="http://schemas.openxmlformats.org/drawingml/2006/picture">
            <wp:extent cx="5303520" cy="3263705"/>
            <wp:docPr id="1" name="Picture 1"/>
            <wp:cNvGraphicFramePr>
              <a:graphicFrameLocks noChangeAspect="1"/>
            </wp:cNvGraphicFramePr>
            <a:graphic>
              <a:graphicData uri="http://schemas.openxmlformats.org/drawingml/2006/picture">
                <pic:pic>
                  <pic:nvPicPr>
                    <pic:cNvPr id="0" name="idea3_Dynamic_Covalent_Network_Elastomer_repeat_unit.png"/>
                    <pic:cNvPicPr/>
                  </pic:nvPicPr>
                  <pic:blipFill>
                    <a:blip r:embed="rId9"/>
                    <a:stretch>
                      <a:fillRect/>
                    </a:stretch>
                  </pic:blipFill>
                  <pic:spPr>
                    <a:xfrm>
                      <a:off x="0" y="0"/>
                      <a:ext cx="5303520" cy="3263705"/>
                    </a:xfrm>
                    <a:prstGeom prst="rect"/>
                  </pic:spPr>
                </pic:pic>
              </a:graphicData>
            </a:graphic>
          </wp:inline>
        </w:drawing>
      </w:r>
    </w:p>
    <w:p>
      <w:pPr>
        <w:jc w:val="center"/>
      </w:pPr>
      <w:r>
        <w:rPr>
          <w:rFonts w:ascii="Times New Roman" w:hAnsi="Times New Roman" w:eastAsia="Times New Roman"/>
          <w:i/>
          <w:sz w:val="20"/>
        </w:rPr>
        <w:t>Representative repeat-unit schematic</w:t>
      </w:r>
    </w:p>
    <w:p>
      <w:pPr>
        <w:spacing w:line="360" w:lineRule="auto"/>
        <w:jc w:val="both"/>
      </w:pPr>
      <w:r>
        <w:rPr>
          <w:rFonts w:ascii="Times New Roman" w:hAnsi="Times New Roman" w:eastAsia="Times New Roman"/>
          <w:color w:val="000000"/>
          <w:sz w:val="24"/>
        </w:rPr>
        <w:t>**Figure.** Representative polymer-structure schematic of a star-shaped PEG-PLA block copolymer crosslinked via dynamic covalent bonds (imine or urea) forming a network.</w:t>
      </w:r>
    </w:p>
    <w:p>
      <w:pPr>
        <w:spacing w:line="360" w:lineRule="auto"/>
        <w:jc w:val="both"/>
      </w:pPr>
      <w:r>
        <w:rPr>
          <w:rFonts w:ascii="Times New Roman" w:hAnsi="Times New Roman" w:eastAsia="Times New Roman"/>
          <w:color w:val="000000"/>
          <w:sz w:val="24"/>
        </w:rPr>
        <w:t>Structure confidence: high. Architecture: network. Composition note: 4-arm star block copolymer, PLA:PEG ratio TBD. Dictionary/RDKit validation: 1/1 mapped structure(s) validated.</w:t>
      </w:r>
    </w:p>
    <w:p>
      <w:pPr>
        <w:pStyle w:val="Heading2"/>
      </w:pPr>
      <w:r>
        <w:rPr>
          <w:rFonts w:ascii="Times New Roman" w:hAnsi="Times New Roman" w:eastAsia="Times New Roman"/>
          <w:b/>
          <w:color w:val="000000"/>
          <w:sz w:val="30"/>
        </w:rPr>
        <w:t>1. Introduction</w:t>
      </w:r>
    </w:p>
    <w:p>
      <w:pPr>
        <w:pStyle w:val="Heading3"/>
      </w:pPr>
      <w:r>
        <w:rPr>
          <w:rFonts w:ascii="Times New Roman" w:hAnsi="Times New Roman" w:eastAsia="Times New Roman"/>
          <w:b/>
          <w:color w:val="000000"/>
          <w:sz w:val="28"/>
        </w:rPr>
        <w:t>1.1 Scientific Background</w:t>
      </w:r>
    </w:p>
    <w:p>
      <w:pPr>
        <w:spacing w:line="360" w:lineRule="auto"/>
        <w:jc w:val="both"/>
      </w:pPr>
      <w:r>
        <w:rPr>
          <w:rFonts w:ascii="Times New Roman" w:hAnsi="Times New Roman" w:eastAsia="Times New Roman"/>
          <w:color w:val="000000"/>
          <w:sz w:val="24"/>
        </w:rPr>
        <w:t>Biodegradable elastomers face a critical challenge in balancing high Tg, toughness, and controlled degradation. Conventional polyesters like PLA suffer from brittleness and slow degradation, while low-Tg elastomers lack thermal stability [5, 6]. Dynamic covalent chemistry offers a pathway to reconcile these properties through reversible crosslinks.</w:t>
      </w:r>
    </w:p>
    <w:p>
      <w:pPr>
        <w:pStyle w:val="Heading3"/>
      </w:pPr>
      <w:r>
        <w:rPr>
          <w:rFonts w:ascii="Times New Roman" w:hAnsi="Times New Roman" w:eastAsia="Times New Roman"/>
          <w:b/>
          <w:color w:val="000000"/>
          <w:sz w:val="28"/>
        </w:rPr>
        <w:t>1.2 Design Hypothesis</w:t>
      </w:r>
    </w:p>
    <w:p>
      <w:pPr>
        <w:spacing w:line="360" w:lineRule="auto"/>
        <w:jc w:val="both"/>
      </w:pPr>
      <w:r>
        <w:rPr>
          <w:rFonts w:ascii="Times New Roman" w:hAnsi="Times New Roman" w:eastAsia="Times New Roman"/>
          <w:color w:val="000000"/>
          <w:sz w:val="24"/>
        </w:rPr>
        <w:t>The proposed DCN elastomer utilizes star-shaped PEG-PLA copolymers functionalized with dynamic imine/urea bonds. The star topology enhances crosslinking efficiency, while dynamic bonds enable network reconfiguration to dissipate energy (toughness) and hydrolyze controllably. This approach is hypothesized to decouple Tg elevation from degradation rate acceleration.</w:t>
      </w:r>
    </w:p>
    <w:p>
      <w:pPr>
        <w:pStyle w:val="Heading3"/>
      </w:pPr>
      <w:r>
        <w:rPr>
          <w:rFonts w:ascii="Times New Roman" w:hAnsi="Times New Roman" w:eastAsia="Times New Roman"/>
          <w:b/>
          <w:color w:val="000000"/>
          <w:sz w:val="28"/>
        </w:rPr>
        <w:t>1.3 Scope of This Study</w:t>
      </w:r>
    </w:p>
    <w:p>
      <w:pPr>
        <w:spacing w:line="360" w:lineRule="auto"/>
        <w:jc w:val="both"/>
      </w:pPr>
      <w:r>
        <w:rPr>
          <w:rFonts w:ascii="Times New Roman" w:hAnsi="Times New Roman" w:eastAsia="Times New Roman"/>
          <w:color w:val="000000"/>
          <w:sz w:val="24"/>
        </w:rPr>
        <w:t>Direct evidence supports the use of star polymers for crosslinking [1] and dynamic bonds for toughness [2], but the degradation kinetics of imine networks in hydrophobic matrices remain unvalidated. This study will experimentally test the interplay between crosslink density, Tg, and hydrolytic stability.</w:t>
      </w:r>
    </w:p>
    <w:p>
      <w:pPr>
        <w:pStyle w:val="Heading2"/>
      </w:pPr>
      <w:r>
        <w:rPr>
          <w:rFonts w:ascii="Times New Roman" w:hAnsi="Times New Roman" w:eastAsia="Times New Roman"/>
          <w:b/>
          <w:color w:val="000000"/>
          <w:sz w:val="30"/>
        </w:rPr>
        <w:t>2. Mechanistic Rationale and Design Hypothesis</w:t>
      </w:r>
    </w:p>
    <w:p>
      <w:pPr>
        <w:pStyle w:val="Heading3"/>
      </w:pPr>
      <w:r>
        <w:rPr>
          <w:rFonts w:ascii="Times New Roman" w:hAnsi="Times New Roman" w:eastAsia="Times New Roman"/>
          <w:b/>
          <w:color w:val="000000"/>
          <w:sz w:val="28"/>
        </w:rPr>
        <w:t>2.1 Mechanistic Basis</w:t>
      </w:r>
    </w:p>
    <w:p>
      <w:pPr>
        <w:spacing w:line="360" w:lineRule="auto"/>
        <w:jc w:val="both"/>
      </w:pPr>
      <w:r>
        <w:rPr>
          <w:rFonts w:ascii="Times New Roman" w:hAnsi="Times New Roman" w:eastAsia="Times New Roman"/>
          <w:color w:val="000000"/>
          <w:sz w:val="24"/>
        </w:rPr>
        <w:t>Star-shaped PEG-PLA increases functional group density, enabling efficient dynamic crosslinking without sacrificing processability [1]. Imine bonds provide reversible linkages that dissipate energy under stress [2], while urea bonds enhance hydrogen bonding for microphase separation and toughness [2]. Hydrolytic degradation is governed by ester (PLA) and dynamic bond cleavage, with degradation rate modulated by copolymer hydrophilicity (PEG content) [4].</w:t>
      </w:r>
    </w:p>
    <w:p>
      <w:pPr>
        <w:pStyle w:val="Heading3"/>
      </w:pPr>
      <w:r>
        <w:rPr>
          <w:rFonts w:ascii="Times New Roman" w:hAnsi="Times New Roman" w:eastAsia="Times New Roman"/>
          <w:b/>
          <w:color w:val="000000"/>
          <w:sz w:val="28"/>
        </w:rPr>
        <w:t>2.2 Evidence-Supported Design Rules</w:t>
      </w:r>
    </w:p>
    <w:p>
      <w:pPr>
        <w:spacing w:line="360" w:lineRule="auto"/>
        <w:jc w:val="both"/>
      </w:pPr>
      <w:r>
        <w:rPr>
          <w:rFonts w:ascii="Times New Roman" w:hAnsi="Times New Roman" w:eastAsia="Times New Roman"/>
          <w:color w:val="000000"/>
          <w:sz w:val="24"/>
        </w:rPr>
        <w:t>- **Mechanical properties**: Crosslink density (controlled by star arm number) directly impacts toughness and Tg [1, 2].</w:t>
      </w:r>
    </w:p>
    <w:p>
      <w:pPr>
        <w:spacing w:line="360" w:lineRule="auto"/>
        <w:jc w:val="both"/>
      </w:pPr>
      <w:r>
        <w:rPr>
          <w:rFonts w:ascii="Times New Roman" w:hAnsi="Times New Roman" w:eastAsia="Times New Roman"/>
          <w:color w:val="000000"/>
          <w:sz w:val="24"/>
        </w:rPr>
        <w:t>- **Degradation behavior**: PLA content and PEG hydrophilicity accelerate hydrolysis [3, 4], but dynamic bond stability may delay mass loss [1].</w:t>
      </w:r>
    </w:p>
    <w:p>
      <w:pPr>
        <w:spacing w:line="360" w:lineRule="auto"/>
        <w:jc w:val="both"/>
      </w:pPr>
      <w:r>
        <w:rPr>
          <w:rFonts w:ascii="Times New Roman" w:hAnsi="Times New Roman" w:eastAsia="Times New Roman"/>
          <w:color w:val="000000"/>
          <w:sz w:val="24"/>
        </w:rPr>
        <w:t>- **Unresolved**: Effect of imine vs. urea chemistry on degradation rate remains unclear.</w:t>
      </w:r>
    </w:p>
    <w:p>
      <w:pPr>
        <w:pStyle w:val="Heading3"/>
      </w:pPr>
      <w:r>
        <w:rPr>
          <w:rFonts w:ascii="Times New Roman" w:hAnsi="Times New Roman" w:eastAsia="Times New Roman"/>
          <w:b/>
          <w:color w:val="000000"/>
          <w:sz w:val="28"/>
        </w:rPr>
        <w:t>2.3 Trade-Offs and Constraints</w:t>
      </w:r>
    </w:p>
    <w:p>
      <w:pPr>
        <w:spacing w:line="360" w:lineRule="auto"/>
        <w:jc w:val="both"/>
      </w:pPr>
      <w:r>
        <w:rPr>
          <w:rFonts w:ascii="Times New Roman" w:hAnsi="Times New Roman" w:eastAsia="Times New Roman"/>
          <w:color w:val="000000"/>
          <w:sz w:val="24"/>
        </w:rPr>
        <w:t>Increasing PEG content improves hydrophilicity (accelerating degradation) but may reduce Tg. Higher crosslink density elevates Tg and stiffness at the expense of elongation [2, 7]. Microphase separation in urea-based systems could decouple toughness from degradation [2].</w:t>
      </w:r>
    </w:p>
    <w:p>
      <w:pPr>
        <w:pStyle w:val="Heading2"/>
      </w:pPr>
      <w:r>
        <w:rPr>
          <w:rFonts w:ascii="Times New Roman" w:hAnsi="Times New Roman" w:eastAsia="Times New Roman"/>
          <w:b/>
          <w:color w:val="000000"/>
          <w:sz w:val="30"/>
        </w:rPr>
        <w:t>3. Materials and Methods</w:t>
      </w:r>
    </w:p>
    <w:p>
      <w:pPr>
        <w:pStyle w:val="Heading3"/>
      </w:pPr>
      <w:r>
        <w:rPr>
          <w:rFonts w:ascii="Times New Roman" w:hAnsi="Times New Roman" w:eastAsia="Times New Roman"/>
          <w:b/>
          <w:color w:val="000000"/>
          <w:sz w:val="28"/>
        </w:rPr>
        <w:t>3.1 Material System and Variable Definition</w:t>
      </w:r>
    </w:p>
    <w:p>
      <w:pPr>
        <w:spacing w:line="360" w:lineRule="auto"/>
        <w:jc w:val="both"/>
      </w:pPr>
      <w:r>
        <w:rPr>
          <w:rFonts w:ascii="Times New Roman" w:hAnsi="Times New Roman" w:eastAsia="Times New Roman"/>
          <w:color w:val="000000"/>
          <w:sz w:val="24"/>
        </w:rPr>
        <w:t>- **Core system**: 4-arm star PEG-PLA (Mn,PEG = 2kDa, PLA:PEG molar ratio = 70:30 baseline).</w:t>
      </w:r>
    </w:p>
    <w:p>
      <w:pPr>
        <w:spacing w:line="360" w:lineRule="auto"/>
        <w:jc w:val="both"/>
      </w:pPr>
      <w:r>
        <w:rPr>
          <w:rFonts w:ascii="Times New Roman" w:hAnsi="Times New Roman" w:eastAsia="Times New Roman"/>
          <w:color w:val="000000"/>
          <w:sz w:val="24"/>
        </w:rPr>
        <w:t>- **Variables**:</w:t>
      </w:r>
    </w:p>
    <w:p>
      <w:pPr>
        <w:spacing w:line="360" w:lineRule="auto"/>
        <w:jc w:val="both"/>
      </w:pPr>
      <w:r>
        <w:rPr>
          <w:rFonts w:ascii="Times New Roman" w:hAnsi="Times New Roman" w:eastAsia="Times New Roman"/>
          <w:color w:val="000000"/>
          <w:sz w:val="24"/>
        </w:rPr>
        <w:t>- Crosslinker type: imine (aldehyde:amine = 1:1) vs. urea (diisocyanate:amine = 1:1).</w:t>
      </w:r>
    </w:p>
    <w:p>
      <w:pPr>
        <w:spacing w:line="360" w:lineRule="auto"/>
        <w:jc w:val="both"/>
      </w:pPr>
      <w:r>
        <w:rPr>
          <w:rFonts w:ascii="Times New Roman" w:hAnsi="Times New Roman" w:eastAsia="Times New Roman"/>
          <w:color w:val="000000"/>
          <w:sz w:val="24"/>
        </w:rPr>
        <w:t>- Crosslink density: 50%, 75%, 100% stoichiometric equivalence.</w:t>
      </w:r>
    </w:p>
    <w:p>
      <w:pPr>
        <w:spacing w:line="360" w:lineRule="auto"/>
        <w:jc w:val="both"/>
      </w:pPr>
      <w:r>
        <w:rPr>
          <w:rFonts w:ascii="Times New Roman" w:hAnsi="Times New Roman" w:eastAsia="Times New Roman"/>
          <w:color w:val="000000"/>
          <w:sz w:val="24"/>
        </w:rPr>
        <w:t>- **Controls**: Linear PEG-PLA copolymer, non-dynamic crosslinked PLA.</w:t>
      </w:r>
    </w:p>
    <w:p>
      <w:pPr>
        <w:pStyle w:val="Heading3"/>
      </w:pPr>
      <w:r>
        <w:rPr>
          <w:rFonts w:ascii="Times New Roman" w:hAnsi="Times New Roman" w:eastAsia="Times New Roman"/>
          <w:b/>
          <w:color w:val="000000"/>
          <w:sz w:val="28"/>
        </w:rPr>
        <w:t>3.2 Formulation / Sample Matrix Design</w:t>
      </w:r>
    </w:p>
    <w:p>
      <w:pPr>
        <w:spacing w:line="360" w:lineRule="auto"/>
        <w:jc w:val="both"/>
      </w:pPr>
      <w:r>
        <w:rPr>
          <w:rFonts w:ascii="Times New Roman" w:hAnsi="Times New Roman" w:eastAsia="Times New Roman"/>
          <w:color w:val="000000"/>
          <w:sz w:val="24"/>
        </w:rPr>
        <w:t>| Group | PEG-PLA Ratio | Crosslinker Type | Crosslink Density |</w:t>
      </w:r>
    </w:p>
    <w:p>
      <w:pPr>
        <w:spacing w:line="360" w:lineRule="auto"/>
        <w:jc w:val="both"/>
      </w:pPr>
      <w:r>
        <w:rPr>
          <w:rFonts w:ascii="Times New Roman" w:hAnsi="Times New Roman" w:eastAsia="Times New Roman"/>
          <w:color w:val="000000"/>
          <w:sz w:val="24"/>
        </w:rPr>
        <w:t>|-------|---------------|------------------|-------------------|</w:t>
      </w:r>
    </w:p>
    <w:p>
      <w:pPr>
        <w:spacing w:line="360" w:lineRule="auto"/>
        <w:jc w:val="both"/>
      </w:pPr>
      <w:r>
        <w:rPr>
          <w:rFonts w:ascii="Times New Roman" w:hAnsi="Times New Roman" w:eastAsia="Times New Roman"/>
          <w:color w:val="000000"/>
          <w:sz w:val="24"/>
        </w:rPr>
        <w:t>| 1     | 70:30         | Imine            | 50%               |</w:t>
      </w:r>
    </w:p>
    <w:p>
      <w:pPr>
        <w:spacing w:line="360" w:lineRule="auto"/>
        <w:jc w:val="both"/>
      </w:pPr>
      <w:r>
        <w:rPr>
          <w:rFonts w:ascii="Times New Roman" w:hAnsi="Times New Roman" w:eastAsia="Times New Roman"/>
          <w:color w:val="000000"/>
          <w:sz w:val="24"/>
        </w:rPr>
        <w:t>| 2     | 70:30         | Imine            | 100%              |</w:t>
      </w:r>
    </w:p>
    <w:p>
      <w:pPr>
        <w:spacing w:line="360" w:lineRule="auto"/>
        <w:jc w:val="both"/>
      </w:pPr>
      <w:r>
        <w:rPr>
          <w:rFonts w:ascii="Times New Roman" w:hAnsi="Times New Roman" w:eastAsia="Times New Roman"/>
          <w:color w:val="000000"/>
          <w:sz w:val="24"/>
        </w:rPr>
        <w:t>| 3     | 70:30         | Urea             | 50%               |</w:t>
      </w:r>
    </w:p>
    <w:p>
      <w:pPr>
        <w:spacing w:line="360" w:lineRule="auto"/>
        <w:jc w:val="both"/>
      </w:pPr>
      <w:r>
        <w:rPr>
          <w:rFonts w:ascii="Times New Roman" w:hAnsi="Times New Roman" w:eastAsia="Times New Roman"/>
          <w:color w:val="000000"/>
          <w:sz w:val="24"/>
        </w:rPr>
        <w:t>| 4     | 70:30         | Urea             | 100%              |</w:t>
      </w:r>
    </w:p>
    <w:p>
      <w:pPr>
        <w:spacing w:line="360" w:lineRule="auto"/>
        <w:jc w:val="both"/>
      </w:pPr>
      <w:r>
        <w:rPr>
          <w:rFonts w:ascii="Times New Roman" w:hAnsi="Times New Roman" w:eastAsia="Times New Roman"/>
          <w:color w:val="000000"/>
          <w:sz w:val="24"/>
        </w:rPr>
        <w:t>| 5     | 50:50         | Imine            | 100%              |</w:t>
      </w:r>
    </w:p>
    <w:p>
      <w:pPr>
        <w:spacing w:line="360" w:lineRule="auto"/>
        <w:jc w:val="both"/>
      </w:pPr>
      <w:r>
        <w:rPr>
          <w:rFonts w:ascii="Times New Roman" w:hAnsi="Times New Roman" w:eastAsia="Times New Roman"/>
          <w:color w:val="000000"/>
          <w:sz w:val="24"/>
        </w:rPr>
        <w:t>| 6     | Linear PLA    | N/A              | N/A               |</w:t>
      </w:r>
    </w:p>
    <w:p>
      <w:pPr>
        <w:pStyle w:val="Heading3"/>
      </w:pPr>
      <w:r>
        <w:rPr>
          <w:rFonts w:ascii="Times New Roman" w:hAnsi="Times New Roman" w:eastAsia="Times New Roman"/>
          <w:b/>
          <w:color w:val="000000"/>
          <w:sz w:val="28"/>
        </w:rPr>
        <w:t>3.3 Sample Preparation / Fabrication Procedure</w:t>
      </w:r>
    </w:p>
    <w:p>
      <w:pPr>
        <w:spacing w:line="360" w:lineRule="auto"/>
        <w:jc w:val="both"/>
      </w:pPr>
      <w:r>
        <w:rPr>
          <w:rFonts w:ascii="Times New Roman" w:hAnsi="Times New Roman" w:eastAsia="Times New Roman"/>
          <w:color w:val="000000"/>
          <w:sz w:val="24"/>
        </w:rPr>
        <w:t>1. **Synthesis**: Ring-opening polymerization of lactide from star PEG initiator.</w:t>
      </w:r>
    </w:p>
    <w:p>
      <w:pPr>
        <w:spacing w:line="360" w:lineRule="auto"/>
        <w:jc w:val="both"/>
      </w:pPr>
      <w:r>
        <w:rPr>
          <w:rFonts w:ascii="Times New Roman" w:hAnsi="Times New Roman" w:eastAsia="Times New Roman"/>
          <w:color w:val="000000"/>
          <w:sz w:val="24"/>
        </w:rPr>
        <w:t>2. **Functionalization**: End-group modification with aldehyde (imine) or amine (urea).</w:t>
      </w:r>
    </w:p>
    <w:p>
      <w:pPr>
        <w:spacing w:line="360" w:lineRule="auto"/>
        <w:jc w:val="both"/>
      </w:pPr>
      <w:r>
        <w:rPr>
          <w:rFonts w:ascii="Times New Roman" w:hAnsi="Times New Roman" w:eastAsia="Times New Roman"/>
          <w:color w:val="000000"/>
          <w:sz w:val="24"/>
        </w:rPr>
        <w:t>3. **Crosslinking**: Solution casting with stoichiometric crosslinker, followed by solvent evaporation.</w:t>
      </w:r>
    </w:p>
    <w:p>
      <w:pPr>
        <w:spacing w:line="360" w:lineRule="auto"/>
        <w:jc w:val="both"/>
      </w:pPr>
      <w:r>
        <w:rPr>
          <w:rFonts w:ascii="Times New Roman" w:hAnsi="Times New Roman" w:eastAsia="Times New Roman"/>
          <w:color w:val="000000"/>
          <w:sz w:val="24"/>
        </w:rPr>
        <w:t>4. **Post-processing**: Annealing at 60°C for 24 hr to stabilize networks.</w:t>
      </w:r>
    </w:p>
    <w:p>
      <w:pPr>
        <w:pStyle w:val="Heading3"/>
      </w:pPr>
      <w:r>
        <w:rPr>
          <w:rFonts w:ascii="Times New Roman" w:hAnsi="Times New Roman" w:eastAsia="Times New Roman"/>
          <w:b/>
          <w:color w:val="000000"/>
          <w:sz w:val="28"/>
        </w:rPr>
        <w:t>3.4 Structural and Physicochemical Characterization</w:t>
      </w:r>
    </w:p>
    <w:p>
      <w:pPr>
        <w:spacing w:line="360" w:lineRule="auto"/>
        <w:jc w:val="both"/>
      </w:pPr>
      <w:r>
        <w:rPr>
          <w:rFonts w:ascii="Times New Roman" w:hAnsi="Times New Roman" w:eastAsia="Times New Roman"/>
          <w:color w:val="000000"/>
          <w:sz w:val="24"/>
        </w:rPr>
        <w:t>- **GPC/SEC**: Molecular weight pre/post-crosslinking.</w:t>
      </w:r>
    </w:p>
    <w:p>
      <w:pPr>
        <w:spacing w:line="360" w:lineRule="auto"/>
        <w:jc w:val="both"/>
      </w:pPr>
      <w:r>
        <w:rPr>
          <w:rFonts w:ascii="Times New Roman" w:hAnsi="Times New Roman" w:eastAsia="Times New Roman"/>
          <w:color w:val="000000"/>
          <w:sz w:val="24"/>
        </w:rPr>
        <w:t>- **DSC**: Tg, crystallinity.</w:t>
      </w:r>
    </w:p>
    <w:p>
      <w:pPr>
        <w:spacing w:line="360" w:lineRule="auto"/>
        <w:jc w:val="both"/>
      </w:pPr>
      <w:r>
        <w:rPr>
          <w:rFonts w:ascii="Times New Roman" w:hAnsi="Times New Roman" w:eastAsia="Times New Roman"/>
          <w:color w:val="000000"/>
          <w:sz w:val="24"/>
        </w:rPr>
        <w:t>- **FTIR**: Crosslinker conversion.</w:t>
      </w:r>
    </w:p>
    <w:p>
      <w:pPr>
        <w:spacing w:line="360" w:lineRule="auto"/>
        <w:jc w:val="both"/>
      </w:pPr>
      <w:r>
        <w:rPr>
          <w:rFonts w:ascii="Times New Roman" w:hAnsi="Times New Roman" w:eastAsia="Times New Roman"/>
          <w:color w:val="000000"/>
          <w:sz w:val="24"/>
        </w:rPr>
        <w:t>- **SEM**: Phase morphology.</w:t>
      </w:r>
    </w:p>
    <w:p>
      <w:pPr>
        <w:pStyle w:val="Heading3"/>
      </w:pPr>
      <w:r>
        <w:rPr>
          <w:rFonts w:ascii="Times New Roman" w:hAnsi="Times New Roman" w:eastAsia="Times New Roman"/>
          <w:b/>
          <w:color w:val="000000"/>
          <w:sz w:val="28"/>
        </w:rPr>
        <w:t>3.5 Mechanical Testing Protocol</w:t>
      </w:r>
    </w:p>
    <w:p>
      <w:pPr>
        <w:spacing w:line="360" w:lineRule="auto"/>
        <w:jc w:val="both"/>
      </w:pPr>
      <w:r>
        <w:rPr>
          <w:rFonts w:ascii="Times New Roman" w:hAnsi="Times New Roman" w:eastAsia="Times New Roman"/>
          <w:color w:val="000000"/>
          <w:sz w:val="24"/>
        </w:rPr>
        <w:t>- **Tensile tests** (ASTM D638): Strain rate = 10 mm/min, n = 5.</w:t>
      </w:r>
    </w:p>
    <w:p>
      <w:pPr>
        <w:spacing w:line="360" w:lineRule="auto"/>
        <w:jc w:val="both"/>
      </w:pPr>
      <w:r>
        <w:rPr>
          <w:rFonts w:ascii="Times New Roman" w:hAnsi="Times New Roman" w:eastAsia="Times New Roman"/>
          <w:color w:val="000000"/>
          <w:sz w:val="24"/>
        </w:rPr>
        <w:t>- **Cyclic loading** (10 cycles, 50% strain) to assess hysteresis.</w:t>
      </w:r>
    </w:p>
    <w:p>
      <w:pPr>
        <w:spacing w:line="360" w:lineRule="auto"/>
        <w:jc w:val="both"/>
      </w:pPr>
      <w:r>
        <w:rPr>
          <w:rFonts w:ascii="Times New Roman" w:hAnsi="Times New Roman" w:eastAsia="Times New Roman"/>
          <w:color w:val="000000"/>
          <w:sz w:val="24"/>
        </w:rPr>
        <w:t>- **Wet-state testing**: Submersion in PBS (37°C, 24 hr) prior to testing.</w:t>
      </w:r>
    </w:p>
    <w:p>
      <w:pPr>
        <w:pStyle w:val="Heading3"/>
      </w:pPr>
      <w:r>
        <w:rPr>
          <w:rFonts w:ascii="Times New Roman" w:hAnsi="Times New Roman" w:eastAsia="Times New Roman"/>
          <w:b/>
          <w:color w:val="000000"/>
          <w:sz w:val="28"/>
        </w:rPr>
        <w:t>3.6 Degradation Evaluation Protocol</w:t>
      </w:r>
    </w:p>
    <w:p>
      <w:pPr>
        <w:spacing w:line="360" w:lineRule="auto"/>
        <w:jc w:val="both"/>
      </w:pPr>
      <w:r>
        <w:rPr>
          <w:rFonts w:ascii="Times New Roman" w:hAnsi="Times New Roman" w:eastAsia="Times New Roman"/>
          <w:color w:val="000000"/>
          <w:sz w:val="24"/>
        </w:rPr>
        <w:t>- **In vitro hydrolysis**: PBS (pH 7.4, 37°C), mass loss and Mn tracked weekly for 8 weeks.</w:t>
      </w:r>
    </w:p>
    <w:p>
      <w:pPr>
        <w:spacing w:line="360" w:lineRule="auto"/>
        <w:jc w:val="both"/>
      </w:pPr>
      <w:r>
        <w:rPr>
          <w:rFonts w:ascii="Times New Roman" w:hAnsi="Times New Roman" w:eastAsia="Times New Roman"/>
          <w:color w:val="000000"/>
          <w:sz w:val="24"/>
        </w:rPr>
        <w:t>- **pH monitoring**: Buffer solution refreshed every 48 hr to assess acid accumulation.</w:t>
      </w:r>
    </w:p>
    <w:p>
      <w:pPr>
        <w:pStyle w:val="Heading3"/>
      </w:pPr>
      <w:r>
        <w:rPr>
          <w:rFonts w:ascii="Times New Roman" w:hAnsi="Times New Roman" w:eastAsia="Times New Roman"/>
          <w:b/>
          <w:color w:val="000000"/>
          <w:sz w:val="28"/>
        </w:rPr>
        <w:t>3.7 Biocompatibility / Biofunction Evaluation</w:t>
      </w:r>
    </w:p>
    <w:p>
      <w:pPr>
        <w:spacing w:line="360" w:lineRule="auto"/>
        <w:jc w:val="both"/>
      </w:pPr>
      <w:r>
        <w:rPr>
          <w:rFonts w:ascii="Times New Roman" w:hAnsi="Times New Roman" w:eastAsia="Times New Roman"/>
          <w:color w:val="000000"/>
          <w:sz w:val="24"/>
        </w:rPr>
        <w:t>- **Preliminary cytotoxicity**: MTT assay with L929 fibroblasts (ISO 10993-5).</w:t>
      </w:r>
    </w:p>
    <w:p>
      <w:pPr>
        <w:pStyle w:val="Heading3"/>
      </w:pPr>
      <w:r>
        <w:rPr>
          <w:rFonts w:ascii="Times New Roman" w:hAnsi="Times New Roman" w:eastAsia="Times New Roman"/>
          <w:b/>
          <w:color w:val="000000"/>
          <w:sz w:val="28"/>
        </w:rPr>
        <w:t>3.8 Controls, Decision Criteria, and Statistical Comparison</w:t>
      </w:r>
    </w:p>
    <w:p>
      <w:pPr>
        <w:spacing w:line="360" w:lineRule="auto"/>
        <w:jc w:val="both"/>
      </w:pPr>
      <w:r>
        <w:rPr>
          <w:rFonts w:ascii="Times New Roman" w:hAnsi="Times New Roman" w:eastAsia="Times New Roman"/>
          <w:color w:val="000000"/>
          <w:sz w:val="24"/>
        </w:rPr>
        <w:t>- **Success criteria**: Tg &gt; 45°C, tensile toughness &gt; 50 MJ/m³, mass loss &lt; 20% at 4 weeks.</w:t>
      </w:r>
    </w:p>
    <w:p>
      <w:pPr>
        <w:spacing w:line="360" w:lineRule="auto"/>
        <w:jc w:val="both"/>
      </w:pPr>
      <w:r>
        <w:rPr>
          <w:rFonts w:ascii="Times New Roman" w:hAnsi="Times New Roman" w:eastAsia="Times New Roman"/>
          <w:color w:val="000000"/>
          <w:sz w:val="24"/>
        </w:rPr>
        <w:t>- **ANOVA** (p &lt; 0.05) for group comparisons.</w:t>
      </w:r>
    </w:p>
    <w:p>
      <w:pPr>
        <w:pStyle w:val="Heading2"/>
      </w:pPr>
      <w:r>
        <w:rPr>
          <w:rFonts w:ascii="Times New Roman" w:hAnsi="Times New Roman" w:eastAsia="Times New Roman"/>
          <w:b/>
          <w:color w:val="000000"/>
          <w:sz w:val="30"/>
        </w:rPr>
        <w:t>4. Results and Evidence-Based Discussion</w:t>
      </w:r>
    </w:p>
    <w:p>
      <w:pPr>
        <w:pStyle w:val="Heading3"/>
      </w:pPr>
      <w:r>
        <w:rPr>
          <w:rFonts w:ascii="Times New Roman" w:hAnsi="Times New Roman" w:eastAsia="Times New Roman"/>
          <w:b/>
          <w:color w:val="000000"/>
          <w:sz w:val="28"/>
        </w:rPr>
        <w:t>4.1 Directly Supported Expectations</w:t>
      </w:r>
    </w:p>
    <w:p>
      <w:pPr>
        <w:spacing w:line="360" w:lineRule="auto"/>
        <w:jc w:val="both"/>
      </w:pPr>
      <w:r>
        <w:rPr>
          <w:rFonts w:ascii="Times New Roman" w:hAnsi="Times New Roman" w:eastAsia="Times New Roman"/>
          <w:color w:val="000000"/>
          <w:sz w:val="24"/>
        </w:rPr>
        <w:t>- Imine-crosslinked networks achieve Tg &gt; 50°C and toughness &gt; 60 MJ/m³ [1, 2].</w:t>
      </w:r>
    </w:p>
    <w:p>
      <w:pPr>
        <w:spacing w:line="360" w:lineRule="auto"/>
        <w:jc w:val="both"/>
      </w:pPr>
      <w:r>
        <w:rPr>
          <w:rFonts w:ascii="Times New Roman" w:hAnsi="Times New Roman" w:eastAsia="Times New Roman"/>
          <w:color w:val="000000"/>
          <w:sz w:val="24"/>
        </w:rPr>
        <w:t>- PEG-rich formulations accelerate degradation [4], but crosslinking delays mass loss [1].</w:t>
      </w:r>
    </w:p>
    <w:p>
      <w:pPr>
        <w:pStyle w:val="Heading3"/>
      </w:pPr>
      <w:r>
        <w:rPr>
          <w:rFonts w:ascii="Times New Roman" w:hAnsi="Times New Roman" w:eastAsia="Times New Roman"/>
          <w:b/>
          <w:color w:val="000000"/>
          <w:sz w:val="28"/>
        </w:rPr>
        <w:t>4.2 Mechanistically Inferred Expectations</w:t>
      </w:r>
    </w:p>
    <w:p>
      <w:pPr>
        <w:spacing w:line="360" w:lineRule="auto"/>
        <w:jc w:val="both"/>
      </w:pPr>
      <w:r>
        <w:rPr>
          <w:rFonts w:ascii="Times New Roman" w:hAnsi="Times New Roman" w:eastAsia="Times New Roman"/>
          <w:color w:val="000000"/>
          <w:sz w:val="24"/>
        </w:rPr>
        <w:t>- Urea crosslinking may enhance toughness via hydrogen bonding but reduce degradation rate due to hydrophobic domains [2].</w:t>
      </w:r>
    </w:p>
    <w:p>
      <w:pPr>
        <w:pStyle w:val="Heading3"/>
      </w:pPr>
      <w:r>
        <w:rPr>
          <w:rFonts w:ascii="Times New Roman" w:hAnsi="Times New Roman" w:eastAsia="Times New Roman"/>
          <w:b/>
          <w:color w:val="000000"/>
          <w:sz w:val="28"/>
        </w:rPr>
        <w:t>4.3 Evidence Gaps and Uncertainty</w:t>
      </w:r>
    </w:p>
    <w:p>
      <w:pPr>
        <w:spacing w:line="360" w:lineRule="auto"/>
        <w:jc w:val="both"/>
      </w:pPr>
      <w:r>
        <w:rPr>
          <w:rFonts w:ascii="Times New Roman" w:hAnsi="Times New Roman" w:eastAsia="Times New Roman"/>
          <w:color w:val="000000"/>
          <w:sz w:val="24"/>
        </w:rPr>
        <w:t>- No data on long-term (&gt;8 week) degradation or fatigue resistance.</w:t>
      </w:r>
    </w:p>
    <w:p>
      <w:pPr>
        <w:spacing w:line="360" w:lineRule="auto"/>
        <w:jc w:val="both"/>
      </w:pPr>
      <w:r>
        <w:rPr>
          <w:rFonts w:ascii="Times New Roman" w:hAnsi="Times New Roman" w:eastAsia="Times New Roman"/>
          <w:color w:val="000000"/>
          <w:sz w:val="24"/>
        </w:rPr>
        <w:t>- Cytotoxicity of imine/urea degradation products untested.</w:t>
      </w:r>
    </w:p>
    <w:p>
      <w:pPr>
        <w:pStyle w:val="Heading3"/>
      </w:pPr>
      <w:r>
        <w:rPr>
          <w:rFonts w:ascii="Times New Roman" w:hAnsi="Times New Roman" w:eastAsia="Times New Roman"/>
          <w:b/>
          <w:color w:val="000000"/>
          <w:sz w:val="28"/>
        </w:rPr>
        <w:t>4.4 Comparison with Prior Systems</w:t>
      </w:r>
    </w:p>
    <w:p>
      <w:pPr>
        <w:spacing w:line="360" w:lineRule="auto"/>
        <w:jc w:val="both"/>
      </w:pPr>
      <w:r>
        <w:rPr>
          <w:rFonts w:ascii="Times New Roman" w:hAnsi="Times New Roman" w:eastAsia="Times New Roman"/>
          <w:color w:val="000000"/>
          <w:sz w:val="24"/>
        </w:rPr>
        <w:t>The proposed DCN elastomer outperforms Vicryl (Tg ≈ 40°C, rapid degradation [5]) in thermal stability and CUPE networks in processability [7].</w:t>
      </w:r>
    </w:p>
    <w:p>
      <w:pPr>
        <w:pStyle w:val="Heading2"/>
      </w:pPr>
      <w:r>
        <w:rPr>
          <w:rFonts w:ascii="Times New Roman" w:hAnsi="Times New Roman" w:eastAsia="Times New Roman"/>
          <w:b/>
          <w:color w:val="000000"/>
          <w:sz w:val="30"/>
        </w:rPr>
        <w:t>5. Risk Analysis and Optimization Path</w:t>
      </w:r>
    </w:p>
    <w:p>
      <w:pPr>
        <w:pStyle w:val="Heading3"/>
      </w:pPr>
      <w:r>
        <w:rPr>
          <w:rFonts w:ascii="Times New Roman" w:hAnsi="Times New Roman" w:eastAsia="Times New Roman"/>
          <w:b/>
          <w:color w:val="000000"/>
          <w:sz w:val="28"/>
        </w:rPr>
        <w:t>5.1 Major Failure Modes</w:t>
      </w:r>
    </w:p>
    <w:p>
      <w:pPr>
        <w:spacing w:line="360" w:lineRule="auto"/>
        <w:jc w:val="both"/>
      </w:pPr>
      <w:r>
        <w:rPr>
          <w:rFonts w:ascii="Times New Roman" w:hAnsi="Times New Roman" w:eastAsia="Times New Roman"/>
          <w:color w:val="000000"/>
          <w:sz w:val="24"/>
        </w:rPr>
        <w:t>- Phase separation during crosslinking.</w:t>
      </w:r>
    </w:p>
    <w:p>
      <w:pPr>
        <w:spacing w:line="360" w:lineRule="auto"/>
        <w:jc w:val="both"/>
      </w:pPr>
      <w:r>
        <w:rPr>
          <w:rFonts w:ascii="Times New Roman" w:hAnsi="Times New Roman" w:eastAsia="Times New Roman"/>
          <w:color w:val="000000"/>
          <w:sz w:val="24"/>
        </w:rPr>
        <w:t>- Rapid autocatalytic degradation from acidic byproducts.</w:t>
      </w:r>
    </w:p>
    <w:p>
      <w:pPr>
        <w:pStyle w:val="Heading3"/>
      </w:pPr>
      <w:r>
        <w:rPr>
          <w:rFonts w:ascii="Times New Roman" w:hAnsi="Times New Roman" w:eastAsia="Times New Roman"/>
          <w:b/>
          <w:color w:val="000000"/>
          <w:sz w:val="28"/>
        </w:rPr>
        <w:t>5.2 Optimization Pathway</w:t>
      </w:r>
    </w:p>
    <w:p>
      <w:pPr>
        <w:spacing w:line="360" w:lineRule="auto"/>
        <w:jc w:val="both"/>
      </w:pPr>
      <w:r>
        <w:rPr>
          <w:rFonts w:ascii="Times New Roman" w:hAnsi="Times New Roman" w:eastAsia="Times New Roman"/>
          <w:color w:val="000000"/>
          <w:sz w:val="24"/>
        </w:rPr>
        <w:t>- **Degradation too slow**: Increase PEG ratio or reduce crosslink density.</w:t>
      </w:r>
    </w:p>
    <w:p>
      <w:pPr>
        <w:spacing w:line="360" w:lineRule="auto"/>
        <w:jc w:val="both"/>
      </w:pPr>
      <w:r>
        <w:rPr>
          <w:rFonts w:ascii="Times New Roman" w:hAnsi="Times New Roman" w:eastAsia="Times New Roman"/>
          <w:color w:val="000000"/>
          <w:sz w:val="24"/>
        </w:rPr>
        <w:t>- **Toughness too low**: Introduce urea crosslinks or increase star arm count.</w:t>
      </w:r>
    </w:p>
    <w:p>
      <w:pPr>
        <w:spacing w:line="360" w:lineRule="auto"/>
        <w:jc w:val="both"/>
      </w:pPr>
      <w:r>
        <w:rPr>
          <w:rFonts w:ascii="Times New Roman" w:hAnsi="Times New Roman" w:eastAsia="Times New Roman"/>
          <w:color w:val="000000"/>
          <w:sz w:val="24"/>
        </w:rPr>
        <w:t>- **Biocompatibility issues**: Switch to citronellal-based imines [1].</w:t>
      </w:r>
    </w:p>
    <w:p>
      <w:pPr>
        <w:pStyle w:val="Heading2"/>
      </w:pPr>
      <w:r>
        <w:rPr>
          <w:rFonts w:ascii="Times New Roman" w:hAnsi="Times New Roman" w:eastAsia="Times New Roman"/>
          <w:b/>
          <w:color w:val="000000"/>
          <w:sz w:val="30"/>
        </w:rPr>
        <w:t>6. Conclusion</w:t>
      </w:r>
    </w:p>
    <w:p>
      <w:pPr>
        <w:spacing w:line="360" w:lineRule="auto"/>
        <w:jc w:val="both"/>
      </w:pPr>
      <w:r>
        <w:rPr>
          <w:rFonts w:ascii="Times New Roman" w:hAnsi="Times New Roman" w:eastAsia="Times New Roman"/>
          <w:color w:val="000000"/>
          <w:sz w:val="24"/>
        </w:rPr>
        <w:t>The DCN elastomer design is innovative and mechanistically plausible, with literature evidence supporting key aspects of thermal and mechanical performance. Immediate experimental validation should focus on crosslink density effects on degradation kinetics. The most critical next step is synthesizing the star PEG-PLA precursor and validating its crosslinking efficiency.</w:t>
      </w:r>
    </w:p>
    <w:p>
      <w:pPr>
        <w:pStyle w:val="Heading2"/>
      </w:pPr>
      <w:r>
        <w:rPr>
          <w:rFonts w:ascii="Times New Roman" w:hAnsi="Times New Roman" w:eastAsia="Times New Roman"/>
          <w:b/>
          <w:color w:val="000000"/>
          <w:sz w:val="30"/>
        </w:rPr>
        <w:t>8. References</w:t>
      </w:r>
    </w:p>
    <w:p>
      <w:pPr>
        <w:spacing w:line="360" w:lineRule="auto"/>
        <w:jc w:val="both"/>
      </w:pPr>
      <w:r>
        <w:rPr>
          <w:rFonts w:ascii="Times New Roman" w:hAnsi="Times New Roman" w:eastAsia="Times New Roman"/>
          <w:color w:val="000000"/>
          <w:sz w:val="24"/>
        </w:rPr>
        <w:t>- [1] 101002_admi202300066</w:t>
      </w:r>
    </w:p>
    <w:p>
      <w:pPr>
        <w:spacing w:line="360" w:lineRule="auto"/>
        <w:jc w:val="both"/>
      </w:pPr>
      <w:r>
        <w:rPr>
          <w:rFonts w:ascii="Times New Roman" w:hAnsi="Times New Roman" w:eastAsia="Times New Roman"/>
          <w:color w:val="000000"/>
          <w:sz w:val="24"/>
        </w:rPr>
        <w:t>- [2] 101039_d4ta09201e</w:t>
      </w:r>
    </w:p>
    <w:p>
      <w:pPr>
        <w:spacing w:line="360" w:lineRule="auto"/>
        <w:jc w:val="both"/>
      </w:pPr>
      <w:r>
        <w:rPr>
          <w:rFonts w:ascii="Times New Roman" w:hAnsi="Times New Roman" w:eastAsia="Times New Roman"/>
          <w:color w:val="000000"/>
          <w:sz w:val="24"/>
        </w:rPr>
        <w:t>- [3] 101016_jpolymer201408027</w:t>
      </w:r>
    </w:p>
    <w:p>
      <w:pPr>
        <w:spacing w:line="360" w:lineRule="auto"/>
        <w:jc w:val="both"/>
      </w:pPr>
      <w:r>
        <w:rPr>
          <w:rFonts w:ascii="Times New Roman" w:hAnsi="Times New Roman" w:eastAsia="Times New Roman"/>
          <w:color w:val="000000"/>
          <w:sz w:val="24"/>
        </w:rPr>
        <w:t>- [4] 101002_app39486</w:t>
      </w:r>
    </w:p>
    <w:p>
      <w:pPr>
        <w:spacing w:line="360" w:lineRule="auto"/>
        <w:jc w:val="both"/>
      </w:pPr>
      <w:r>
        <w:rPr>
          <w:rFonts w:ascii="Times New Roman" w:hAnsi="Times New Roman" w:eastAsia="Times New Roman"/>
          <w:color w:val="000000"/>
          <w:sz w:val="24"/>
        </w:rPr>
        <w:t>- [5] 101007_s00289-024-05252-7</w:t>
      </w:r>
    </w:p>
    <w:p>
      <w:pPr>
        <w:spacing w:line="360" w:lineRule="auto"/>
        <w:jc w:val="both"/>
      </w:pPr>
      <w:r>
        <w:rPr>
          <w:rFonts w:ascii="Times New Roman" w:hAnsi="Times New Roman" w:eastAsia="Times New Roman"/>
          <w:color w:val="000000"/>
          <w:sz w:val="24"/>
        </w:rPr>
        <w:t>- [6] 101002_app45644</w:t>
      </w:r>
    </w:p>
    <w:p>
      <w:pPr>
        <w:spacing w:line="360" w:lineRule="auto"/>
        <w:jc w:val="both"/>
      </w:pPr>
      <w:r>
        <w:rPr>
          <w:rFonts w:ascii="Times New Roman" w:hAnsi="Times New Roman" w:eastAsia="Times New Roman"/>
          <w:color w:val="000000"/>
          <w:sz w:val="24"/>
        </w:rPr>
        <w:t>- [7] 101002_mame201100074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