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color w:val="000000"/>
        </w:rPr>
        <w:t>Design and Feasibility Assessment of a Polylactide-Based Cyclic Lactone Terpolymer for Enhanced Thermal and Mechanical Performance in Biodegradable Packaging</w:t>
      </w:r>
    </w:p>
    <w:p>
      <w:pPr>
        <w:pStyle w:val="Heading2"/>
      </w:pPr>
      <w:r>
        <w:rPr>
          <w:rFonts w:ascii="Times New Roman" w:hAnsi="Times New Roman" w:eastAsia="Times New Roman"/>
          <w:color w:val="000000"/>
        </w:rPr>
        <w:t>Abstract</w:t>
      </w:r>
    </w:p>
    <w:p>
      <w:pPr>
        <w:spacing w:line="360" w:lineRule="auto"/>
        <w:jc w:val="both"/>
      </w:pPr>
      <w:r>
        <w:rPr>
          <w:rFonts w:ascii="Times New Roman" w:hAnsi="Times New Roman" w:eastAsia="Times New Roman"/>
          <w:color w:val="000000"/>
          <w:sz w:val="24"/>
        </w:rPr>
        <w:t>This study proposes a cyclic lactone terpolymer design to enhance the glass transition temperature (Tg) of polylactide (PLA) while preserving ductility for biodegradable packaging applications. The core hypothesis posits that strategic incorporation of rigid cyclic lactone monomers into a PLA copolymer framework will restrict chain mobility (elevating Tg) while balanced molecular architecture maintains toughness. Literature evidence indicates copolymerization effectively modulates PLA properties [1, 2, 3], though no direct precedent exists for this specific terpolymer system. Experimental verification requires synthesizing lactide/cyclic lactone/ductility-promoter terpolymers via ring-opening polymerization, followed by comprehensive thermal, mechanical, and degradation characterization. Key risks include potential trade-offs between Tg elevation and ductility loss, along with undefined degradation kinetics. Preliminary evidence suggests conceptual feasibility but highlights significant knowledge gaps requiring empirical validation.</w:t>
      </w:r>
    </w:p>
    <w:p>
      <w:pPr>
        <w:pStyle w:val="Heading2"/>
      </w:pPr>
      <w:r>
        <w:rPr>
          <w:rFonts w:ascii="Times New Roman" w:hAnsi="Times New Roman" w:eastAsia="Times New Roman"/>
          <w:color w:val="000000"/>
        </w:rPr>
        <w:t>Graphical Repeat-Unit Representation</w:t>
      </w:r>
    </w:p>
    <w:p>
      <w:pPr>
        <w:jc w:val="center"/>
      </w:pPr>
      <w:r>
        <w:drawing>
          <wp:inline xmlns:a="http://schemas.openxmlformats.org/drawingml/2006/main" xmlns:pic="http://schemas.openxmlformats.org/drawingml/2006/picture">
            <wp:extent cx="5303520" cy="1591056"/>
            <wp:docPr id="1" name="Picture 1"/>
            <wp:cNvGraphicFramePr>
              <a:graphicFrameLocks noChangeAspect="1"/>
            </wp:cNvGraphicFramePr>
            <a:graphic>
              <a:graphicData uri="http://schemas.openxmlformats.org/drawingml/2006/picture">
                <pic:pic>
                  <pic:nvPicPr>
                    <pic:cNvPr id="0" name="docx_test_idea3_Cyclic_Lactone_Terpolymer_repeat_unit.png"/>
                    <pic:cNvPicPr/>
                  </pic:nvPicPr>
                  <pic:blipFill>
                    <a:blip r:embed="rId9"/>
                    <a:stretch>
                      <a:fillRect/>
                    </a:stretch>
                  </pic:blipFill>
                  <pic:spPr>
                    <a:xfrm>
                      <a:off x="0" y="0"/>
                      <a:ext cx="5303520" cy="1591056"/>
                    </a:xfrm>
                    <a:prstGeom prst="rect"/>
                  </pic:spPr>
                </pic:pic>
              </a:graphicData>
            </a:graphic>
          </wp:inline>
        </w:drawing>
      </w:r>
    </w:p>
    <w:p>
      <w:pPr>
        <w:jc w:val="center"/>
      </w:pPr>
      <w:r>
        <w:rPr>
          <w:rFonts w:ascii="Times New Roman" w:hAnsi="Times New Roman" w:eastAsia="Times New Roman"/>
          <w:i/>
          <w:sz w:val="20"/>
        </w:rPr>
        <w:t>Representative repeat-unit schematic</w:t>
      </w:r>
    </w:p>
    <w:p>
      <w:pPr>
        <w:spacing w:line="360" w:lineRule="auto"/>
        <w:jc w:val="both"/>
      </w:pPr>
      <w:r>
        <w:rPr>
          <w:rFonts w:ascii="Times New Roman" w:hAnsi="Times New Roman" w:eastAsia="Times New Roman"/>
          <w:color w:val="000000"/>
          <w:sz w:val="24"/>
        </w:rPr>
        <w:t>**Figure.** Representative polymer-structure schematic of the PLA-based cyclic lactone terpolymer design (not drawn due to unspecified cyclic lactone type).</w:t>
      </w:r>
    </w:p>
    <w:p>
      <w:pPr>
        <w:spacing w:line="360" w:lineRule="auto"/>
        <w:jc w:val="both"/>
      </w:pPr>
      <w:r>
        <w:rPr>
          <w:rFonts w:ascii="Times New Roman" w:hAnsi="Times New Roman" w:eastAsia="Times New Roman"/>
          <w:color w:val="000000"/>
          <w:sz w:val="24"/>
        </w:rPr>
        <w:t>Structure confidence: medium. Architecture: random copolymer. Composition note: L-lactide : cyclic lactone : trimethylene carbonate (ratios TBD). Dictionary/RDKit validation: 2/2 mapped structure(s) validated.</w:t>
      </w:r>
    </w:p>
    <w:p>
      <w:pPr>
        <w:pStyle w:val="Heading2"/>
      </w:pPr>
      <w:r>
        <w:rPr>
          <w:rFonts w:ascii="Times New Roman" w:hAnsi="Times New Roman" w:eastAsia="Times New Roman"/>
          <w:color w:val="000000"/>
        </w:rPr>
        <w:t>1. Introduction</w:t>
      </w:r>
    </w:p>
    <w:p>
      <w:pPr>
        <w:pStyle w:val="Heading3"/>
      </w:pPr>
      <w:r>
        <w:rPr>
          <w:rFonts w:ascii="Times New Roman" w:hAnsi="Times New Roman" w:eastAsia="Times New Roman"/>
          <w:color w:val="000000"/>
        </w:rPr>
        <w:t>1.1 Scientific Background</w:t>
      </w:r>
    </w:p>
    <w:p>
      <w:pPr>
        <w:spacing w:line="360" w:lineRule="auto"/>
        <w:jc w:val="both"/>
      </w:pPr>
      <w:r>
        <w:rPr>
          <w:rFonts w:ascii="Times New Roman" w:hAnsi="Times New Roman" w:eastAsia="Times New Roman"/>
          <w:color w:val="000000"/>
          <w:sz w:val="24"/>
        </w:rPr>
        <w:t>Polylactide (PLA) faces inherent limitations in packaging applications due to its brittle nature and suboptimal thermal properties. While PLA exhibits high tensile modulus and biodegradability [1, 3], its glass transition temperature (Tg ≈ 50-60°C) restricts high-temperature utility, and low ductility compromises durability [2, 4]. Current modification strategies—including plasticization, blending, and stereocomplexation—often sacrifice either thermal stability or mechanical integrity [5, 6, 7]. The packaging sector consequently demands materials balancing elevated Tg with retained deformability under mechanical stress.</w:t>
      </w:r>
    </w:p>
    <w:p>
      <w:pPr>
        <w:pStyle w:val="Heading3"/>
      </w:pPr>
      <w:r>
        <w:rPr>
          <w:rFonts w:ascii="Times New Roman" w:hAnsi="Times New Roman" w:eastAsia="Times New Roman"/>
          <w:color w:val="000000"/>
        </w:rPr>
        <w:t>1.2 Design Hypothesis</w:t>
      </w:r>
    </w:p>
    <w:p>
      <w:pPr>
        <w:spacing w:line="360" w:lineRule="auto"/>
        <w:jc w:val="both"/>
      </w:pPr>
      <w:r>
        <w:rPr>
          <w:rFonts w:ascii="Times New Roman" w:hAnsi="Times New Roman" w:eastAsia="Times New Roman"/>
          <w:color w:val="000000"/>
          <w:sz w:val="24"/>
        </w:rPr>
        <w:t>We hypothesize that a terpolymer architecture incorporating:</w:t>
      </w:r>
    </w:p>
    <w:p>
      <w:pPr>
        <w:spacing w:line="360" w:lineRule="auto"/>
        <w:jc w:val="both"/>
      </w:pPr>
      <w:r>
        <w:rPr>
          <w:rFonts w:ascii="Times New Roman" w:hAnsi="Times New Roman" w:eastAsia="Times New Roman"/>
          <w:color w:val="000000"/>
          <w:sz w:val="24"/>
        </w:rPr>
        <w:t>1) L-lactide primary chains</w:t>
      </w:r>
    </w:p>
    <w:p>
      <w:pPr>
        <w:spacing w:line="360" w:lineRule="auto"/>
        <w:jc w:val="both"/>
      </w:pPr>
      <w:r>
        <w:rPr>
          <w:rFonts w:ascii="Times New Roman" w:hAnsi="Times New Roman" w:eastAsia="Times New Roman"/>
          <w:color w:val="000000"/>
          <w:sz w:val="24"/>
        </w:rPr>
        <w:t>2) Rigid cyclic lactone comonomers to restrict chain mobility</w:t>
      </w:r>
    </w:p>
    <w:p>
      <w:pPr>
        <w:spacing w:line="360" w:lineRule="auto"/>
        <w:jc w:val="both"/>
      </w:pPr>
      <w:r>
        <w:rPr>
          <w:rFonts w:ascii="Times New Roman" w:hAnsi="Times New Roman" w:eastAsia="Times New Roman"/>
          <w:color w:val="000000"/>
          <w:sz w:val="24"/>
        </w:rPr>
        <w:t>3) Strategic ductility-promoting segments</w:t>
      </w:r>
    </w:p>
    <w:p>
      <w:pPr>
        <w:spacing w:line="360" w:lineRule="auto"/>
        <w:jc w:val="both"/>
      </w:pPr>
      <w:r>
        <w:rPr>
          <w:rFonts w:ascii="Times New Roman" w:hAnsi="Times New Roman" w:eastAsia="Times New Roman"/>
          <w:color w:val="000000"/>
          <w:sz w:val="24"/>
        </w:rPr>
        <w:t>will synergistically increase Tg while maintaining elongation at break. This approach leverages chain confinement effects evidenced in copolymer systems [1, 8, 9] while mitigating brittleness through molecular-scale engineering.</w:t>
      </w:r>
    </w:p>
    <w:p>
      <w:pPr>
        <w:pStyle w:val="Heading3"/>
      </w:pPr>
      <w:r>
        <w:rPr>
          <w:rFonts w:ascii="Times New Roman" w:hAnsi="Times New Roman" w:eastAsia="Times New Roman"/>
          <w:color w:val="000000"/>
        </w:rPr>
        <w:t>1.3 Scope of This Study</w:t>
      </w:r>
    </w:p>
    <w:p>
      <w:pPr>
        <w:spacing w:line="360" w:lineRule="auto"/>
        <w:jc w:val="both"/>
      </w:pPr>
      <w:r>
        <w:rPr>
          <w:rFonts w:ascii="Times New Roman" w:hAnsi="Times New Roman" w:eastAsia="Times New Roman"/>
          <w:color w:val="000000"/>
          <w:sz w:val="24"/>
        </w:rPr>
        <w:t>Direct evidence supporting cyclic lactone terpolymers for simultaneous Tg enhancement and ductility retention is currently absent. This study defines:</w:t>
      </w:r>
    </w:p>
    <w:p>
      <w:pPr>
        <w:spacing w:line="360" w:lineRule="auto"/>
        <w:jc w:val="both"/>
      </w:pPr>
      <w:r>
        <w:rPr>
          <w:rFonts w:ascii="Times New Roman" w:hAnsi="Times New Roman" w:eastAsia="Times New Roman"/>
          <w:color w:val="000000"/>
          <w:sz w:val="24"/>
        </w:rPr>
        <w:t>- Mechanistic feasibility based on copolymerization precedents [1, 2, 3]</w:t>
      </w:r>
    </w:p>
    <w:p>
      <w:pPr>
        <w:spacing w:line="360" w:lineRule="auto"/>
        <w:jc w:val="both"/>
      </w:pPr>
      <w:r>
        <w:rPr>
          <w:rFonts w:ascii="Times New Roman" w:hAnsi="Times New Roman" w:eastAsia="Times New Roman"/>
          <w:color w:val="000000"/>
          <w:sz w:val="24"/>
        </w:rPr>
        <w:t>- Experimental protocols for empirical validation</w:t>
      </w:r>
    </w:p>
    <w:p>
      <w:pPr>
        <w:spacing w:line="360" w:lineRule="auto"/>
        <w:jc w:val="both"/>
      </w:pPr>
      <w:r>
        <w:rPr>
          <w:rFonts w:ascii="Times New Roman" w:hAnsi="Times New Roman" w:eastAsia="Times New Roman"/>
          <w:color w:val="000000"/>
          <w:sz w:val="24"/>
        </w:rPr>
        <w:t>- Risk-mitigated formulation pathways</w:t>
      </w:r>
    </w:p>
    <w:p>
      <w:pPr>
        <w:spacing w:line="360" w:lineRule="auto"/>
        <w:jc w:val="both"/>
      </w:pPr>
      <w:r>
        <w:rPr>
          <w:rFonts w:ascii="Times New Roman" w:hAnsi="Times New Roman" w:eastAsia="Times New Roman"/>
          <w:color w:val="000000"/>
          <w:sz w:val="24"/>
        </w:rPr>
        <w:t>Unresolved aspects include optimal comonomer ratios, degradation profile, and long-term property retention.</w:t>
      </w:r>
    </w:p>
    <w:p>
      <w:pPr>
        <w:pStyle w:val="Heading2"/>
      </w:pPr>
      <w:r>
        <w:rPr>
          <w:rFonts w:ascii="Times New Roman" w:hAnsi="Times New Roman" w:eastAsia="Times New Roman"/>
          <w:color w:val="000000"/>
        </w:rPr>
        <w:t>2. Mechanistic Rationale and Design Hypothesis</w:t>
      </w:r>
    </w:p>
    <w:p>
      <w:pPr>
        <w:pStyle w:val="Heading3"/>
      </w:pPr>
      <w:r>
        <w:rPr>
          <w:rFonts w:ascii="Times New Roman" w:hAnsi="Times New Roman" w:eastAsia="Times New Roman"/>
          <w:color w:val="000000"/>
        </w:rPr>
        <w:t>2.1 Mechanistic Basis</w:t>
      </w:r>
    </w:p>
    <w:p>
      <w:pPr>
        <w:spacing w:line="360" w:lineRule="auto"/>
        <w:jc w:val="both"/>
      </w:pPr>
      <w:r>
        <w:rPr>
          <w:rFonts w:ascii="Times New Roman" w:hAnsi="Times New Roman" w:eastAsia="Times New Roman"/>
          <w:color w:val="000000"/>
          <w:sz w:val="24"/>
        </w:rPr>
        <w:t>Literature confirms copolymerization fundamentally alters PLA's thermal-mechanical behavior:</w:t>
      </w:r>
    </w:p>
    <w:p>
      <w:pPr>
        <w:spacing w:line="360" w:lineRule="auto"/>
        <w:jc w:val="both"/>
      </w:pPr>
      <w:r>
        <w:rPr>
          <w:rFonts w:ascii="Times New Roman" w:hAnsi="Times New Roman" w:eastAsia="Times New Roman"/>
          <w:color w:val="000000"/>
          <w:sz w:val="24"/>
        </w:rPr>
        <w:t>- Chain mobility restriction via bulky/complex side groups elevates Tg [8, 9]</w:t>
      </w:r>
    </w:p>
    <w:p>
      <w:pPr>
        <w:spacing w:line="360" w:lineRule="auto"/>
        <w:jc w:val="both"/>
      </w:pPr>
      <w:r>
        <w:rPr>
          <w:rFonts w:ascii="Times New Roman" w:hAnsi="Times New Roman" w:eastAsia="Times New Roman"/>
          <w:color w:val="000000"/>
          <w:sz w:val="24"/>
        </w:rPr>
        <w:t>- Lactone incorporation (e.g., ε-caprolactone) typically increases flexibility but decreases Tg [1, 3]</w:t>
      </w:r>
    </w:p>
    <w:p>
      <w:pPr>
        <w:spacing w:line="360" w:lineRule="auto"/>
        <w:jc w:val="both"/>
      </w:pPr>
      <w:r>
        <w:rPr>
          <w:rFonts w:ascii="Times New Roman" w:hAnsi="Times New Roman" w:eastAsia="Times New Roman"/>
          <w:color w:val="000000"/>
          <w:sz w:val="24"/>
        </w:rPr>
        <w:t>- Crosslinking agents enhance thermal stability but reduce crystallinity [9]</w:t>
      </w:r>
    </w:p>
    <w:p>
      <w:pPr>
        <w:spacing w:line="360" w:lineRule="auto"/>
        <w:jc w:val="both"/>
      </w:pPr>
      <w:r>
        <w:rPr>
          <w:rFonts w:ascii="Times New Roman" w:hAnsi="Times New Roman" w:eastAsia="Times New Roman"/>
          <w:color w:val="000000"/>
          <w:sz w:val="24"/>
        </w:rPr>
        <w:t>- Stereocomplexation increases melting temperature without addressing brittleness [6]</w:t>
      </w:r>
    </w:p>
    <w:p>
      <w:pPr>
        <w:spacing w:line="360" w:lineRule="auto"/>
        <w:jc w:val="both"/>
      </w:pPr>
      <w:r>
        <w:rPr>
          <w:rFonts w:ascii="Times New Roman" w:hAnsi="Times New Roman" w:eastAsia="Times New Roman"/>
          <w:color w:val="000000"/>
          <w:sz w:val="24"/>
        </w:rPr>
        <w:t>The proposed mechanism combines rigid cyclic lactones (Tg elevation) with molecular-scale ductility promoters to counteract brittleness.</w:t>
      </w:r>
    </w:p>
    <w:p>
      <w:pPr>
        <w:pStyle w:val="Heading3"/>
      </w:pPr>
      <w:r>
        <w:rPr>
          <w:rFonts w:ascii="Times New Roman" w:hAnsi="Times New Roman" w:eastAsia="Times New Roman"/>
          <w:color w:val="000000"/>
        </w:rPr>
        <w:t>2.2 Evidence-Supported Design Rules</w:t>
      </w:r>
    </w:p>
    <w:p>
      <w:pPr>
        <w:spacing w:line="360" w:lineRule="auto"/>
        <w:jc w:val="both"/>
      </w:pPr>
      <w:r>
        <w:rPr>
          <w:rFonts w:ascii="Times New Roman" w:hAnsi="Times New Roman" w:eastAsia="Times New Roman"/>
          <w:color w:val="000000"/>
          <w:sz w:val="24"/>
        </w:rPr>
        <w:t>*Thermal Design Variables:*</w:t>
      </w:r>
    </w:p>
    <w:p>
      <w:pPr>
        <w:spacing w:line="360" w:lineRule="auto"/>
        <w:jc w:val="both"/>
      </w:pPr>
      <w:r>
        <w:rPr>
          <w:rFonts w:ascii="Times New Roman" w:hAnsi="Times New Roman" w:eastAsia="Times New Roman"/>
          <w:color w:val="000000"/>
          <w:sz w:val="24"/>
        </w:rPr>
        <w:t>- Cyclic lactone ring size/stiffness → chain mobility restriction → Tg modulation [1, 8]</w:t>
      </w:r>
    </w:p>
    <w:p>
      <w:pPr>
        <w:spacing w:line="360" w:lineRule="auto"/>
        <w:jc w:val="both"/>
      </w:pPr>
      <w:r>
        <w:rPr>
          <w:rFonts w:ascii="Times New Roman" w:hAnsi="Times New Roman" w:eastAsia="Times New Roman"/>
          <w:color w:val="000000"/>
          <w:sz w:val="24"/>
        </w:rPr>
        <w:t>- Comonomer ratio → crystallinity suppression/activation → Tg shift [9]</w:t>
      </w:r>
    </w:p>
    <w:p>
      <w:pPr>
        <w:spacing w:line="360" w:lineRule="auto"/>
        <w:jc w:val="both"/>
      </w:pPr>
      <w:r>
        <w:rPr>
          <w:rFonts w:ascii="Times New Roman" w:hAnsi="Times New Roman" w:eastAsia="Times New Roman"/>
          <w:color w:val="000000"/>
          <w:sz w:val="24"/>
        </w:rPr>
        <w:t>- Crosslink density → restricted segmental motion → Tg increase [9]</w:t>
      </w:r>
    </w:p>
    <w:p>
      <w:pPr>
        <w:spacing w:line="360" w:lineRule="auto"/>
        <w:jc w:val="both"/>
      </w:pPr>
      <w:r>
        <w:rPr>
          <w:rFonts w:ascii="Times New Roman" w:hAnsi="Times New Roman" w:eastAsia="Times New Roman"/>
          <w:color w:val="000000"/>
          <w:sz w:val="24"/>
        </w:rPr>
        <w:t>*Mechanical Design Variables:*</w:t>
      </w:r>
    </w:p>
    <w:p>
      <w:pPr>
        <w:spacing w:line="360" w:lineRule="auto"/>
        <w:jc w:val="both"/>
      </w:pPr>
      <w:r>
        <w:rPr>
          <w:rFonts w:ascii="Times New Roman" w:hAnsi="Times New Roman" w:eastAsia="Times New Roman"/>
          <w:color w:val="000000"/>
          <w:sz w:val="24"/>
        </w:rPr>
        <w:t>- Flexible segment length → energy dissipation → ductility retention [3, 6]</w:t>
      </w:r>
    </w:p>
    <w:p>
      <w:pPr>
        <w:spacing w:line="360" w:lineRule="auto"/>
        <w:jc w:val="both"/>
      </w:pPr>
      <w:r>
        <w:rPr>
          <w:rFonts w:ascii="Times New Roman" w:hAnsi="Times New Roman" w:eastAsia="Times New Roman"/>
          <w:color w:val="000000"/>
          <w:sz w:val="24"/>
        </w:rPr>
        <w:t>- Phase-separated morphology → crack deflection → toughness [10]</w:t>
      </w:r>
    </w:p>
    <w:p>
      <w:pPr>
        <w:spacing w:line="360" w:lineRule="auto"/>
        <w:jc w:val="both"/>
      </w:pPr>
      <w:r>
        <w:rPr>
          <w:rFonts w:ascii="Times New Roman" w:hAnsi="Times New Roman" w:eastAsia="Times New Roman"/>
          <w:color w:val="000000"/>
          <w:sz w:val="24"/>
        </w:rPr>
        <w:t>*Degradation Constraints:*</w:t>
      </w:r>
    </w:p>
    <w:p>
      <w:pPr>
        <w:spacing w:line="360" w:lineRule="auto"/>
        <w:jc w:val="both"/>
      </w:pPr>
      <w:r>
        <w:rPr>
          <w:rFonts w:ascii="Times New Roman" w:hAnsi="Times New Roman" w:eastAsia="Times New Roman"/>
          <w:color w:val="000000"/>
          <w:sz w:val="24"/>
        </w:rPr>
        <w:t>- Ester bond density → hydrolysis rate → degradation profile [11]</w:t>
      </w:r>
    </w:p>
    <w:p>
      <w:pPr>
        <w:spacing w:line="360" w:lineRule="auto"/>
        <w:jc w:val="both"/>
      </w:pPr>
      <w:r>
        <w:rPr>
          <w:rFonts w:ascii="Times New Roman" w:hAnsi="Times New Roman" w:eastAsia="Times New Roman"/>
          <w:color w:val="000000"/>
          <w:sz w:val="24"/>
        </w:rPr>
        <w:t>- Crystallinity → water diffusion barrier → degradation kinetics [11]</w:t>
      </w:r>
    </w:p>
    <w:p>
      <w:pPr>
        <w:spacing w:line="360" w:lineRule="auto"/>
        <w:jc w:val="both"/>
      </w:pPr>
      <w:r>
        <w:rPr>
          <w:rFonts w:ascii="Times New Roman" w:hAnsi="Times New Roman" w:eastAsia="Times New Roman"/>
          <w:color w:val="000000"/>
          <w:sz w:val="24"/>
        </w:rPr>
        <w:t>*Evidence Gaps:* No data exists for cyclic lactone terpolymer degradation kinetics or wet-state mechanical performance. Biocompatibility remains unaddressed.</w:t>
      </w:r>
    </w:p>
    <w:p>
      <w:pPr>
        <w:pStyle w:val="Heading3"/>
      </w:pPr>
      <w:r>
        <w:rPr>
          <w:rFonts w:ascii="Times New Roman" w:hAnsi="Times New Roman" w:eastAsia="Times New Roman"/>
          <w:color w:val="000000"/>
        </w:rPr>
        <w:t>2.3 Trade-Offs and Constraints</w:t>
      </w:r>
    </w:p>
    <w:p>
      <w:pPr>
        <w:spacing w:line="360" w:lineRule="auto"/>
        <w:jc w:val="both"/>
      </w:pPr>
      <w:r>
        <w:rPr>
          <w:rFonts w:ascii="Times New Roman" w:hAnsi="Times New Roman" w:eastAsia="Times New Roman"/>
          <w:color w:val="000000"/>
          <w:sz w:val="24"/>
        </w:rPr>
        <w:t>Critical trade-offs identified:</w:t>
      </w:r>
    </w:p>
    <w:p>
      <w:pPr>
        <w:spacing w:line="360" w:lineRule="auto"/>
        <w:jc w:val="both"/>
      </w:pPr>
      <w:r>
        <w:rPr>
          <w:rFonts w:ascii="Times New Roman" w:hAnsi="Times New Roman" w:eastAsia="Times New Roman"/>
          <w:color w:val="000000"/>
          <w:sz w:val="24"/>
        </w:rPr>
        <w:t>- Tg elevation typically reduces ductility due to restricted chain mobility [2, 7]</w:t>
      </w:r>
    </w:p>
    <w:p>
      <w:pPr>
        <w:spacing w:line="360" w:lineRule="auto"/>
        <w:jc w:val="both"/>
      </w:pPr>
      <w:r>
        <w:rPr>
          <w:rFonts w:ascii="Times New Roman" w:hAnsi="Times New Roman" w:eastAsia="Times New Roman"/>
          <w:color w:val="000000"/>
          <w:sz w:val="24"/>
        </w:rPr>
        <w:t>- Flexible comonomers improve elongation but decrease Tg [3, 6]</w:t>
      </w:r>
    </w:p>
    <w:p>
      <w:pPr>
        <w:spacing w:line="360" w:lineRule="auto"/>
        <w:jc w:val="both"/>
      </w:pPr>
      <w:r>
        <w:rPr>
          <w:rFonts w:ascii="Times New Roman" w:hAnsi="Times New Roman" w:eastAsia="Times New Roman"/>
          <w:color w:val="000000"/>
          <w:sz w:val="24"/>
        </w:rPr>
        <w:t>- Enhanced thermal stability may accelerate crystallization during processing, increasing brittleness [5, 9]</w:t>
      </w:r>
    </w:p>
    <w:p>
      <w:pPr>
        <w:spacing w:line="360" w:lineRule="auto"/>
        <w:jc w:val="both"/>
      </w:pPr>
      <w:r>
        <w:rPr>
          <w:rFonts w:ascii="Times New Roman" w:hAnsi="Times New Roman" w:eastAsia="Times New Roman"/>
          <w:color w:val="000000"/>
          <w:sz w:val="24"/>
        </w:rPr>
        <w:t>Optimal formulation must balance rigid-segment concentration with ductility-promoting units to avoid property compromises evidenced in binary systems [3, 6].</w:t>
      </w:r>
    </w:p>
    <w:p>
      <w:pPr>
        <w:pStyle w:val="Heading2"/>
      </w:pPr>
      <w:r>
        <w:rPr>
          <w:rFonts w:ascii="Times New Roman" w:hAnsi="Times New Roman" w:eastAsia="Times New Roman"/>
          <w:color w:val="000000"/>
        </w:rPr>
        <w:t>3. Materials and Methods</w:t>
      </w:r>
    </w:p>
    <w:p>
      <w:pPr>
        <w:pStyle w:val="Heading3"/>
      </w:pPr>
      <w:r>
        <w:rPr>
          <w:rFonts w:ascii="Times New Roman" w:hAnsi="Times New Roman" w:eastAsia="Times New Roman"/>
          <w:color w:val="000000"/>
        </w:rPr>
        <w:t>3.1 Material System and Variable Definition</w:t>
      </w:r>
    </w:p>
    <w:p>
      <w:pPr>
        <w:spacing w:line="360" w:lineRule="auto"/>
        <w:jc w:val="both"/>
      </w:pPr>
      <w:r>
        <w:rPr>
          <w:rFonts w:ascii="Times New Roman" w:hAnsi="Times New Roman" w:eastAsia="Times New Roman"/>
          <w:color w:val="000000"/>
          <w:sz w:val="24"/>
        </w:rPr>
        <w:t>*Base System:* L-lactide (≥98% purity) primary matrix</w:t>
      </w:r>
    </w:p>
    <w:p>
      <w:pPr>
        <w:spacing w:line="360" w:lineRule="auto"/>
        <w:jc w:val="both"/>
      </w:pPr>
      <w:r>
        <w:rPr>
          <w:rFonts w:ascii="Times New Roman" w:hAnsi="Times New Roman" w:eastAsia="Times New Roman"/>
          <w:color w:val="000000"/>
          <w:sz w:val="24"/>
        </w:rPr>
        <w:t>*Independent Variables:*</w:t>
      </w:r>
    </w:p>
    <w:p>
      <w:pPr>
        <w:spacing w:line="360" w:lineRule="auto"/>
        <w:jc w:val="both"/>
      </w:pPr>
      <w:r>
        <w:rPr>
          <w:rFonts w:ascii="Times New Roman" w:hAnsi="Times New Roman" w:eastAsia="Times New Roman"/>
          <w:color w:val="000000"/>
          <w:sz w:val="24"/>
        </w:rPr>
        <w:t>- Cyclic lactone type (ε-caprolactone/δ-valerolactone)</w:t>
      </w:r>
    </w:p>
    <w:p>
      <w:pPr>
        <w:spacing w:line="360" w:lineRule="auto"/>
        <w:jc w:val="both"/>
      </w:pPr>
      <w:r>
        <w:rPr>
          <w:rFonts w:ascii="Times New Roman" w:hAnsi="Times New Roman" w:eastAsia="Times New Roman"/>
          <w:color w:val="000000"/>
          <w:sz w:val="24"/>
        </w:rPr>
        <w:t>- Flexible comonomer (trimethylene carbonate) [1]</w:t>
      </w:r>
    </w:p>
    <w:p>
      <w:pPr>
        <w:spacing w:line="360" w:lineRule="auto"/>
        <w:jc w:val="both"/>
      </w:pPr>
      <w:r>
        <w:rPr>
          <w:rFonts w:ascii="Times New Roman" w:hAnsi="Times New Roman" w:eastAsia="Times New Roman"/>
          <w:color w:val="000000"/>
          <w:sz w:val="24"/>
        </w:rPr>
        <w:t>- Molar ratios (L-lactide : cyclic lactone : flexibilizer)</w:t>
      </w:r>
    </w:p>
    <w:p>
      <w:pPr>
        <w:spacing w:line="360" w:lineRule="auto"/>
        <w:jc w:val="both"/>
      </w:pPr>
      <w:r>
        <w:rPr>
          <w:rFonts w:ascii="Times New Roman" w:hAnsi="Times New Roman" w:eastAsia="Times New Roman"/>
          <w:color w:val="000000"/>
          <w:sz w:val="24"/>
        </w:rPr>
        <w:t>*Fixed Parameters:*</w:t>
      </w:r>
    </w:p>
    <w:p>
      <w:pPr>
        <w:spacing w:line="360" w:lineRule="auto"/>
        <w:jc w:val="both"/>
      </w:pPr>
      <w:r>
        <w:rPr>
          <w:rFonts w:ascii="Times New Roman" w:hAnsi="Times New Roman" w:eastAsia="Times New Roman"/>
          <w:color w:val="000000"/>
          <w:sz w:val="24"/>
        </w:rPr>
        <w:t>- Initiator (stannous octoate)</w:t>
      </w:r>
    </w:p>
    <w:p>
      <w:pPr>
        <w:spacing w:line="360" w:lineRule="auto"/>
        <w:jc w:val="both"/>
      </w:pPr>
      <w:r>
        <w:rPr>
          <w:rFonts w:ascii="Times New Roman" w:hAnsi="Times New Roman" w:eastAsia="Times New Roman"/>
          <w:color w:val="000000"/>
          <w:sz w:val="24"/>
        </w:rPr>
        <w:t>- Polymerization temperature (130-180°C)</w:t>
      </w:r>
    </w:p>
    <w:p>
      <w:pPr>
        <w:spacing w:line="360" w:lineRule="auto"/>
        <w:jc w:val="both"/>
      </w:pPr>
      <w:r>
        <w:rPr>
          <w:rFonts w:ascii="Times New Roman" w:hAnsi="Times New Roman" w:eastAsia="Times New Roman"/>
          <w:color w:val="000000"/>
          <w:sz w:val="24"/>
        </w:rPr>
        <w:t>- Molecular weight target (Ð ≤ 1.8)</w:t>
      </w:r>
    </w:p>
    <w:p>
      <w:pPr>
        <w:spacing w:line="360" w:lineRule="auto"/>
        <w:jc w:val="both"/>
      </w:pPr>
      <w:r>
        <w:rPr>
          <w:rFonts w:ascii="Times New Roman" w:hAnsi="Times New Roman" w:eastAsia="Times New Roman"/>
          <w:color w:val="000000"/>
          <w:sz w:val="24"/>
        </w:rPr>
        <w:t>*Unknowns Requiring Optimization:*</w:t>
      </w:r>
    </w:p>
    <w:p>
      <w:pPr>
        <w:spacing w:line="360" w:lineRule="auto"/>
        <w:jc w:val="both"/>
      </w:pPr>
      <w:r>
        <w:rPr>
          <w:rFonts w:ascii="Times New Roman" w:hAnsi="Times New Roman" w:eastAsia="Times New Roman"/>
          <w:color w:val="000000"/>
          <w:sz w:val="24"/>
        </w:rPr>
        <w:t>- Exact cyclic lactone concentration window</w:t>
      </w:r>
    </w:p>
    <w:p>
      <w:pPr>
        <w:spacing w:line="360" w:lineRule="auto"/>
        <w:jc w:val="both"/>
      </w:pPr>
      <w:r>
        <w:rPr>
          <w:rFonts w:ascii="Times New Roman" w:hAnsi="Times New Roman" w:eastAsia="Times New Roman"/>
          <w:color w:val="000000"/>
          <w:sz w:val="24"/>
        </w:rPr>
        <w:t>- Flexible segment length/distribution</w:t>
      </w:r>
    </w:p>
    <w:p>
      <w:pPr>
        <w:pStyle w:val="Heading3"/>
      </w:pPr>
      <w:r>
        <w:rPr>
          <w:rFonts w:ascii="Times New Roman" w:hAnsi="Times New Roman" w:eastAsia="Times New Roman"/>
          <w:color w:val="000000"/>
        </w:rPr>
        <w:t>3.2 Formulation / Sample Matrix Design</w:t>
      </w:r>
    </w:p>
    <w:p>
      <w:pPr>
        <w:spacing w:line="360" w:lineRule="auto"/>
        <w:jc w:val="both"/>
      </w:pPr>
      <w:r>
        <w:rPr>
          <w:rFonts w:ascii="Times New Roman" w:hAnsi="Times New Roman" w:eastAsia="Times New Roman"/>
          <w:color w:val="000000"/>
          <w:sz w:val="24"/>
        </w:rPr>
        <w:t>| Group | L-LA (mol%) | Cyclic Lactone (mol%) | Flexibilizer (mol%) | Purpose |</w:t>
      </w:r>
    </w:p>
    <w:p>
      <w:pPr>
        <w:spacing w:line="360" w:lineRule="auto"/>
        <w:jc w:val="both"/>
      </w:pPr>
      <w:r>
        <w:rPr>
          <w:rFonts w:ascii="Times New Roman" w:hAnsi="Times New Roman" w:eastAsia="Times New Roman"/>
          <w:color w:val="000000"/>
          <w:sz w:val="24"/>
        </w:rPr>
        <w:t>|-------|-------------|----------------------|---------------------|---------|</w:t>
      </w:r>
    </w:p>
    <w:p>
      <w:pPr>
        <w:spacing w:line="360" w:lineRule="auto"/>
        <w:jc w:val="both"/>
      </w:pPr>
      <w:r>
        <w:rPr>
          <w:rFonts w:ascii="Times New Roman" w:hAnsi="Times New Roman" w:eastAsia="Times New Roman"/>
          <w:color w:val="000000"/>
          <w:sz w:val="24"/>
        </w:rPr>
        <w:t>| 1 | 100 | 0 | 0 | PLA control |</w:t>
      </w:r>
    </w:p>
    <w:p>
      <w:pPr>
        <w:spacing w:line="360" w:lineRule="auto"/>
        <w:jc w:val="both"/>
      </w:pPr>
      <w:r>
        <w:rPr>
          <w:rFonts w:ascii="Times New Roman" w:hAnsi="Times New Roman" w:eastAsia="Times New Roman"/>
          <w:color w:val="000000"/>
          <w:sz w:val="24"/>
        </w:rPr>
        <w:t>| 2 | 80 | 20 | 0 | Binary control (Tg baseline) |</w:t>
      </w:r>
    </w:p>
    <w:p>
      <w:pPr>
        <w:spacing w:line="360" w:lineRule="auto"/>
        <w:jc w:val="both"/>
      </w:pPr>
      <w:r>
        <w:rPr>
          <w:rFonts w:ascii="Times New Roman" w:hAnsi="Times New Roman" w:eastAsia="Times New Roman"/>
          <w:color w:val="000000"/>
          <w:sz w:val="24"/>
        </w:rPr>
        <w:t>| 3 | 80 | 0 | 20 | Binary control (ductility baseline) |</w:t>
      </w:r>
    </w:p>
    <w:p>
      <w:pPr>
        <w:spacing w:line="360" w:lineRule="auto"/>
        <w:jc w:val="both"/>
      </w:pPr>
      <w:r>
        <w:rPr>
          <w:rFonts w:ascii="Times New Roman" w:hAnsi="Times New Roman" w:eastAsia="Times New Roman"/>
          <w:color w:val="000000"/>
          <w:sz w:val="24"/>
        </w:rPr>
        <w:t>| 4 | 70 | 20 | 10 | Terpolymer A |</w:t>
      </w:r>
    </w:p>
    <w:p>
      <w:pPr>
        <w:spacing w:line="360" w:lineRule="auto"/>
        <w:jc w:val="both"/>
      </w:pPr>
      <w:r>
        <w:rPr>
          <w:rFonts w:ascii="Times New Roman" w:hAnsi="Times New Roman" w:eastAsia="Times New Roman"/>
          <w:color w:val="000000"/>
          <w:sz w:val="24"/>
        </w:rPr>
        <w:t>| 5 | 70 | 15 | 15 | Terpolymer B |</w:t>
      </w:r>
    </w:p>
    <w:p>
      <w:pPr>
        <w:spacing w:line="360" w:lineRule="auto"/>
        <w:jc w:val="both"/>
      </w:pPr>
      <w:r>
        <w:rPr>
          <w:rFonts w:ascii="Times New Roman" w:hAnsi="Times New Roman" w:eastAsia="Times New Roman"/>
          <w:color w:val="000000"/>
          <w:sz w:val="24"/>
        </w:rPr>
        <w:t>| 6 | 70 | 10 | 20 | Terpolymer C |</w:t>
      </w:r>
    </w:p>
    <w:p>
      <w:pPr>
        <w:spacing w:line="360" w:lineRule="auto"/>
        <w:jc w:val="both"/>
      </w:pPr>
      <w:r>
        <w:rPr>
          <w:rFonts w:ascii="Times New Roman" w:hAnsi="Times New Roman" w:eastAsia="Times New Roman"/>
          <w:color w:val="000000"/>
          <w:sz w:val="24"/>
        </w:rPr>
        <w:t>*Baseline Controls:* Groups 1-3 establish property boundaries. Terpolymers (Groups 4-6) test combinatorial effects.</w:t>
      </w:r>
    </w:p>
    <w:p>
      <w:pPr>
        <w:pStyle w:val="Heading3"/>
      </w:pPr>
      <w:r>
        <w:rPr>
          <w:rFonts w:ascii="Times New Roman" w:hAnsi="Times New Roman" w:eastAsia="Times New Roman"/>
          <w:color w:val="000000"/>
        </w:rPr>
        <w:t>3.3 Sample Preparation / Fabrication Procedure</w:t>
      </w:r>
    </w:p>
    <w:p>
      <w:pPr>
        <w:pStyle w:val="Heading2"/>
      </w:pPr>
      <w:r>
        <w:rPr>
          <w:rFonts w:ascii="Times New Roman" w:hAnsi="Times New Roman" w:eastAsia="Times New Roman"/>
          <w:color w:val="000000"/>
        </w:rPr>
        <w:t>1. **Monomer Purification:** Recrystallize L-lactide, distill cyclic lactones/TMC under nitrogen</w:t>
      </w:r>
    </w:p>
    <w:p>
      <w:pPr>
        <w:pStyle w:val="Heading2"/>
      </w:pPr>
      <w:r>
        <w:rPr>
          <w:rFonts w:ascii="Times New Roman" w:hAnsi="Times New Roman" w:eastAsia="Times New Roman"/>
          <w:color w:val="000000"/>
        </w:rPr>
        <w:t>2. **Terpolymer Synthesis:**</w:t>
      </w:r>
    </w:p>
    <w:p>
      <w:pPr>
        <w:spacing w:line="360" w:lineRule="auto"/>
        <w:jc w:val="both"/>
      </w:pPr>
      <w:r>
        <w:rPr>
          <w:rFonts w:ascii="Times New Roman" w:hAnsi="Times New Roman" w:eastAsia="Times New Roman"/>
          <w:color w:val="000000"/>
          <w:sz w:val="24"/>
        </w:rPr>
        <w:t>- Charge reactor with predetermined monomer ratios</w:t>
      </w:r>
    </w:p>
    <w:p>
      <w:pPr>
        <w:spacing w:line="360" w:lineRule="auto"/>
        <w:jc w:val="both"/>
      </w:pPr>
      <w:r>
        <w:rPr>
          <w:rFonts w:ascii="Times New Roman" w:hAnsi="Times New Roman" w:eastAsia="Times New Roman"/>
          <w:color w:val="000000"/>
          <w:sz w:val="24"/>
        </w:rPr>
        <w:t>- Catalyst addition (0.01-0.1 mol% Sn(Oct)_2)</w:t>
      </w:r>
    </w:p>
    <w:p>
      <w:pPr>
        <w:spacing w:line="360" w:lineRule="auto"/>
        <w:jc w:val="both"/>
      </w:pPr>
      <w:r>
        <w:rPr>
          <w:rFonts w:ascii="Times New Roman" w:hAnsi="Times New Roman" w:eastAsia="Times New Roman"/>
          <w:color w:val="000000"/>
          <w:sz w:val="24"/>
        </w:rPr>
        <w:t>- Bulk ROP at 140°C for 24h under N_2 [1]</w:t>
      </w:r>
    </w:p>
    <w:p>
      <w:pPr>
        <w:pStyle w:val="Heading2"/>
      </w:pPr>
      <w:r>
        <w:rPr>
          <w:rFonts w:ascii="Times New Roman" w:hAnsi="Times New Roman" w:eastAsia="Times New Roman"/>
          <w:color w:val="000000"/>
        </w:rPr>
        <w:t>3. **Post-Processing:**</w:t>
      </w:r>
    </w:p>
    <w:p>
      <w:pPr>
        <w:spacing w:line="360" w:lineRule="auto"/>
        <w:jc w:val="both"/>
      </w:pPr>
      <w:r>
        <w:rPr>
          <w:rFonts w:ascii="Times New Roman" w:hAnsi="Times New Roman" w:eastAsia="Times New Roman"/>
          <w:color w:val="000000"/>
          <w:sz w:val="24"/>
        </w:rPr>
        <w:t>- Dissolve in chloroform, precipitate in cold methanol</w:t>
      </w:r>
    </w:p>
    <w:p>
      <w:pPr>
        <w:spacing w:line="360" w:lineRule="auto"/>
        <w:jc w:val="both"/>
      </w:pPr>
      <w:r>
        <w:rPr>
          <w:rFonts w:ascii="Times New Roman" w:hAnsi="Times New Roman" w:eastAsia="Times New Roman"/>
          <w:color w:val="000000"/>
          <w:sz w:val="24"/>
        </w:rPr>
        <w:t>- Vacuum-dry at 40°C (48h)</w:t>
      </w:r>
    </w:p>
    <w:p>
      <w:pPr>
        <w:pStyle w:val="Heading2"/>
      </w:pPr>
      <w:r>
        <w:rPr>
          <w:rFonts w:ascii="Times New Roman" w:hAnsi="Times New Roman" w:eastAsia="Times New Roman"/>
          <w:color w:val="000000"/>
        </w:rPr>
        <w:t>4. **Film Fabrication:**</w:t>
      </w:r>
    </w:p>
    <w:p>
      <w:pPr>
        <w:spacing w:line="360" w:lineRule="auto"/>
        <w:jc w:val="both"/>
      </w:pPr>
      <w:r>
        <w:rPr>
          <w:rFonts w:ascii="Times New Roman" w:hAnsi="Times New Roman" w:eastAsia="Times New Roman"/>
          <w:color w:val="000000"/>
          <w:sz w:val="24"/>
        </w:rPr>
        <w:t>- Compression mold at 180°C (above T_m)</w:t>
      </w:r>
    </w:p>
    <w:p>
      <w:pPr>
        <w:spacing w:line="360" w:lineRule="auto"/>
        <w:jc w:val="both"/>
      </w:pPr>
      <w:r>
        <w:rPr>
          <w:rFonts w:ascii="Times New Roman" w:hAnsi="Times New Roman" w:eastAsia="Times New Roman"/>
          <w:color w:val="000000"/>
          <w:sz w:val="24"/>
        </w:rPr>
        <w:t>- Quench-cool to preserve amorphous phase</w:t>
      </w:r>
    </w:p>
    <w:p>
      <w:pPr>
        <w:pStyle w:val="Heading3"/>
      </w:pPr>
      <w:r>
        <w:rPr>
          <w:rFonts w:ascii="Times New Roman" w:hAnsi="Times New Roman" w:eastAsia="Times New Roman"/>
          <w:color w:val="000000"/>
        </w:rPr>
        <w:t>3.4 Structural and Physicochemical Characterization</w:t>
      </w:r>
    </w:p>
    <w:p>
      <w:pPr>
        <w:spacing w:line="360" w:lineRule="auto"/>
        <w:jc w:val="both"/>
      </w:pPr>
      <w:r>
        <w:rPr>
          <w:rFonts w:ascii="Times New Roman" w:hAnsi="Times New Roman" w:eastAsia="Times New Roman"/>
          <w:color w:val="000000"/>
          <w:sz w:val="24"/>
        </w:rPr>
        <w:t>- **DSC (ASTM D3418):** Tg, T_m, crystallinity (10°C/min, N_2)</w:t>
      </w:r>
    </w:p>
    <w:p>
      <w:pPr>
        <w:spacing w:line="360" w:lineRule="auto"/>
        <w:jc w:val="both"/>
      </w:pPr>
      <w:r>
        <w:rPr>
          <w:rFonts w:ascii="Times New Roman" w:hAnsi="Times New Roman" w:eastAsia="Times New Roman"/>
          <w:color w:val="000000"/>
          <w:sz w:val="24"/>
        </w:rPr>
        <w:t>- **FTIR:** Ester/carbonate bond formation</w:t>
      </w:r>
    </w:p>
    <w:p>
      <w:pPr>
        <w:spacing w:line="360" w:lineRule="auto"/>
        <w:jc w:val="both"/>
      </w:pPr>
      <w:r>
        <w:rPr>
          <w:rFonts w:ascii="Times New Roman" w:hAnsi="Times New Roman" w:eastAsia="Times New Roman"/>
          <w:color w:val="000000"/>
          <w:sz w:val="24"/>
        </w:rPr>
        <w:t>- **^1H-NMR:** Comonomer incorporation efficiency</w:t>
      </w:r>
    </w:p>
    <w:p>
      <w:pPr>
        <w:spacing w:line="360" w:lineRule="auto"/>
        <w:jc w:val="both"/>
      </w:pPr>
      <w:r>
        <w:rPr>
          <w:rFonts w:ascii="Times New Roman" w:hAnsi="Times New Roman" w:eastAsia="Times New Roman"/>
          <w:color w:val="000000"/>
          <w:sz w:val="24"/>
        </w:rPr>
        <w:t>- **GPC:** Molecular weight distribution</w:t>
      </w:r>
    </w:p>
    <w:p>
      <w:pPr>
        <w:spacing w:line="360" w:lineRule="auto"/>
        <w:jc w:val="both"/>
      </w:pPr>
      <w:r>
        <w:rPr>
          <w:rFonts w:ascii="Times New Roman" w:hAnsi="Times New Roman" w:eastAsia="Times New Roman"/>
          <w:color w:val="000000"/>
          <w:sz w:val="24"/>
        </w:rPr>
        <w:t>- **XRD:** Crystal structure analysis (if semicrystalline)</w:t>
      </w:r>
    </w:p>
    <w:p>
      <w:pPr>
        <w:pStyle w:val="Heading3"/>
      </w:pPr>
      <w:r>
        <w:rPr>
          <w:rFonts w:ascii="Times New Roman" w:hAnsi="Times New Roman" w:eastAsia="Times New Roman"/>
          <w:color w:val="000000"/>
        </w:rPr>
        <w:t>3.5 Mechanical Testing Protocol</w:t>
      </w:r>
    </w:p>
    <w:p>
      <w:pPr>
        <w:spacing w:line="360" w:lineRule="auto"/>
        <w:jc w:val="both"/>
      </w:pPr>
      <w:r>
        <w:rPr>
          <w:rFonts w:ascii="Times New Roman" w:hAnsi="Times New Roman" w:eastAsia="Times New Roman"/>
          <w:color w:val="000000"/>
          <w:sz w:val="24"/>
        </w:rPr>
        <w:t>*Primary Readouts:* Elastic modulus, tensile strength, elongation at break</w:t>
      </w:r>
    </w:p>
    <w:p>
      <w:pPr>
        <w:spacing w:line="360" w:lineRule="auto"/>
        <w:jc w:val="both"/>
      </w:pPr>
      <w:r>
        <w:rPr>
          <w:rFonts w:ascii="Times New Roman" w:hAnsi="Times New Roman" w:eastAsia="Times New Roman"/>
          <w:color w:val="000000"/>
          <w:sz w:val="24"/>
        </w:rPr>
        <w:t>*Testing Conditions:*</w:t>
      </w:r>
    </w:p>
    <w:p>
      <w:pPr>
        <w:spacing w:line="360" w:lineRule="auto"/>
        <w:jc w:val="both"/>
      </w:pPr>
      <w:r>
        <w:rPr>
          <w:rFonts w:ascii="Times New Roman" w:hAnsi="Times New Roman" w:eastAsia="Times New Roman"/>
          <w:color w:val="000000"/>
          <w:sz w:val="24"/>
        </w:rPr>
        <w:t>- ASTM D638 (Type V specimens)</w:t>
      </w:r>
    </w:p>
    <w:p>
      <w:pPr>
        <w:spacing w:line="360" w:lineRule="auto"/>
        <w:jc w:val="both"/>
      </w:pPr>
      <w:r>
        <w:rPr>
          <w:rFonts w:ascii="Times New Roman" w:hAnsi="Times New Roman" w:eastAsia="Times New Roman"/>
          <w:color w:val="000000"/>
          <w:sz w:val="24"/>
        </w:rPr>
        <w:t>- Crosshead speed: 5 mm/min</w:t>
      </w:r>
    </w:p>
    <w:p>
      <w:pPr>
        <w:spacing w:line="360" w:lineRule="auto"/>
        <w:jc w:val="both"/>
      </w:pPr>
      <w:r>
        <w:rPr>
          <w:rFonts w:ascii="Times New Roman" w:hAnsi="Times New Roman" w:eastAsia="Times New Roman"/>
          <w:color w:val="000000"/>
          <w:sz w:val="24"/>
        </w:rPr>
        <w:t>- Temperature: 23°C (dry state)</w:t>
      </w:r>
    </w:p>
    <w:p>
      <w:pPr>
        <w:spacing w:line="360" w:lineRule="auto"/>
        <w:jc w:val="both"/>
      </w:pPr>
      <w:r>
        <w:rPr>
          <w:rFonts w:ascii="Times New Roman" w:hAnsi="Times New Roman" w:eastAsia="Times New Roman"/>
          <w:color w:val="000000"/>
          <w:sz w:val="24"/>
        </w:rPr>
        <w:t>- Relative humidity: 50%</w:t>
      </w:r>
    </w:p>
    <w:p>
      <w:pPr>
        <w:spacing w:line="360" w:lineRule="auto"/>
        <w:jc w:val="both"/>
      </w:pPr>
      <w:r>
        <w:rPr>
          <w:rFonts w:ascii="Times New Roman" w:hAnsi="Times New Roman" w:eastAsia="Times New Roman"/>
          <w:color w:val="000000"/>
          <w:sz w:val="24"/>
        </w:rPr>
        <w:t>*Critical Comparisons:*</w:t>
      </w:r>
    </w:p>
    <w:p>
      <w:pPr>
        <w:spacing w:line="360" w:lineRule="auto"/>
        <w:jc w:val="both"/>
      </w:pPr>
      <w:r>
        <w:rPr>
          <w:rFonts w:ascii="Times New Roman" w:hAnsi="Times New Roman" w:eastAsia="Times New Roman"/>
          <w:color w:val="000000"/>
          <w:sz w:val="24"/>
        </w:rPr>
        <w:t>- Terpolymers vs. PLA control (Group 1)</w:t>
      </w:r>
    </w:p>
    <w:p>
      <w:pPr>
        <w:spacing w:line="360" w:lineRule="auto"/>
        <w:jc w:val="both"/>
      </w:pPr>
      <w:r>
        <w:rPr>
          <w:rFonts w:ascii="Times New Roman" w:hAnsi="Times New Roman" w:eastAsia="Times New Roman"/>
          <w:color w:val="000000"/>
          <w:sz w:val="24"/>
        </w:rPr>
        <w:t>- Terpolymers vs. binary copolymers (Groups 2-3)</w:t>
      </w:r>
    </w:p>
    <w:p>
      <w:pPr>
        <w:spacing w:line="360" w:lineRule="auto"/>
        <w:jc w:val="both"/>
      </w:pPr>
      <w:r>
        <w:rPr>
          <w:rFonts w:ascii="Times New Roman" w:hAnsi="Times New Roman" w:eastAsia="Times New Roman"/>
          <w:color w:val="000000"/>
          <w:sz w:val="24"/>
        </w:rPr>
        <w:t>- Anisotropy effects via parallel/perpendicular sampling</w:t>
      </w:r>
    </w:p>
    <w:p>
      <w:pPr>
        <w:pStyle w:val="Heading3"/>
      </w:pPr>
      <w:r>
        <w:rPr>
          <w:rFonts w:ascii="Times New Roman" w:hAnsi="Times New Roman" w:eastAsia="Times New Roman"/>
          <w:color w:val="000000"/>
        </w:rPr>
        <w:t>3.6 Degradation Evaluation Protocol</w:t>
      </w:r>
    </w:p>
    <w:p>
      <w:pPr>
        <w:spacing w:line="360" w:lineRule="auto"/>
        <w:jc w:val="both"/>
      </w:pPr>
      <w:r>
        <w:rPr>
          <w:rFonts w:ascii="Times New Roman" w:hAnsi="Times New Roman" w:eastAsia="Times New Roman"/>
          <w:color w:val="000000"/>
          <w:sz w:val="24"/>
        </w:rPr>
        <w:t>*Accelerated Hydrolytic Degradation:*</w:t>
      </w:r>
    </w:p>
    <w:p>
      <w:pPr>
        <w:spacing w:line="360" w:lineRule="auto"/>
        <w:jc w:val="both"/>
      </w:pPr>
      <w:r>
        <w:rPr>
          <w:rFonts w:ascii="Times New Roman" w:hAnsi="Times New Roman" w:eastAsia="Times New Roman"/>
          <w:color w:val="000000"/>
          <w:sz w:val="24"/>
        </w:rPr>
        <w:t>- PBS immersion (pH 7.4, 37°C)</w:t>
      </w:r>
    </w:p>
    <w:p>
      <w:pPr>
        <w:spacing w:line="360" w:lineRule="auto"/>
        <w:jc w:val="both"/>
      </w:pPr>
      <w:r>
        <w:rPr>
          <w:rFonts w:ascii="Times New Roman" w:hAnsi="Times New Roman" w:eastAsia="Times New Roman"/>
          <w:color w:val="000000"/>
          <w:sz w:val="24"/>
        </w:rPr>
        <w:t>- Sampling intervals: 1, 2, 4, 8 weeks</w:t>
      </w:r>
    </w:p>
    <w:p>
      <w:pPr>
        <w:spacing w:line="360" w:lineRule="auto"/>
        <w:jc w:val="both"/>
      </w:pPr>
      <w:r>
        <w:rPr>
          <w:rFonts w:ascii="Times New Roman" w:hAnsi="Times New Roman" w:eastAsia="Times New Roman"/>
          <w:color w:val="000000"/>
          <w:sz w:val="24"/>
        </w:rPr>
        <w:t>*Measurements:*</w:t>
      </w:r>
    </w:p>
    <w:p>
      <w:pPr>
        <w:spacing w:line="360" w:lineRule="auto"/>
        <w:jc w:val="both"/>
      </w:pPr>
      <w:r>
        <w:rPr>
          <w:rFonts w:ascii="Times New Roman" w:hAnsi="Times New Roman" w:eastAsia="Times New Roman"/>
          <w:color w:val="000000"/>
          <w:sz w:val="24"/>
        </w:rPr>
        <w:t>- Mass loss (%)</w:t>
      </w:r>
    </w:p>
    <w:p>
      <w:pPr>
        <w:spacing w:line="360" w:lineRule="auto"/>
        <w:jc w:val="both"/>
      </w:pPr>
      <w:r>
        <w:rPr>
          <w:rFonts w:ascii="Times New Roman" w:hAnsi="Times New Roman" w:eastAsia="Times New Roman"/>
          <w:color w:val="000000"/>
          <w:sz w:val="24"/>
        </w:rPr>
        <w:t>- Molecular weight retention (GPC)</w:t>
      </w:r>
    </w:p>
    <w:p>
      <w:pPr>
        <w:spacing w:line="360" w:lineRule="auto"/>
        <w:jc w:val="both"/>
      </w:pPr>
      <w:r>
        <w:rPr>
          <w:rFonts w:ascii="Times New Roman" w:hAnsi="Times New Roman" w:eastAsia="Times New Roman"/>
          <w:color w:val="000000"/>
          <w:sz w:val="24"/>
        </w:rPr>
        <w:t>- Mechanical property decay (tensile tests on wet samples)</w:t>
      </w:r>
    </w:p>
    <w:p>
      <w:pPr>
        <w:spacing w:line="360" w:lineRule="auto"/>
        <w:jc w:val="both"/>
      </w:pPr>
      <w:r>
        <w:rPr>
          <w:rFonts w:ascii="Times New Roman" w:hAnsi="Times New Roman" w:eastAsia="Times New Roman"/>
          <w:color w:val="000000"/>
          <w:sz w:val="24"/>
        </w:rPr>
        <w:t>- Surface morphology (SEM)</w:t>
      </w:r>
    </w:p>
    <w:p>
      <w:pPr>
        <w:pStyle w:val="Heading3"/>
      </w:pPr>
      <w:r>
        <w:rPr>
          <w:rFonts w:ascii="Times New Roman" w:hAnsi="Times New Roman" w:eastAsia="Times New Roman"/>
          <w:color w:val="000000"/>
        </w:rPr>
        <w:t>3.7 Biocompatibility / Biofunction Evaluation</w:t>
      </w:r>
    </w:p>
    <w:p>
      <w:pPr>
        <w:spacing w:line="360" w:lineRule="auto"/>
        <w:jc w:val="both"/>
      </w:pPr>
      <w:r>
        <w:rPr>
          <w:rFonts w:ascii="Times New Roman" w:hAnsi="Times New Roman" w:eastAsia="Times New Roman"/>
          <w:color w:val="000000"/>
          <w:sz w:val="24"/>
        </w:rPr>
        <w:t>*Preliminary Assessment Only (if resources permit):*</w:t>
      </w:r>
    </w:p>
    <w:p>
      <w:pPr>
        <w:spacing w:line="360" w:lineRule="auto"/>
        <w:jc w:val="both"/>
      </w:pPr>
      <w:r>
        <w:rPr>
          <w:rFonts w:ascii="Times New Roman" w:hAnsi="Times New Roman" w:eastAsia="Times New Roman"/>
          <w:color w:val="000000"/>
          <w:sz w:val="24"/>
        </w:rPr>
        <w:t>- ISO 10993-5 cytotoxicity screening (L929 fibroblasts)</w:t>
      </w:r>
    </w:p>
    <w:p>
      <w:pPr>
        <w:spacing w:line="360" w:lineRule="auto"/>
        <w:jc w:val="both"/>
      </w:pPr>
      <w:r>
        <w:rPr>
          <w:rFonts w:ascii="Times New Roman" w:hAnsi="Times New Roman" w:eastAsia="Times New Roman"/>
          <w:color w:val="000000"/>
          <w:sz w:val="24"/>
        </w:rPr>
        <w:t>- No in vivo evaluation in initial phase</w:t>
      </w:r>
    </w:p>
    <w:p>
      <w:pPr>
        <w:pStyle w:val="Heading3"/>
      </w:pPr>
      <w:r>
        <w:rPr>
          <w:rFonts w:ascii="Times New Roman" w:hAnsi="Times New Roman" w:eastAsia="Times New Roman"/>
          <w:color w:val="000000"/>
        </w:rPr>
        <w:t>3.8 Controls, Decision Criteria, and Statistical Comparison</w:t>
      </w:r>
    </w:p>
    <w:p>
      <w:pPr>
        <w:spacing w:line="360" w:lineRule="auto"/>
        <w:jc w:val="both"/>
      </w:pPr>
      <w:r>
        <w:rPr>
          <w:rFonts w:ascii="Times New Roman" w:hAnsi="Times New Roman" w:eastAsia="Times New Roman"/>
          <w:color w:val="000000"/>
          <w:sz w:val="24"/>
        </w:rPr>
        <w:t>*Success Criteria:*</w:t>
      </w:r>
    </w:p>
    <w:p>
      <w:pPr>
        <w:spacing w:line="360" w:lineRule="auto"/>
        <w:jc w:val="both"/>
      </w:pPr>
      <w:r>
        <w:rPr>
          <w:rFonts w:ascii="Times New Roman" w:hAnsi="Times New Roman" w:eastAsia="Times New Roman"/>
          <w:color w:val="000000"/>
          <w:sz w:val="24"/>
        </w:rPr>
        <w:t>- Tg ≥ 65°C (ΔTg ≥ +5°C vs. PLA)</w:t>
      </w:r>
    </w:p>
    <w:p>
      <w:pPr>
        <w:spacing w:line="360" w:lineRule="auto"/>
        <w:jc w:val="both"/>
      </w:pPr>
      <w:r>
        <w:rPr>
          <w:rFonts w:ascii="Times New Roman" w:hAnsi="Times New Roman" w:eastAsia="Times New Roman"/>
          <w:color w:val="000000"/>
          <w:sz w:val="24"/>
        </w:rPr>
        <w:t>- Elongation at break ≥ 10% (no significant reduction vs. PLA control)</w:t>
      </w:r>
    </w:p>
    <w:p>
      <w:pPr>
        <w:spacing w:line="360" w:lineRule="auto"/>
        <w:jc w:val="both"/>
      </w:pPr>
      <w:r>
        <w:rPr>
          <w:rFonts w:ascii="Times New Roman" w:hAnsi="Times New Roman" w:eastAsia="Times New Roman"/>
          <w:color w:val="000000"/>
          <w:sz w:val="24"/>
        </w:rPr>
        <w:t>*Failure Thresholds:*</w:t>
      </w:r>
    </w:p>
    <w:p>
      <w:pPr>
        <w:spacing w:line="360" w:lineRule="auto"/>
        <w:jc w:val="both"/>
      </w:pPr>
      <w:r>
        <w:rPr>
          <w:rFonts w:ascii="Times New Roman" w:hAnsi="Times New Roman" w:eastAsia="Times New Roman"/>
          <w:color w:val="000000"/>
          <w:sz w:val="24"/>
        </w:rPr>
        <w:t>- Tg &lt; 60°C</w:t>
      </w:r>
    </w:p>
    <w:p>
      <w:pPr>
        <w:spacing w:line="360" w:lineRule="auto"/>
        <w:jc w:val="both"/>
      </w:pPr>
      <w:r>
        <w:rPr>
          <w:rFonts w:ascii="Times New Roman" w:hAnsi="Times New Roman" w:eastAsia="Times New Roman"/>
          <w:color w:val="000000"/>
          <w:sz w:val="24"/>
        </w:rPr>
        <w:t>- Elongation at break ≤ 5%</w:t>
      </w:r>
    </w:p>
    <w:p>
      <w:pPr>
        <w:spacing w:line="360" w:lineRule="auto"/>
        <w:jc w:val="both"/>
      </w:pPr>
      <w:r>
        <w:rPr>
          <w:rFonts w:ascii="Times New Roman" w:hAnsi="Times New Roman" w:eastAsia="Times New Roman"/>
          <w:color w:val="000000"/>
          <w:sz w:val="24"/>
        </w:rPr>
        <w:t>*Statistical Design:*</w:t>
      </w:r>
    </w:p>
    <w:p>
      <w:pPr>
        <w:spacing w:line="360" w:lineRule="auto"/>
        <w:jc w:val="both"/>
      </w:pPr>
      <w:r>
        <w:rPr>
          <w:rFonts w:ascii="Times New Roman" w:hAnsi="Times New Roman" w:eastAsia="Times New Roman"/>
          <w:color w:val="000000"/>
          <w:sz w:val="24"/>
        </w:rPr>
        <w:t>- n=5 replicates per formulation</w:t>
      </w:r>
    </w:p>
    <w:p>
      <w:pPr>
        <w:spacing w:line="360" w:lineRule="auto"/>
        <w:jc w:val="both"/>
      </w:pPr>
      <w:r>
        <w:rPr>
          <w:rFonts w:ascii="Times New Roman" w:hAnsi="Times New Roman" w:eastAsia="Times New Roman"/>
          <w:color w:val="000000"/>
          <w:sz w:val="24"/>
        </w:rPr>
        <w:t>- ANOVA with Tukey HSD (α=0.05)</w:t>
      </w:r>
    </w:p>
    <w:p>
      <w:pPr>
        <w:spacing w:line="360" w:lineRule="auto"/>
        <w:jc w:val="both"/>
      </w:pPr>
      <w:r>
        <w:rPr>
          <w:rFonts w:ascii="Times New Roman" w:hAnsi="Times New Roman" w:eastAsia="Times New Roman"/>
          <w:color w:val="000000"/>
          <w:sz w:val="24"/>
        </w:rPr>
        <w:t>- DOE expansion if Group 4-6 show Tg-ductility correlations</w:t>
      </w:r>
    </w:p>
    <w:p>
      <w:pPr>
        <w:pStyle w:val="Heading2"/>
      </w:pPr>
      <w:r>
        <w:rPr>
          <w:rFonts w:ascii="Times New Roman" w:hAnsi="Times New Roman" w:eastAsia="Times New Roman"/>
          <w:color w:val="000000"/>
        </w:rPr>
        <w:t>4. Results and Evidence-Based Discussion</w:t>
      </w:r>
    </w:p>
    <w:p>
      <w:pPr>
        <w:pStyle w:val="Heading3"/>
      </w:pPr>
      <w:r>
        <w:rPr>
          <w:rFonts w:ascii="Times New Roman" w:hAnsi="Times New Roman" w:eastAsia="Times New Roman"/>
          <w:color w:val="000000"/>
        </w:rPr>
        <w:t>4.1 Directly Supported Expectations</w:t>
      </w:r>
    </w:p>
    <w:p>
      <w:pPr>
        <w:spacing w:line="360" w:lineRule="auto"/>
        <w:jc w:val="both"/>
      </w:pPr>
      <w:r>
        <w:rPr>
          <w:rFonts w:ascii="Times New Roman" w:hAnsi="Times New Roman" w:eastAsia="Times New Roman"/>
          <w:color w:val="000000"/>
          <w:sz w:val="24"/>
        </w:rPr>
        <w:t>- Copolymerization structurally modulates PLA's Tg [1, 2, 9]</w:t>
      </w:r>
    </w:p>
    <w:p>
      <w:pPr>
        <w:spacing w:line="360" w:lineRule="auto"/>
        <w:jc w:val="both"/>
      </w:pPr>
      <w:r>
        <w:rPr>
          <w:rFonts w:ascii="Times New Roman" w:hAnsi="Times New Roman" w:eastAsia="Times New Roman"/>
          <w:color w:val="000000"/>
          <w:sz w:val="24"/>
        </w:rPr>
        <w:t>- Chain mobility restriction mechanisms can elevate Tg [8, 9]</w:t>
      </w:r>
    </w:p>
    <w:p>
      <w:pPr>
        <w:spacing w:line="360" w:lineRule="auto"/>
        <w:jc w:val="both"/>
      </w:pPr>
      <w:r>
        <w:rPr>
          <w:rFonts w:ascii="Times New Roman" w:hAnsi="Times New Roman" w:eastAsia="Times New Roman"/>
          <w:color w:val="000000"/>
          <w:sz w:val="24"/>
        </w:rPr>
        <w:t>- Flexible segments mitigate brittleness in copolymer systems [3, 6]</w:t>
      </w:r>
    </w:p>
    <w:p>
      <w:pPr>
        <w:spacing w:line="360" w:lineRule="auto"/>
        <w:jc w:val="both"/>
      </w:pPr>
      <w:r>
        <w:rPr>
          <w:rFonts w:ascii="Times New Roman" w:hAnsi="Times New Roman" w:eastAsia="Times New Roman"/>
          <w:color w:val="000000"/>
          <w:sz w:val="24"/>
        </w:rPr>
        <w:t>*No direct evidence* confirms cyclic lactone terpolymers achieve simultaneous Tg elevation and ductility retention.</w:t>
      </w:r>
    </w:p>
    <w:p>
      <w:pPr>
        <w:pStyle w:val="Heading3"/>
      </w:pPr>
      <w:r>
        <w:rPr>
          <w:rFonts w:ascii="Times New Roman" w:hAnsi="Times New Roman" w:eastAsia="Times New Roman"/>
          <w:color w:val="000000"/>
        </w:rPr>
        <w:t>4.2 Mechanistically Inferred Expectations</w:t>
      </w:r>
    </w:p>
    <w:p>
      <w:pPr>
        <w:pStyle w:val="Heading2"/>
      </w:pPr>
      <w:r>
        <w:rPr>
          <w:rFonts w:ascii="Times New Roman" w:hAnsi="Times New Roman" w:eastAsia="Times New Roman"/>
          <w:color w:val="000000"/>
        </w:rPr>
        <w:t>1. **Thermal Performance:**</w:t>
      </w:r>
    </w:p>
    <w:p>
      <w:pPr>
        <w:spacing w:line="360" w:lineRule="auto"/>
        <w:jc w:val="both"/>
      </w:pPr>
      <w:r>
        <w:rPr>
          <w:rFonts w:ascii="Times New Roman" w:hAnsi="Times New Roman" w:eastAsia="Times New Roman"/>
          <w:color w:val="000000"/>
          <w:sz w:val="24"/>
        </w:rPr>
        <w:t>- Rigid cyclic lactones should restrict chain mobility, elevating Tg by 5-15°C based on copolymer precedents [8, 9]</w:t>
      </w:r>
    </w:p>
    <w:p>
      <w:pPr>
        <w:spacing w:line="360" w:lineRule="auto"/>
        <w:jc w:val="both"/>
      </w:pPr>
      <w:r>
        <w:rPr>
          <w:rFonts w:ascii="Times New Roman" w:hAnsi="Times New Roman" w:eastAsia="Times New Roman"/>
          <w:color w:val="000000"/>
          <w:sz w:val="24"/>
        </w:rPr>
        <w:t>- Optimal comonomer ratios may suppress crystallization, enhancing amorphous-phase contributions to Tg [5]</w:t>
      </w:r>
    </w:p>
    <w:p>
      <w:pPr>
        <w:pStyle w:val="Heading2"/>
      </w:pPr>
      <w:r>
        <w:rPr>
          <w:rFonts w:ascii="Times New Roman" w:hAnsi="Times New Roman" w:eastAsia="Times New Roman"/>
          <w:color w:val="000000"/>
        </w:rPr>
        <w:t>2. **Mechanical Behavior:**</w:t>
      </w:r>
    </w:p>
    <w:p>
      <w:pPr>
        <w:spacing w:line="360" w:lineRule="auto"/>
        <w:jc w:val="both"/>
      </w:pPr>
      <w:r>
        <w:rPr>
          <w:rFonts w:ascii="Times New Roman" w:hAnsi="Times New Roman" w:eastAsia="Times New Roman"/>
          <w:color w:val="000000"/>
          <w:sz w:val="24"/>
        </w:rPr>
        <w:t>- Phase-separated morphologies could enable crack-tip blunting [10]</w:t>
      </w:r>
    </w:p>
    <w:p>
      <w:pPr>
        <w:spacing w:line="360" w:lineRule="auto"/>
        <w:jc w:val="both"/>
      </w:pPr>
      <w:r>
        <w:rPr>
          <w:rFonts w:ascii="Times New Roman" w:hAnsi="Times New Roman" w:eastAsia="Times New Roman"/>
          <w:color w:val="000000"/>
          <w:sz w:val="24"/>
        </w:rPr>
        <w:t>- Balanced terpolymer architecture may decouple Tg-ductility trade-offs [3, 6]</w:t>
      </w:r>
    </w:p>
    <w:p>
      <w:pPr>
        <w:pStyle w:val="Heading2"/>
      </w:pPr>
      <w:r>
        <w:rPr>
          <w:rFonts w:ascii="Times New Roman" w:hAnsi="Times New Roman" w:eastAsia="Times New Roman"/>
          <w:color w:val="000000"/>
        </w:rPr>
        <w:t>3. **Degradation:**</w:t>
      </w:r>
    </w:p>
    <w:p>
      <w:pPr>
        <w:spacing w:line="360" w:lineRule="auto"/>
        <w:jc w:val="both"/>
      </w:pPr>
      <w:r>
        <w:rPr>
          <w:rFonts w:ascii="Times New Roman" w:hAnsi="Times New Roman" w:eastAsia="Times New Roman"/>
          <w:color w:val="000000"/>
          <w:sz w:val="24"/>
        </w:rPr>
        <w:t>- Increased ester density may accelerate hydrolysis versus PLA homopolymer [11]</w:t>
      </w:r>
    </w:p>
    <w:p>
      <w:pPr>
        <w:pStyle w:val="Heading3"/>
      </w:pPr>
      <w:r>
        <w:rPr>
          <w:rFonts w:ascii="Times New Roman" w:hAnsi="Times New Roman" w:eastAsia="Times New Roman"/>
          <w:color w:val="000000"/>
        </w:rPr>
        <w:t>4.3 Evidence Gaps and Uncertainty</w:t>
      </w:r>
    </w:p>
    <w:p>
      <w:pPr>
        <w:spacing w:line="360" w:lineRule="auto"/>
        <w:jc w:val="both"/>
      </w:pPr>
      <w:r>
        <w:rPr>
          <w:rFonts w:ascii="Times New Roman" w:hAnsi="Times New Roman" w:eastAsia="Times New Roman"/>
          <w:color w:val="000000"/>
          <w:sz w:val="24"/>
        </w:rPr>
        <w:t>*Critical Knowledge Gaps:*</w:t>
      </w:r>
    </w:p>
    <w:p>
      <w:pPr>
        <w:spacing w:line="360" w:lineRule="auto"/>
        <w:jc w:val="both"/>
      </w:pPr>
      <w:r>
        <w:rPr>
          <w:rFonts w:ascii="Times New Roman" w:hAnsi="Times New Roman" w:eastAsia="Times New Roman"/>
          <w:color w:val="000000"/>
          <w:sz w:val="24"/>
        </w:rPr>
        <w:t>- No data on cyclic lactone terpolymer degradation kinetics</w:t>
      </w:r>
    </w:p>
    <w:p>
      <w:pPr>
        <w:spacing w:line="360" w:lineRule="auto"/>
        <w:jc w:val="both"/>
      </w:pPr>
      <w:r>
        <w:rPr>
          <w:rFonts w:ascii="Times New Roman" w:hAnsi="Times New Roman" w:eastAsia="Times New Roman"/>
          <w:color w:val="000000"/>
          <w:sz w:val="24"/>
        </w:rPr>
        <w:t>- Unknown wet-state mechanical performance</w:t>
      </w:r>
    </w:p>
    <w:p>
      <w:pPr>
        <w:spacing w:line="360" w:lineRule="auto"/>
        <w:jc w:val="both"/>
      </w:pPr>
      <w:r>
        <w:rPr>
          <w:rFonts w:ascii="Times New Roman" w:hAnsi="Times New Roman" w:eastAsia="Times New Roman"/>
          <w:color w:val="000000"/>
          <w:sz w:val="24"/>
        </w:rPr>
        <w:t>- Unquantified processing-structure relationships</w:t>
      </w:r>
    </w:p>
    <w:p>
      <w:pPr>
        <w:spacing w:line="360" w:lineRule="auto"/>
        <w:jc w:val="both"/>
      </w:pPr>
      <w:r>
        <w:rPr>
          <w:rFonts w:ascii="Times New Roman" w:hAnsi="Times New Roman" w:eastAsia="Times New Roman"/>
          <w:color w:val="000000"/>
          <w:sz w:val="24"/>
        </w:rPr>
        <w:t>- Lack of long-term (&gt;8 week) property retention data</w:t>
      </w:r>
    </w:p>
    <w:p>
      <w:pPr>
        <w:spacing w:line="360" w:lineRule="auto"/>
        <w:jc w:val="both"/>
      </w:pPr>
      <w:r>
        <w:rPr>
          <w:rFonts w:ascii="Times New Roman" w:hAnsi="Times New Roman" w:eastAsia="Times New Roman"/>
          <w:color w:val="000000"/>
          <w:sz w:val="24"/>
        </w:rPr>
        <w:t>*High Uncertainty Areas:*</w:t>
      </w:r>
    </w:p>
    <w:p>
      <w:pPr>
        <w:spacing w:line="360" w:lineRule="auto"/>
        <w:jc w:val="both"/>
      </w:pPr>
      <w:r>
        <w:rPr>
          <w:rFonts w:ascii="Times New Roman" w:hAnsi="Times New Roman" w:eastAsia="Times New Roman"/>
          <w:color w:val="000000"/>
          <w:sz w:val="24"/>
        </w:rPr>
        <w:t>- Optimal cyclic lactone selection (beyond ε-CL/δ-VL)</w:t>
      </w:r>
    </w:p>
    <w:p>
      <w:pPr>
        <w:spacing w:line="360" w:lineRule="auto"/>
        <w:jc w:val="both"/>
      </w:pPr>
      <w:r>
        <w:rPr>
          <w:rFonts w:ascii="Times New Roman" w:hAnsi="Times New Roman" w:eastAsia="Times New Roman"/>
          <w:color w:val="000000"/>
          <w:sz w:val="24"/>
        </w:rPr>
        <w:t>- Flexibilizer segment length/distribution effects</w:t>
      </w:r>
    </w:p>
    <w:p>
      <w:pPr>
        <w:spacing w:line="360" w:lineRule="auto"/>
        <w:jc w:val="both"/>
      </w:pPr>
      <w:r>
        <w:rPr>
          <w:rFonts w:ascii="Times New Roman" w:hAnsi="Times New Roman" w:eastAsia="Times New Roman"/>
          <w:color w:val="000000"/>
          <w:sz w:val="24"/>
        </w:rPr>
        <w:t>- Melt-processability under industrial conditions</w:t>
      </w:r>
    </w:p>
    <w:p>
      <w:pPr>
        <w:pStyle w:val="Heading3"/>
      </w:pPr>
      <w:r>
        <w:rPr>
          <w:rFonts w:ascii="Times New Roman" w:hAnsi="Times New Roman" w:eastAsia="Times New Roman"/>
          <w:color w:val="000000"/>
        </w:rPr>
        <w:t>4.4 Comparison with Prior Systems</w:t>
      </w:r>
    </w:p>
    <w:p>
      <w:pPr>
        <w:spacing w:line="360" w:lineRule="auto"/>
        <w:jc w:val="both"/>
      </w:pPr>
      <w:r>
        <w:rPr>
          <w:rFonts w:ascii="Times New Roman" w:hAnsi="Times New Roman" w:eastAsia="Times New Roman"/>
          <w:color w:val="000000"/>
          <w:sz w:val="24"/>
        </w:rPr>
        <w:t>| System | Tg Shift | Ductility Change | Evidence |</w:t>
      </w:r>
    </w:p>
    <w:p>
      <w:pPr>
        <w:spacing w:line="360" w:lineRule="auto"/>
        <w:jc w:val="both"/>
      </w:pPr>
      <w:r>
        <w:rPr>
          <w:rFonts w:ascii="Times New Roman" w:hAnsi="Times New Roman" w:eastAsia="Times New Roman"/>
          <w:color w:val="000000"/>
          <w:sz w:val="24"/>
        </w:rPr>
        <w:t>|--------------------|---------------------|------------------|----------|</w:t>
      </w:r>
    </w:p>
    <w:p>
      <w:pPr>
        <w:spacing w:line="360" w:lineRule="auto"/>
        <w:jc w:val="both"/>
      </w:pPr>
      <w:r>
        <w:rPr>
          <w:rFonts w:ascii="Times New Roman" w:hAnsi="Times New Roman" w:eastAsia="Times New Roman"/>
          <w:color w:val="000000"/>
          <w:sz w:val="24"/>
        </w:rPr>
        <w:t>| PLA/PCL blends | Decrease | Increase | [3] |</w:t>
      </w:r>
    </w:p>
    <w:p>
      <w:pPr>
        <w:spacing w:line="360" w:lineRule="auto"/>
        <w:jc w:val="both"/>
      </w:pPr>
      <w:r>
        <w:rPr>
          <w:rFonts w:ascii="Times New Roman" w:hAnsi="Times New Roman" w:eastAsia="Times New Roman"/>
          <w:color w:val="000000"/>
          <w:sz w:val="24"/>
        </w:rPr>
        <w:t>| PLA stereocomplex | Unchanged | Decrease | [6] |</w:t>
      </w:r>
    </w:p>
    <w:p>
      <w:pPr>
        <w:spacing w:line="360" w:lineRule="auto"/>
        <w:jc w:val="both"/>
      </w:pPr>
      <w:r>
        <w:rPr>
          <w:rFonts w:ascii="Times New Roman" w:hAnsi="Times New Roman" w:eastAsia="Times New Roman"/>
          <w:color w:val="000000"/>
          <w:sz w:val="24"/>
        </w:rPr>
        <w:t>| Crosslinked PLA | Increase | Decrease | [9] |</w:t>
      </w:r>
    </w:p>
    <w:p>
      <w:pPr>
        <w:spacing w:line="360" w:lineRule="auto"/>
        <w:jc w:val="both"/>
      </w:pPr>
      <w:r>
        <w:rPr>
          <w:rFonts w:ascii="Times New Roman" w:hAnsi="Times New Roman" w:eastAsia="Times New Roman"/>
          <w:color w:val="000000"/>
          <w:sz w:val="24"/>
        </w:rPr>
        <w:t>| PANI-PLA composites| Increase | Unknown | [8] |</w:t>
      </w:r>
    </w:p>
    <w:p>
      <w:pPr>
        <w:spacing w:line="360" w:lineRule="auto"/>
        <w:jc w:val="both"/>
      </w:pPr>
      <w:r>
        <w:rPr>
          <w:rFonts w:ascii="Times New Roman" w:hAnsi="Times New Roman" w:eastAsia="Times New Roman"/>
          <w:color w:val="000000"/>
          <w:sz w:val="24"/>
        </w:rPr>
        <w:t>*Proposed Terpolymer* aims for unprecedented ↑Tg + maintained ductility.</w:t>
      </w:r>
    </w:p>
    <w:p>
      <w:pPr>
        <w:pStyle w:val="Heading2"/>
      </w:pPr>
      <w:r>
        <w:rPr>
          <w:rFonts w:ascii="Times New Roman" w:hAnsi="Times New Roman" w:eastAsia="Times New Roman"/>
          <w:color w:val="000000"/>
        </w:rPr>
        <w:t>5. Risk Analysis and Optimization Path</w:t>
      </w:r>
    </w:p>
    <w:p>
      <w:pPr>
        <w:pStyle w:val="Heading3"/>
      </w:pPr>
      <w:r>
        <w:rPr>
          <w:rFonts w:ascii="Times New Roman" w:hAnsi="Times New Roman" w:eastAsia="Times New Roman"/>
          <w:color w:val="000000"/>
        </w:rPr>
        <w:t>5.1 Major Failure Modes</w:t>
      </w:r>
    </w:p>
    <w:p>
      <w:pPr>
        <w:pStyle w:val="Heading2"/>
      </w:pPr>
      <w:r>
        <w:rPr>
          <w:rFonts w:ascii="Times New Roman" w:hAnsi="Times New Roman" w:eastAsia="Times New Roman"/>
          <w:color w:val="000000"/>
        </w:rPr>
        <w:t>1. **Critical Failure:** Cyclic lactone incorporation reduces Tg (observed in PCL-PLA [3])</w:t>
      </w:r>
    </w:p>
    <w:p>
      <w:pPr>
        <w:pStyle w:val="Heading2"/>
      </w:pPr>
      <w:r>
        <w:rPr>
          <w:rFonts w:ascii="Times New Roman" w:hAnsi="Times New Roman" w:eastAsia="Times New Roman"/>
          <w:color w:val="000000"/>
        </w:rPr>
        <w:t>2. **Mechanical Failure:** Ductility drops below 5% elongation</w:t>
      </w:r>
    </w:p>
    <w:p>
      <w:pPr>
        <w:pStyle w:val="Heading2"/>
      </w:pPr>
      <w:r>
        <w:rPr>
          <w:rFonts w:ascii="Times New Roman" w:hAnsi="Times New Roman" w:eastAsia="Times New Roman"/>
          <w:color w:val="000000"/>
        </w:rPr>
        <w:t>3. **Process Failure:** Terpolymer instability during melt processing</w:t>
      </w:r>
    </w:p>
    <w:p>
      <w:pPr>
        <w:pStyle w:val="Heading2"/>
      </w:pPr>
      <w:r>
        <w:rPr>
          <w:rFonts w:ascii="Times New Roman" w:hAnsi="Times New Roman" w:eastAsia="Times New Roman"/>
          <w:color w:val="000000"/>
        </w:rPr>
        <w:t>4. **Degradation Failure:** Accelerated hydrolysis compromises functional lifespan</w:t>
      </w:r>
    </w:p>
    <w:p>
      <w:pPr>
        <w:pStyle w:val="Heading3"/>
      </w:pPr>
      <w:r>
        <w:rPr>
          <w:rFonts w:ascii="Times New Roman" w:hAnsi="Times New Roman" w:eastAsia="Times New Roman"/>
          <w:color w:val="000000"/>
        </w:rPr>
        <w:t>5.2 Optimization Pathway</w:t>
      </w:r>
    </w:p>
    <w:p>
      <w:pPr>
        <w:spacing w:line="360" w:lineRule="auto"/>
        <w:jc w:val="both"/>
      </w:pPr>
      <w:r>
        <w:rPr>
          <w:rFonts w:ascii="Times New Roman" w:hAnsi="Times New Roman" w:eastAsia="Times New Roman"/>
          <w:color w:val="000000"/>
          <w:sz w:val="24"/>
        </w:rPr>
        <w:t>- **Tg too low:** Increase cyclic lactone rigidity (e.g., substituted lactones); reduce flexibilizer content</w:t>
      </w:r>
    </w:p>
    <w:p>
      <w:pPr>
        <w:spacing w:line="360" w:lineRule="auto"/>
        <w:jc w:val="both"/>
      </w:pPr>
      <w:r>
        <w:rPr>
          <w:rFonts w:ascii="Times New Roman" w:hAnsi="Times New Roman" w:eastAsia="Times New Roman"/>
          <w:color w:val="000000"/>
          <w:sz w:val="24"/>
        </w:rPr>
        <w:t>- **Ductility too low:** Increase flexibilizer molar ratio; optimize segment distribution</w:t>
      </w:r>
    </w:p>
    <w:p>
      <w:pPr>
        <w:spacing w:line="360" w:lineRule="auto"/>
        <w:jc w:val="both"/>
      </w:pPr>
      <w:r>
        <w:rPr>
          <w:rFonts w:ascii="Times New Roman" w:hAnsi="Times New Roman" w:eastAsia="Times New Roman"/>
          <w:color w:val="000000"/>
          <w:sz w:val="24"/>
        </w:rPr>
        <w:t>- **Degradation too fast:** Introduce hydrophobic modifiers; reduce ester bond density</w:t>
      </w:r>
    </w:p>
    <w:p>
      <w:pPr>
        <w:spacing w:line="360" w:lineRule="auto"/>
        <w:jc w:val="both"/>
      </w:pPr>
      <w:r>
        <w:rPr>
          <w:rFonts w:ascii="Times New Roman" w:hAnsi="Times New Roman" w:eastAsia="Times New Roman"/>
          <w:color w:val="000000"/>
          <w:sz w:val="24"/>
        </w:rPr>
        <w:t>- **Wet-state failure:** Incorporate hydrophobic additives; surface treatments</w:t>
      </w:r>
    </w:p>
    <w:p>
      <w:pPr>
        <w:spacing w:line="360" w:lineRule="auto"/>
        <w:jc w:val="both"/>
      </w:pPr>
      <w:r>
        <w:rPr>
          <w:rFonts w:ascii="Times New Roman" w:hAnsi="Times New Roman" w:eastAsia="Times New Roman"/>
          <w:color w:val="000000"/>
          <w:sz w:val="24"/>
        </w:rPr>
        <w:t>- **Biocompatibility issues:** Purify residual monomers; modify end-groups</w:t>
      </w:r>
    </w:p>
    <w:p>
      <w:pPr>
        <w:pStyle w:val="Heading2"/>
      </w:pPr>
      <w:r>
        <w:rPr>
          <w:rFonts w:ascii="Times New Roman" w:hAnsi="Times New Roman" w:eastAsia="Times New Roman"/>
          <w:color w:val="000000"/>
        </w:rPr>
        <w:t>6. Conclusion</w:t>
      </w:r>
    </w:p>
    <w:p>
      <w:pPr>
        <w:spacing w:line="360" w:lineRule="auto"/>
        <w:jc w:val="both"/>
      </w:pPr>
      <w:r>
        <w:rPr>
          <w:rFonts w:ascii="Times New Roman" w:hAnsi="Times New Roman" w:eastAsia="Times New Roman"/>
          <w:color w:val="000000"/>
          <w:sz w:val="24"/>
        </w:rPr>
        <w:t>The cyclic lactone terpolymer concept presents a theoretically viable but high-risk pathway for enhancing PLA's thermal performance without sacrificing ductility. While copolymerization precedents support mechanistic plausibility [1, 8, 9], the absence of direct evidence for this specific architecture necessitates cautious optimism. The proposed experimental plan provides a systematic verification framework prioritizing Tg-ductility balance assessment. Immediate next steps should focus on synthesizing Group 4-6 formulations with ε-caprolactone/TMC comonomers to establish baseline terpolymer behavior. Given significant evidence gaps, pilot-scale studies should precede industrial application considerations.</w:t>
      </w:r>
    </w:p>
    <w:p>
      <w:pPr>
        <w:pStyle w:val="Heading2"/>
      </w:pPr>
      <w:r>
        <w:rPr>
          <w:rFonts w:ascii="Times New Roman" w:hAnsi="Times New Roman" w:eastAsia="Times New Roman"/>
          <w:color w:val="000000"/>
        </w:rPr>
        <w:t>8. References</w:t>
      </w:r>
    </w:p>
    <w:p>
      <w:pPr>
        <w:spacing w:line="360" w:lineRule="auto"/>
        <w:jc w:val="both"/>
      </w:pPr>
      <w:r>
        <w:rPr>
          <w:rFonts w:ascii="Times New Roman" w:hAnsi="Times New Roman" w:eastAsia="Times New Roman"/>
          <w:color w:val="000000"/>
          <w:sz w:val="24"/>
        </w:rPr>
        <w:t>- [1] 101002_pat4840</w:t>
      </w:r>
    </w:p>
    <w:p>
      <w:pPr>
        <w:spacing w:line="360" w:lineRule="auto"/>
        <w:jc w:val="both"/>
      </w:pPr>
      <w:r>
        <w:rPr>
          <w:rFonts w:ascii="Times New Roman" w:hAnsi="Times New Roman" w:eastAsia="Times New Roman"/>
          <w:color w:val="000000"/>
          <w:sz w:val="24"/>
        </w:rPr>
        <w:t>- [2] 101007_s10965-022-02914-w</w:t>
      </w:r>
    </w:p>
    <w:p>
      <w:pPr>
        <w:spacing w:line="360" w:lineRule="auto"/>
        <w:jc w:val="both"/>
      </w:pPr>
      <w:r>
        <w:rPr>
          <w:rFonts w:ascii="Times New Roman" w:hAnsi="Times New Roman" w:eastAsia="Times New Roman"/>
          <w:color w:val="000000"/>
          <w:sz w:val="24"/>
        </w:rPr>
        <w:t>- [3] 101002_app42664</w:t>
      </w:r>
    </w:p>
    <w:p>
      <w:pPr>
        <w:spacing w:line="360" w:lineRule="auto"/>
        <w:jc w:val="both"/>
      </w:pPr>
      <w:r>
        <w:rPr>
          <w:rFonts w:ascii="Times New Roman" w:hAnsi="Times New Roman" w:eastAsia="Times New Roman"/>
          <w:color w:val="000000"/>
          <w:sz w:val="24"/>
        </w:rPr>
        <w:t>- [4] 101002_mame201200285</w:t>
      </w:r>
    </w:p>
    <w:p>
      <w:pPr>
        <w:spacing w:line="360" w:lineRule="auto"/>
        <w:jc w:val="both"/>
      </w:pPr>
      <w:r>
        <w:rPr>
          <w:rFonts w:ascii="Times New Roman" w:hAnsi="Times New Roman" w:eastAsia="Times New Roman"/>
          <w:color w:val="000000"/>
          <w:sz w:val="24"/>
        </w:rPr>
        <w:t>- [5] 101002_app46927</w:t>
      </w:r>
    </w:p>
    <w:p>
      <w:pPr>
        <w:spacing w:line="360" w:lineRule="auto"/>
        <w:jc w:val="both"/>
      </w:pPr>
      <w:r>
        <w:rPr>
          <w:rFonts w:ascii="Times New Roman" w:hAnsi="Times New Roman" w:eastAsia="Times New Roman"/>
          <w:color w:val="000000"/>
          <w:sz w:val="24"/>
        </w:rPr>
        <w:t>- [6] 101002_app43926</w:t>
      </w:r>
    </w:p>
    <w:p>
      <w:pPr>
        <w:spacing w:line="360" w:lineRule="auto"/>
        <w:jc w:val="both"/>
      </w:pPr>
      <w:r>
        <w:rPr>
          <w:rFonts w:ascii="Times New Roman" w:hAnsi="Times New Roman" w:eastAsia="Times New Roman"/>
          <w:color w:val="000000"/>
          <w:sz w:val="24"/>
        </w:rPr>
        <w:t>- [7] 101007_s00289-025-05999-7</w:t>
      </w:r>
    </w:p>
    <w:p>
      <w:pPr>
        <w:spacing w:line="360" w:lineRule="auto"/>
        <w:jc w:val="both"/>
      </w:pPr>
      <w:r>
        <w:rPr>
          <w:rFonts w:ascii="Times New Roman" w:hAnsi="Times New Roman" w:eastAsia="Times New Roman"/>
          <w:color w:val="000000"/>
          <w:sz w:val="24"/>
        </w:rPr>
        <w:t>- [8] 101002_pi5613</w:t>
      </w:r>
    </w:p>
    <w:p>
      <w:pPr>
        <w:spacing w:line="360" w:lineRule="auto"/>
        <w:jc w:val="both"/>
      </w:pPr>
      <w:r>
        <w:rPr>
          <w:rFonts w:ascii="Times New Roman" w:hAnsi="Times New Roman" w:eastAsia="Times New Roman"/>
          <w:color w:val="000000"/>
          <w:sz w:val="24"/>
        </w:rPr>
        <w:t>- [9] 101002_app54956</w:t>
      </w:r>
    </w:p>
    <w:p>
      <w:pPr>
        <w:spacing w:line="360" w:lineRule="auto"/>
        <w:jc w:val="both"/>
      </w:pPr>
      <w:r>
        <w:rPr>
          <w:rFonts w:ascii="Times New Roman" w:hAnsi="Times New Roman" w:eastAsia="Times New Roman"/>
          <w:color w:val="000000"/>
          <w:sz w:val="24"/>
        </w:rPr>
        <w:t>- [10] 101007_s10965-020-02071-y</w:t>
      </w:r>
    </w:p>
    <w:p>
      <w:pPr>
        <w:spacing w:line="360" w:lineRule="auto"/>
        <w:jc w:val="both"/>
      </w:pPr>
      <w:r>
        <w:rPr>
          <w:rFonts w:ascii="Times New Roman" w:hAnsi="Times New Roman" w:eastAsia="Times New Roman"/>
          <w:color w:val="000000"/>
          <w:sz w:val="24"/>
        </w:rPr>
        <w:t>- [11] 101039_d3gc04140a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