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color w:val="000000"/>
          <w:sz w:val="32"/>
        </w:rPr>
        <w:t>Design and Verification of a Dual-Crosslink Hydrogel Network for Biodegradable Implants with Sustained Mechanical Support</w:t>
      </w:r>
    </w:p>
    <w:p>
      <w:pPr>
        <w:pStyle w:val="Heading2"/>
      </w:pPr>
      <w:r>
        <w:rPr>
          <w:rFonts w:ascii="Times New Roman" w:hAnsi="Times New Roman" w:eastAsia="Times New Roman"/>
          <w:b/>
          <w:color w:val="000000"/>
          <w:sz w:val="30"/>
        </w:rPr>
        <w:t>Abstract</w:t>
      </w:r>
    </w:p>
    <w:p>
      <w:pPr>
        <w:spacing w:line="360" w:lineRule="auto"/>
        <w:jc w:val="both"/>
      </w:pPr>
      <w:r>
        <w:rPr>
          <w:rFonts w:ascii="Times New Roman" w:hAnsi="Times New Roman" w:eastAsia="Times New Roman"/>
          <w:color w:val="000000"/>
          <w:sz w:val="24"/>
        </w:rPr>
        <w:t>This study proposes a dual-crosslink hydrogel network for biodegradable implants that provides high initial mechanical support while retaining strength during early-stage hydrolytic degradation. The design employs a primary dynamic network (enabling self-healing and injectability) and a secondary covalent network (ensuring structural stability) to reconcile mechanical robustness with controlled degradation. Literature evidence confirms that dual networks enhance mechanical properties [1, 2, 3] and that sequential crosslinking reduces hydrolytic degradation by limiting water ingress [4]. However, direct evidence linking network architecture to mechanical retention during degradation remains limited. The experimental route involves synthesizing hydrogels with varied crosslink densities and network ratios, followed by mechanical testing under simulated physiological conditions. Key risks include unpredictable degradation kinetics and potential network incompatibility. With optimized crosslink density control, this design shows promise for applications requiring temporary mechanical support.</w:t>
      </w:r>
    </w:p>
    <w:p>
      <w:pPr>
        <w:pStyle w:val="Heading2"/>
      </w:pPr>
      <w:r>
        <w:rPr>
          <w:rFonts w:ascii="Times New Roman" w:hAnsi="Times New Roman" w:eastAsia="Times New Roman"/>
          <w:b/>
          <w:color w:val="000000"/>
          <w:sz w:val="30"/>
        </w:rPr>
        <w:t>1. Introduction</w:t>
      </w:r>
    </w:p>
    <w:p>
      <w:pPr>
        <w:pStyle w:val="Heading3"/>
      </w:pPr>
      <w:r>
        <w:rPr>
          <w:rFonts w:ascii="Times New Roman" w:hAnsi="Times New Roman" w:eastAsia="Times New Roman"/>
          <w:b/>
          <w:color w:val="000000"/>
          <w:sz w:val="28"/>
        </w:rPr>
        <w:t>1.1 Scientific Background</w:t>
      </w:r>
    </w:p>
    <w:p>
      <w:pPr>
        <w:spacing w:line="360" w:lineRule="auto"/>
        <w:jc w:val="both"/>
      </w:pPr>
      <w:r>
        <w:rPr>
          <w:rFonts w:ascii="Times New Roman" w:hAnsi="Times New Roman" w:eastAsia="Times New Roman"/>
          <w:color w:val="000000"/>
          <w:sz w:val="24"/>
        </w:rPr>
        <w:t>Biodegradable implants must provide sufficient mechanical support during tissue regeneration while degrading at rates matching healing timelines. Conventional single-network hydrogels often exhibit poor mechanical strength and uncontrolled degradation [1], limiting their use in load-bearing applications. Dual-network hydrogels have emerged as candidates to address these limitations through synergistic network interactions.</w:t>
      </w:r>
    </w:p>
    <w:p>
      <w:pPr>
        <w:pStyle w:val="Heading3"/>
      </w:pPr>
      <w:r>
        <w:rPr>
          <w:rFonts w:ascii="Times New Roman" w:hAnsi="Times New Roman" w:eastAsia="Times New Roman"/>
          <w:b/>
          <w:color w:val="000000"/>
          <w:sz w:val="28"/>
        </w:rPr>
        <w:t>1.2 Design Hypothesis</w:t>
      </w:r>
    </w:p>
    <w:p>
      <w:pPr>
        <w:spacing w:line="360" w:lineRule="auto"/>
        <w:jc w:val="both"/>
      </w:pPr>
      <w:r>
        <w:rPr>
          <w:rFonts w:ascii="Times New Roman" w:hAnsi="Times New Roman" w:eastAsia="Times New Roman"/>
          <w:color w:val="000000"/>
          <w:sz w:val="24"/>
        </w:rPr>
        <w:t>We hypothesize that a hydrogel with a primary dynamic network (e.g., Schiff bases or ionic crosslinks) and a secondary covalent network (e.g., photo-crosslinking) will maintain mechanical integrity during early degradation. The secondary network acts as a barrier to water ingress [4], slowing hydrolysis of the primary network while providing structural stability.</w:t>
      </w:r>
    </w:p>
    <w:p>
      <w:pPr>
        <w:pStyle w:val="Heading3"/>
      </w:pPr>
      <w:r>
        <w:rPr>
          <w:rFonts w:ascii="Times New Roman" w:hAnsi="Times New Roman" w:eastAsia="Times New Roman"/>
          <w:b/>
          <w:color w:val="000000"/>
          <w:sz w:val="28"/>
        </w:rPr>
        <w:t>1.3 Scope of This Study</w:t>
      </w:r>
    </w:p>
    <w:p>
      <w:pPr>
        <w:spacing w:line="360" w:lineRule="auto"/>
        <w:jc w:val="both"/>
      </w:pPr>
      <w:r>
        <w:rPr>
          <w:rFonts w:ascii="Times New Roman" w:hAnsi="Times New Roman" w:eastAsia="Times New Roman"/>
          <w:color w:val="000000"/>
          <w:sz w:val="24"/>
        </w:rPr>
        <w:t>This work focuses on verifying the mechanical degradation relationship using literature-supported mechanisms. Evidence confirms dual networks enhance initial strength [1, 2, 3] and degradation control [4, 5], but direct data on mechanical retention during hydrolysis requires experimental validation. Biocompatibility and long-term degradation kinetics are beyond this initial scope.</w:t>
      </w:r>
    </w:p>
    <w:p>
      <w:pPr>
        <w:pStyle w:val="Heading2"/>
      </w:pPr>
      <w:r>
        <w:rPr>
          <w:rFonts w:ascii="Times New Roman" w:hAnsi="Times New Roman" w:eastAsia="Times New Roman"/>
          <w:b/>
          <w:color w:val="000000"/>
          <w:sz w:val="30"/>
        </w:rPr>
        <w:t>2. Mechanistic Rationale and Design Hypothesis</w:t>
      </w:r>
    </w:p>
    <w:p>
      <w:pPr>
        <w:pStyle w:val="Heading3"/>
      </w:pPr>
      <w:r>
        <w:rPr>
          <w:rFonts w:ascii="Times New Roman" w:hAnsi="Times New Roman" w:eastAsia="Times New Roman"/>
          <w:b/>
          <w:color w:val="000000"/>
          <w:sz w:val="28"/>
        </w:rPr>
        <w:t>2.1 Mechanistic Basis</w:t>
      </w:r>
    </w:p>
    <w:p>
      <w:pPr>
        <w:spacing w:line="360" w:lineRule="auto"/>
        <w:jc w:val="both"/>
      </w:pPr>
      <w:r>
        <w:rPr>
          <w:rFonts w:ascii="Times New Roman" w:hAnsi="Times New Roman" w:eastAsia="Times New Roman"/>
          <w:color w:val="000000"/>
          <w:sz w:val="24"/>
        </w:rPr>
        <w:t>Dual networks combine distinct crosslinking mechanisms:</w:t>
      </w:r>
    </w:p>
    <w:p>
      <w:pPr>
        <w:spacing w:line="360" w:lineRule="auto"/>
        <w:jc w:val="both"/>
      </w:pPr>
      <w:r>
        <w:rPr>
          <w:rFonts w:ascii="Times New Roman" w:hAnsi="Times New Roman" w:eastAsia="Times New Roman"/>
          <w:color w:val="000000"/>
          <w:sz w:val="24"/>
        </w:rPr>
        <w:t>- **Primary network**: Dynamic bonds (Schiff bases, ionic interactions) provide self-healing and initial adaptability [5, 6]</w:t>
      </w:r>
    </w:p>
    <w:p>
      <w:pPr>
        <w:spacing w:line="360" w:lineRule="auto"/>
        <w:jc w:val="both"/>
      </w:pPr>
      <w:r>
        <w:rPr>
          <w:rFonts w:ascii="Times New Roman" w:hAnsi="Times New Roman" w:eastAsia="Times New Roman"/>
          <w:color w:val="000000"/>
          <w:sz w:val="24"/>
        </w:rPr>
        <w:t>- **Secondary network**: Covalent bonds (photo-crosslinking) ensure structural integrity [5, 7]</w:t>
      </w:r>
    </w:p>
    <w:p>
      <w:pPr>
        <w:spacing w:line="360" w:lineRule="auto"/>
        <w:jc w:val="both"/>
      </w:pPr>
      <w:r>
        <w:rPr>
          <w:rFonts w:ascii="Times New Roman" w:hAnsi="Times New Roman" w:eastAsia="Times New Roman"/>
          <w:color w:val="000000"/>
          <w:sz w:val="24"/>
        </w:rPr>
        <w:t>The secondary network limits water penetration into the primary network [4], reducing hydrolytic degradation rates. Higher crosslink density inversely correlates with degradation rate [5], while initial loss of sol fractions may temporarily increase strength [8].</w:t>
      </w:r>
    </w:p>
    <w:p>
      <w:pPr>
        <w:pStyle w:val="Heading3"/>
      </w:pPr>
      <w:r>
        <w:rPr>
          <w:rFonts w:ascii="Times New Roman" w:hAnsi="Times New Roman" w:eastAsia="Times New Roman"/>
          <w:b/>
          <w:color w:val="000000"/>
          <w:sz w:val="28"/>
        </w:rPr>
        <w:t>2.2 Evidence-Supported Design Rules</w:t>
      </w:r>
    </w:p>
    <w:p>
      <w:pPr>
        <w:spacing w:line="360" w:lineRule="auto"/>
        <w:jc w:val="both"/>
      </w:pPr>
      <w:r>
        <w:rPr>
          <w:rFonts w:ascii="Times New Roman" w:hAnsi="Times New Roman" w:eastAsia="Times New Roman"/>
          <w:color w:val="000000"/>
          <w:sz w:val="24"/>
        </w:rPr>
        <w:t>*Mechanical Properties*:</w:t>
      </w:r>
    </w:p>
    <w:p>
      <w:pPr>
        <w:spacing w:line="360" w:lineRule="auto"/>
        <w:jc w:val="both"/>
      </w:pPr>
      <w:r>
        <w:rPr>
          <w:rFonts w:ascii="Times New Roman" w:hAnsi="Times New Roman" w:eastAsia="Times New Roman"/>
          <w:color w:val="000000"/>
          <w:sz w:val="24"/>
        </w:rPr>
        <w:t>- Crosslink density increase enhances initial stiffness and strength [5, 9]</w:t>
      </w:r>
    </w:p>
    <w:p>
      <w:pPr>
        <w:spacing w:line="360" w:lineRule="auto"/>
        <w:jc w:val="both"/>
      </w:pPr>
      <w:r>
        <w:rPr>
          <w:rFonts w:ascii="Times New Roman" w:hAnsi="Times New Roman" w:eastAsia="Times New Roman"/>
          <w:color w:val="000000"/>
          <w:sz w:val="24"/>
        </w:rPr>
        <w:t>- Rigid secondary networks (e.g., CMC) provide stable support [7]</w:t>
      </w:r>
    </w:p>
    <w:p>
      <w:pPr>
        <w:spacing w:line="360" w:lineRule="auto"/>
        <w:jc w:val="both"/>
      </w:pPr>
      <w:r>
        <w:rPr>
          <w:rFonts w:ascii="Times New Roman" w:hAnsi="Times New Roman" w:eastAsia="Times New Roman"/>
          <w:color w:val="000000"/>
          <w:sz w:val="24"/>
        </w:rPr>
        <w:t>*Degradation Behavior*:</w:t>
      </w:r>
    </w:p>
    <w:p>
      <w:pPr>
        <w:spacing w:line="360" w:lineRule="auto"/>
        <w:jc w:val="both"/>
      </w:pPr>
      <w:r>
        <w:rPr>
          <w:rFonts w:ascii="Times New Roman" w:hAnsi="Times New Roman" w:eastAsia="Times New Roman"/>
          <w:color w:val="000000"/>
          <w:sz w:val="24"/>
        </w:rPr>
        <w:t>- Secondary network density controls water ingress rate [4]</w:t>
      </w:r>
    </w:p>
    <w:p>
      <w:pPr>
        <w:spacing w:line="360" w:lineRule="auto"/>
        <w:jc w:val="both"/>
      </w:pPr>
      <w:r>
        <w:rPr>
          <w:rFonts w:ascii="Times New Roman" w:hAnsi="Times New Roman" w:eastAsia="Times New Roman"/>
          <w:color w:val="000000"/>
          <w:sz w:val="24"/>
        </w:rPr>
        <w:t>- Higher oxidation degrees slow mass loss [5]</w:t>
      </w:r>
    </w:p>
    <w:p>
      <w:pPr>
        <w:spacing w:line="360" w:lineRule="auto"/>
        <w:jc w:val="both"/>
      </w:pPr>
      <w:r>
        <w:rPr>
          <w:rFonts w:ascii="Times New Roman" w:hAnsi="Times New Roman" w:eastAsia="Times New Roman"/>
          <w:color w:val="000000"/>
          <w:sz w:val="24"/>
        </w:rPr>
        <w:t>*Biocompatibility*:</w:t>
      </w:r>
    </w:p>
    <w:p>
      <w:pPr>
        <w:spacing w:line="360" w:lineRule="auto"/>
        <w:jc w:val="both"/>
      </w:pPr>
      <w:r>
        <w:rPr>
          <w:rFonts w:ascii="Times New Roman" w:hAnsi="Times New Roman" w:eastAsia="Times New Roman"/>
          <w:color w:val="000000"/>
          <w:sz w:val="24"/>
        </w:rPr>
        <w:t>- Limited evidence; degradation products may be non-toxic in specific systems [5]</w:t>
      </w:r>
    </w:p>
    <w:p>
      <w:pPr>
        <w:spacing w:line="360" w:lineRule="auto"/>
        <w:jc w:val="both"/>
      </w:pPr>
      <w:r>
        <w:rPr>
          <w:rFonts w:ascii="Times New Roman" w:hAnsi="Times New Roman" w:eastAsia="Times New Roman"/>
          <w:color w:val="000000"/>
          <w:sz w:val="24"/>
        </w:rPr>
        <w:t>**Evidence Gap**: No direct data exists for mechanical property evolution during degradation. Hydrophilicity-swelling relationships remain unquantified.</w:t>
      </w:r>
    </w:p>
    <w:p>
      <w:pPr>
        <w:pStyle w:val="Heading3"/>
      </w:pPr>
      <w:r>
        <w:rPr>
          <w:rFonts w:ascii="Times New Roman" w:hAnsi="Times New Roman" w:eastAsia="Times New Roman"/>
          <w:b/>
          <w:color w:val="000000"/>
          <w:sz w:val="28"/>
        </w:rPr>
        <w:t>2.3 Trade-Offs and Constraints</w:t>
      </w:r>
    </w:p>
    <w:p>
      <w:pPr>
        <w:spacing w:line="360" w:lineRule="auto"/>
        <w:jc w:val="both"/>
      </w:pPr>
      <w:r>
        <w:rPr>
          <w:rFonts w:ascii="Times New Roman" w:hAnsi="Times New Roman" w:eastAsia="Times New Roman"/>
          <w:color w:val="000000"/>
          <w:sz w:val="24"/>
        </w:rPr>
        <w:t>- **Stiffness vs. Toughness**: Increased secondary network density boosts stiffness but may reduce toughness without energy-dissipating mechanisms [2, 6]</w:t>
      </w:r>
    </w:p>
    <w:p>
      <w:pPr>
        <w:spacing w:line="360" w:lineRule="auto"/>
        <w:jc w:val="both"/>
      </w:pPr>
      <w:r>
        <w:rPr>
          <w:rFonts w:ascii="Times New Roman" w:hAnsi="Times New Roman" w:eastAsia="Times New Roman"/>
          <w:color w:val="000000"/>
          <w:sz w:val="24"/>
        </w:rPr>
        <w:t>- **Degradation Rate vs. Support Duration**: Slower degradation extends mechanical support but risks delayed clearance</w:t>
      </w:r>
    </w:p>
    <w:p>
      <w:pPr>
        <w:spacing w:line="360" w:lineRule="auto"/>
        <w:jc w:val="both"/>
      </w:pPr>
      <w:r>
        <w:rPr>
          <w:rFonts w:ascii="Times New Roman" w:hAnsi="Times New Roman" w:eastAsia="Times New Roman"/>
          <w:color w:val="000000"/>
          <w:sz w:val="24"/>
        </w:rPr>
        <w:t>- **Injectability vs. Stability**: Highly dynamic networks aid injectability but compromise initial strength [6]</w:t>
      </w:r>
    </w:p>
    <w:p>
      <w:pPr>
        <w:pStyle w:val="Heading2"/>
      </w:pPr>
      <w:r>
        <w:rPr>
          <w:rFonts w:ascii="Times New Roman" w:hAnsi="Times New Roman" w:eastAsia="Times New Roman"/>
          <w:b/>
          <w:color w:val="000000"/>
          <w:sz w:val="30"/>
        </w:rPr>
        <w:t>3. Materials and Methods</w:t>
      </w:r>
    </w:p>
    <w:p>
      <w:pPr>
        <w:pStyle w:val="Heading3"/>
      </w:pPr>
      <w:r>
        <w:rPr>
          <w:rFonts w:ascii="Times New Roman" w:hAnsi="Times New Roman" w:eastAsia="Times New Roman"/>
          <w:b/>
          <w:color w:val="000000"/>
          <w:sz w:val="28"/>
        </w:rPr>
        <w:t>3.1 Material System and Variable Definition</w:t>
      </w:r>
    </w:p>
    <w:p>
      <w:pPr>
        <w:spacing w:line="360" w:lineRule="auto"/>
        <w:jc w:val="both"/>
      </w:pPr>
      <w:r>
        <w:rPr>
          <w:rFonts w:ascii="Times New Roman" w:hAnsi="Times New Roman" w:eastAsia="Times New Roman"/>
          <w:color w:val="000000"/>
          <w:sz w:val="24"/>
        </w:rPr>
        <w:t>**Base System**: Oxidized alginate (primary network) + Methacrylated polymer (secondary network) [5]</w:t>
      </w:r>
    </w:p>
    <w:p>
      <w:pPr>
        <w:spacing w:line="360" w:lineRule="auto"/>
        <w:jc w:val="both"/>
      </w:pPr>
      <w:r>
        <w:rPr>
          <w:rFonts w:ascii="Times New Roman" w:hAnsi="Times New Roman" w:eastAsia="Times New Roman"/>
          <w:color w:val="000000"/>
          <w:sz w:val="24"/>
        </w:rPr>
        <w:t>**Key Variables**:</w:t>
      </w:r>
    </w:p>
    <w:p>
      <w:pPr>
        <w:spacing w:line="360" w:lineRule="auto"/>
        <w:jc w:val="both"/>
      </w:pPr>
      <w:r>
        <w:rPr>
          <w:rFonts w:ascii="Times New Roman" w:hAnsi="Times New Roman" w:eastAsia="Times New Roman"/>
          <w:color w:val="000000"/>
          <w:sz w:val="24"/>
        </w:rPr>
        <w:t>- Primary network crosslink density (oxidation degree: 30%-70%) [5]</w:t>
      </w:r>
    </w:p>
    <w:p>
      <w:pPr>
        <w:spacing w:line="360" w:lineRule="auto"/>
        <w:jc w:val="both"/>
      </w:pPr>
      <w:r>
        <w:rPr>
          <w:rFonts w:ascii="Times New Roman" w:hAnsi="Times New Roman" w:eastAsia="Times New Roman"/>
          <w:color w:val="000000"/>
          <w:sz w:val="24"/>
        </w:rPr>
        <w:t>- Secondary network density (photo-initiator concentration: 0.1%-1.0%) [5]</w:t>
      </w:r>
    </w:p>
    <w:p>
      <w:pPr>
        <w:spacing w:line="360" w:lineRule="auto"/>
        <w:jc w:val="both"/>
      </w:pPr>
      <w:r>
        <w:rPr>
          <w:rFonts w:ascii="Times New Roman" w:hAnsi="Times New Roman" w:eastAsia="Times New Roman"/>
          <w:color w:val="000000"/>
          <w:sz w:val="24"/>
        </w:rPr>
        <w:t>- Network ratio (alginate:methacrylated polymer = 1:1 to 3:1)</w:t>
      </w:r>
    </w:p>
    <w:p>
      <w:pPr>
        <w:spacing w:line="360" w:lineRule="auto"/>
        <w:jc w:val="both"/>
      </w:pPr>
      <w:r>
        <w:rPr>
          <w:rFonts w:ascii="Times New Roman" w:hAnsi="Times New Roman" w:eastAsia="Times New Roman"/>
          <w:color w:val="000000"/>
          <w:sz w:val="24"/>
        </w:rPr>
        <w:t>**Unknowns**: Optimal oxidation degree, photo-crosslinking duration, polymer molecular weights</w:t>
      </w:r>
    </w:p>
    <w:p>
      <w:pPr>
        <w:pStyle w:val="Heading3"/>
      </w:pPr>
      <w:r>
        <w:rPr>
          <w:rFonts w:ascii="Times New Roman" w:hAnsi="Times New Roman" w:eastAsia="Times New Roman"/>
          <w:b/>
          <w:color w:val="000000"/>
          <w:sz w:val="28"/>
        </w:rPr>
        <w:t>3.2 Formulation / Sample Matrix Design</w:t>
      </w:r>
    </w:p>
    <w:p>
      <w:pPr>
        <w:spacing w:line="360" w:lineRule="auto"/>
        <w:jc w:val="both"/>
      </w:pPr>
      <w:r>
        <w:rPr>
          <w:rFonts w:ascii="Times New Roman" w:hAnsi="Times New Roman" w:eastAsia="Times New Roman"/>
          <w:color w:val="000000"/>
          <w:sz w:val="24"/>
        </w:rPr>
        <w:t>| Group | Oxidation Degree | Photo-initiator (%) | Network Ratio | Purpose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1     | 30%              | 0.5                 | 1:1           | Baseline |</w:t>
      </w:r>
    </w:p>
    <w:p>
      <w:pPr>
        <w:spacing w:line="360" w:lineRule="auto"/>
        <w:jc w:val="both"/>
      </w:pPr>
      <w:r>
        <w:rPr>
          <w:rFonts w:ascii="Times New Roman" w:hAnsi="Times New Roman" w:eastAsia="Times New Roman"/>
          <w:color w:val="000000"/>
          <w:sz w:val="24"/>
        </w:rPr>
        <w:t>| 2     | 50%              | 0.5                 | 1:1           | Primary variable |</w:t>
      </w:r>
    </w:p>
    <w:p>
      <w:pPr>
        <w:spacing w:line="360" w:lineRule="auto"/>
        <w:jc w:val="both"/>
      </w:pPr>
      <w:r>
        <w:rPr>
          <w:rFonts w:ascii="Times New Roman" w:hAnsi="Times New Roman" w:eastAsia="Times New Roman"/>
          <w:color w:val="000000"/>
          <w:sz w:val="24"/>
        </w:rPr>
        <w:t>| 3     | 70%              | 0.5                 | 1:1           | Primary variable |</w:t>
      </w:r>
    </w:p>
    <w:p>
      <w:pPr>
        <w:spacing w:line="360" w:lineRule="auto"/>
        <w:jc w:val="both"/>
      </w:pPr>
      <w:r>
        <w:rPr>
          <w:rFonts w:ascii="Times New Roman" w:hAnsi="Times New Roman" w:eastAsia="Times New Roman"/>
          <w:color w:val="000000"/>
          <w:sz w:val="24"/>
        </w:rPr>
        <w:t>| 4     | 50%              | 0.1                 | 1:1           | Secondary variable |</w:t>
      </w:r>
    </w:p>
    <w:p>
      <w:pPr>
        <w:spacing w:line="360" w:lineRule="auto"/>
        <w:jc w:val="both"/>
      </w:pPr>
      <w:r>
        <w:rPr>
          <w:rFonts w:ascii="Times New Roman" w:hAnsi="Times New Roman" w:eastAsia="Times New Roman"/>
          <w:color w:val="000000"/>
          <w:sz w:val="24"/>
        </w:rPr>
        <w:t>| 5     | 50%              | 1.0                 | 1:1           | Secondary variable |</w:t>
      </w:r>
    </w:p>
    <w:p>
      <w:pPr>
        <w:spacing w:line="360" w:lineRule="auto"/>
        <w:jc w:val="both"/>
      </w:pPr>
      <w:r>
        <w:rPr>
          <w:rFonts w:ascii="Times New Roman" w:hAnsi="Times New Roman" w:eastAsia="Times New Roman"/>
          <w:color w:val="000000"/>
          <w:sz w:val="24"/>
        </w:rPr>
        <w:t>| C1    | Single network   | -                   | -             | Control |</w:t>
      </w:r>
    </w:p>
    <w:p>
      <w:pPr>
        <w:spacing w:line="360" w:lineRule="auto"/>
        <w:jc w:val="both"/>
      </w:pPr>
      <w:r>
        <w:rPr>
          <w:rFonts w:ascii="Times New Roman" w:hAnsi="Times New Roman" w:eastAsia="Times New Roman"/>
          <w:color w:val="000000"/>
          <w:sz w:val="24"/>
        </w:rPr>
        <w:t>| C2    | -                | Single network      | -             | Control |</w:t>
      </w:r>
    </w:p>
    <w:p>
      <w:pPr>
        <w:pStyle w:val="Heading3"/>
      </w:pPr>
      <w:r>
        <w:rPr>
          <w:rFonts w:ascii="Times New Roman" w:hAnsi="Times New Roman" w:eastAsia="Times New Roman"/>
          <w:b/>
          <w:color w:val="000000"/>
          <w:sz w:val="28"/>
        </w:rPr>
        <w:t>3.3 Sample Preparation / Fabrication Procedure</w:t>
      </w:r>
    </w:p>
    <w:p>
      <w:pPr>
        <w:spacing w:line="360" w:lineRule="auto"/>
        <w:jc w:val="both"/>
      </w:pPr>
      <w:r>
        <w:rPr>
          <w:rFonts w:ascii="Times New Roman" w:hAnsi="Times New Roman" w:eastAsia="Times New Roman"/>
          <w:color w:val="000000"/>
          <w:sz w:val="24"/>
        </w:rPr>
        <w:t>1. **Oxidation**: Prepare alginate with target oxidation (30%, 50%, 70%) [5]</w:t>
      </w:r>
    </w:p>
    <w:p>
      <w:pPr>
        <w:spacing w:line="360" w:lineRule="auto"/>
        <w:jc w:val="both"/>
      </w:pPr>
      <w:r>
        <w:rPr>
          <w:rFonts w:ascii="Times New Roman" w:hAnsi="Times New Roman" w:eastAsia="Times New Roman"/>
          <w:color w:val="000000"/>
          <w:sz w:val="24"/>
        </w:rPr>
        <w:t>2. **Primary Network**: Crosslink oxidized alginate with diamine linker (Schiff base)</w:t>
      </w:r>
    </w:p>
    <w:p>
      <w:pPr>
        <w:spacing w:line="360" w:lineRule="auto"/>
        <w:jc w:val="both"/>
      </w:pPr>
      <w:r>
        <w:rPr>
          <w:rFonts w:ascii="Times New Roman" w:hAnsi="Times New Roman" w:eastAsia="Times New Roman"/>
          <w:color w:val="000000"/>
          <w:sz w:val="24"/>
        </w:rPr>
        <w:t>3. **Secondary Network**: Infuse methacrylated polymer + photo-initiator; UV crosslink (365 nm, 30-60s) [5]</w:t>
      </w:r>
    </w:p>
    <w:p>
      <w:pPr>
        <w:spacing w:line="360" w:lineRule="auto"/>
        <w:jc w:val="both"/>
      </w:pPr>
      <w:r>
        <w:rPr>
          <w:rFonts w:ascii="Times New Roman" w:hAnsi="Times New Roman" w:eastAsia="Times New Roman"/>
          <w:color w:val="000000"/>
          <w:sz w:val="24"/>
        </w:rPr>
        <w:t>4. **Hydration**: Equilibrate in PBS (pH 7.4, 24h)</w:t>
      </w:r>
    </w:p>
    <w:p>
      <w:pPr>
        <w:spacing w:line="360" w:lineRule="auto"/>
        <w:jc w:val="both"/>
      </w:pPr>
      <w:r>
        <w:rPr>
          <w:rFonts w:ascii="Times New Roman" w:hAnsi="Times New Roman" w:eastAsia="Times New Roman"/>
          <w:color w:val="000000"/>
          <w:sz w:val="24"/>
        </w:rPr>
        <w:t>*Critical Control*: Maintain consistent polymer concentrations (5% w/v) and crosslinking temperatures (25°C).</w:t>
      </w:r>
    </w:p>
    <w:p>
      <w:pPr>
        <w:pStyle w:val="Heading3"/>
      </w:pPr>
      <w:r>
        <w:rPr>
          <w:rFonts w:ascii="Times New Roman" w:hAnsi="Times New Roman" w:eastAsia="Times New Roman"/>
          <w:b/>
          <w:color w:val="000000"/>
          <w:sz w:val="28"/>
        </w:rPr>
        <w:t>3.4 Structural and Physicochemical Characterization</w:t>
      </w:r>
    </w:p>
    <w:p>
      <w:pPr>
        <w:spacing w:line="360" w:lineRule="auto"/>
        <w:jc w:val="both"/>
      </w:pPr>
      <w:r>
        <w:rPr>
          <w:rFonts w:ascii="Times New Roman" w:hAnsi="Times New Roman" w:eastAsia="Times New Roman"/>
          <w:color w:val="000000"/>
          <w:sz w:val="24"/>
        </w:rPr>
        <w:t>- **FTIR**: Verify Schiff base formation (imine peak ≈1640 cm⁻¹) and methacrylate conversion</w:t>
      </w:r>
    </w:p>
    <w:p>
      <w:pPr>
        <w:spacing w:line="360" w:lineRule="auto"/>
        <w:jc w:val="both"/>
      </w:pPr>
      <w:r>
        <w:rPr>
          <w:rFonts w:ascii="Times New Roman" w:hAnsi="Times New Roman" w:eastAsia="Times New Roman"/>
          <w:color w:val="000000"/>
          <w:sz w:val="24"/>
        </w:rPr>
        <w:t>- **Swelling Ratio**: Measure mass change after 24h PBS immersion (indirect crosslink density indicator)</w:t>
      </w:r>
    </w:p>
    <w:p>
      <w:pPr>
        <w:spacing w:line="360" w:lineRule="auto"/>
        <w:jc w:val="both"/>
      </w:pPr>
      <w:r>
        <w:rPr>
          <w:rFonts w:ascii="Times New Roman" w:hAnsi="Times New Roman" w:eastAsia="Times New Roman"/>
          <w:color w:val="000000"/>
          <w:sz w:val="24"/>
        </w:rPr>
        <w:t>- **SEM**: Analyze network morphology and porosity (critical for degradation homogeneity)</w:t>
      </w:r>
    </w:p>
    <w:p>
      <w:pPr>
        <w:pStyle w:val="Heading3"/>
      </w:pPr>
      <w:r>
        <w:rPr>
          <w:rFonts w:ascii="Times New Roman" w:hAnsi="Times New Roman" w:eastAsia="Times New Roman"/>
          <w:b/>
          <w:color w:val="000000"/>
          <w:sz w:val="28"/>
        </w:rPr>
        <w:t>3.5 Mechanical Testing Protocol</w:t>
      </w:r>
    </w:p>
    <w:p>
      <w:pPr>
        <w:spacing w:line="360" w:lineRule="auto"/>
        <w:jc w:val="both"/>
      </w:pPr>
      <w:r>
        <w:rPr>
          <w:rFonts w:ascii="Times New Roman" w:hAnsi="Times New Roman" w:eastAsia="Times New Roman"/>
          <w:color w:val="000000"/>
          <w:sz w:val="24"/>
        </w:rPr>
        <w:t>**Conditions**: Wet-state testing (PBS, 37°C) to simulate physiological environment</w:t>
      </w:r>
    </w:p>
    <w:p>
      <w:pPr>
        <w:spacing w:line="360" w:lineRule="auto"/>
        <w:jc w:val="both"/>
      </w:pPr>
      <w:r>
        <w:rPr>
          <w:rFonts w:ascii="Times New Roman" w:hAnsi="Times New Roman" w:eastAsia="Times New Roman"/>
          <w:color w:val="000000"/>
          <w:sz w:val="24"/>
        </w:rPr>
        <w:t>**Tests**:</w:t>
      </w:r>
    </w:p>
    <w:p>
      <w:pPr>
        <w:spacing w:line="360" w:lineRule="auto"/>
        <w:jc w:val="both"/>
      </w:pPr>
      <w:r>
        <w:rPr>
          <w:rFonts w:ascii="Times New Roman" w:hAnsi="Times New Roman" w:eastAsia="Times New Roman"/>
          <w:color w:val="000000"/>
          <w:sz w:val="24"/>
        </w:rPr>
        <w:t>- *Initial Properties*: Tensile strength, Young's modulus, elongation at break (n=5)</w:t>
      </w:r>
    </w:p>
    <w:p>
      <w:pPr>
        <w:spacing w:line="360" w:lineRule="auto"/>
        <w:jc w:val="both"/>
      </w:pPr>
      <w:r>
        <w:rPr>
          <w:rFonts w:ascii="Times New Roman" w:hAnsi="Times New Roman" w:eastAsia="Times New Roman"/>
          <w:color w:val="000000"/>
          <w:sz w:val="24"/>
        </w:rPr>
        <w:t>- *Degradation Monitoring*: Repeat mechanical testing after 1, 3, 7 days degradation</w:t>
      </w:r>
    </w:p>
    <w:p>
      <w:pPr>
        <w:spacing w:line="360" w:lineRule="auto"/>
        <w:jc w:val="both"/>
      </w:pPr>
      <w:r>
        <w:rPr>
          <w:rFonts w:ascii="Times New Roman" w:hAnsi="Times New Roman" w:eastAsia="Times New Roman"/>
          <w:color w:val="000000"/>
          <w:sz w:val="24"/>
        </w:rPr>
        <w:t>**Key Comparison**: Strength retention (%) = (Day X strength / Day 0 strength) × 100</w:t>
      </w:r>
    </w:p>
    <w:p>
      <w:pPr>
        <w:pStyle w:val="Heading3"/>
      </w:pPr>
      <w:r>
        <w:rPr>
          <w:rFonts w:ascii="Times New Roman" w:hAnsi="Times New Roman" w:eastAsia="Times New Roman"/>
          <w:b/>
          <w:color w:val="000000"/>
          <w:sz w:val="28"/>
        </w:rPr>
        <w:t>3.6 Degradation Evaluation Protocol</w:t>
      </w:r>
    </w:p>
    <w:p>
      <w:pPr>
        <w:spacing w:line="360" w:lineRule="auto"/>
        <w:jc w:val="both"/>
      </w:pPr>
      <w:r>
        <w:rPr>
          <w:rFonts w:ascii="Times New Roman" w:hAnsi="Times New Roman" w:eastAsia="Times New Roman"/>
          <w:color w:val="000000"/>
          <w:sz w:val="24"/>
        </w:rPr>
        <w:t>- **Environment**: PBS (pH 7.4, 37°C), refreshed weekly</w:t>
      </w:r>
    </w:p>
    <w:p>
      <w:pPr>
        <w:spacing w:line="360" w:lineRule="auto"/>
        <w:jc w:val="both"/>
      </w:pPr>
      <w:r>
        <w:rPr>
          <w:rFonts w:ascii="Times New Roman" w:hAnsi="Times New Roman" w:eastAsia="Times New Roman"/>
          <w:color w:val="000000"/>
          <w:sz w:val="24"/>
        </w:rPr>
        <w:t>- **Mass Loss**: Measure at 1,3,7,14 days (n=3)</w:t>
      </w:r>
    </w:p>
    <w:p>
      <w:pPr>
        <w:spacing w:line="360" w:lineRule="auto"/>
        <w:jc w:val="both"/>
      </w:pPr>
      <w:r>
        <w:rPr>
          <w:rFonts w:ascii="Times New Roman" w:hAnsi="Times New Roman" w:eastAsia="Times New Roman"/>
          <w:color w:val="000000"/>
          <w:sz w:val="24"/>
        </w:rPr>
        <w:t>- **Molecular Weight**: GPC analysis at endpoint</w:t>
      </w:r>
    </w:p>
    <w:p>
      <w:pPr>
        <w:spacing w:line="360" w:lineRule="auto"/>
        <w:jc w:val="both"/>
      </w:pPr>
      <w:r>
        <w:rPr>
          <w:rFonts w:ascii="Times New Roman" w:hAnsi="Times New Roman" w:eastAsia="Times New Roman"/>
          <w:color w:val="000000"/>
          <w:sz w:val="24"/>
        </w:rPr>
        <w:t>- **Mechanical Coupling**: Test specimens immediately after degradation sampling</w:t>
      </w:r>
    </w:p>
    <w:p>
      <w:pPr>
        <w:spacing w:line="360" w:lineRule="auto"/>
        <w:jc w:val="both"/>
      </w:pPr>
      <w:r>
        <w:rPr>
          <w:rFonts w:ascii="Times New Roman" w:hAnsi="Times New Roman" w:eastAsia="Times New Roman"/>
          <w:color w:val="000000"/>
          <w:sz w:val="24"/>
        </w:rPr>
        <w:t>*Critical Focus*: Correlation between mass loss and strength retention</w:t>
      </w:r>
    </w:p>
    <w:p>
      <w:pPr>
        <w:pStyle w:val="Heading3"/>
      </w:pPr>
      <w:r>
        <w:rPr>
          <w:rFonts w:ascii="Times New Roman" w:hAnsi="Times New Roman" w:eastAsia="Times New Roman"/>
          <w:b/>
          <w:color w:val="000000"/>
          <w:sz w:val="28"/>
        </w:rPr>
        <w:t>3.7 Biocompatibility / Biofunction Evaluation</w:t>
      </w:r>
    </w:p>
    <w:p>
      <w:pPr>
        <w:spacing w:line="360" w:lineRule="auto"/>
        <w:jc w:val="both"/>
      </w:pPr>
      <w:r>
        <w:rPr>
          <w:rFonts w:ascii="Times New Roman" w:hAnsi="Times New Roman" w:eastAsia="Times New Roman"/>
          <w:color w:val="000000"/>
          <w:sz w:val="24"/>
        </w:rPr>
        <w:t>*Provisional Testing Only*:</w:t>
      </w:r>
    </w:p>
    <w:p>
      <w:pPr>
        <w:spacing w:line="360" w:lineRule="auto"/>
        <w:jc w:val="both"/>
      </w:pPr>
      <w:r>
        <w:rPr>
          <w:rFonts w:ascii="Times New Roman" w:hAnsi="Times New Roman" w:eastAsia="Times New Roman"/>
          <w:color w:val="000000"/>
          <w:sz w:val="24"/>
        </w:rPr>
        <w:t>- Cytotoxicity screening (ISO 10993-5) using 7-day degradation extracts [5]</w:t>
      </w:r>
    </w:p>
    <w:p>
      <w:pPr>
        <w:spacing w:line="360" w:lineRule="auto"/>
        <w:jc w:val="both"/>
      </w:pPr>
      <w:r>
        <w:rPr>
          <w:rFonts w:ascii="Times New Roman" w:hAnsi="Times New Roman" w:eastAsia="Times New Roman"/>
          <w:color w:val="000000"/>
          <w:sz w:val="24"/>
        </w:rPr>
        <w:t>- Full biocompatibility assessment deferred to later stages</w:t>
      </w:r>
    </w:p>
    <w:p>
      <w:pPr>
        <w:pStyle w:val="Heading3"/>
      </w:pPr>
      <w:r>
        <w:rPr>
          <w:rFonts w:ascii="Times New Roman" w:hAnsi="Times New Roman" w:eastAsia="Times New Roman"/>
          <w:b/>
          <w:color w:val="000000"/>
          <w:sz w:val="28"/>
        </w:rPr>
        <w:t>3.8 Controls, Decision Criteria, and Statistical Comparison</w:t>
      </w:r>
    </w:p>
    <w:p>
      <w:pPr>
        <w:spacing w:line="360" w:lineRule="auto"/>
        <w:jc w:val="both"/>
      </w:pPr>
      <w:r>
        <w:rPr>
          <w:rFonts w:ascii="Times New Roman" w:hAnsi="Times New Roman" w:eastAsia="Times New Roman"/>
          <w:color w:val="000000"/>
          <w:sz w:val="24"/>
        </w:rPr>
        <w:t>**Controls**: Single-network hydrogels (C1, C2)</w:t>
      </w:r>
    </w:p>
    <w:p>
      <w:pPr>
        <w:spacing w:line="360" w:lineRule="auto"/>
        <w:jc w:val="both"/>
      </w:pPr>
      <w:r>
        <w:rPr>
          <w:rFonts w:ascii="Times New Roman" w:hAnsi="Times New Roman" w:eastAsia="Times New Roman"/>
          <w:color w:val="000000"/>
          <w:sz w:val="24"/>
        </w:rPr>
        <w:t>**Success Criteria**:</w:t>
      </w:r>
    </w:p>
    <w:p>
      <w:pPr>
        <w:spacing w:line="360" w:lineRule="auto"/>
        <w:jc w:val="both"/>
      </w:pPr>
      <w:r>
        <w:rPr>
          <w:rFonts w:ascii="Times New Roman" w:hAnsi="Times New Roman" w:eastAsia="Times New Roman"/>
          <w:color w:val="000000"/>
          <w:sz w:val="24"/>
        </w:rPr>
        <w:t>- Initial tensile strength ≥2× single-network controls</w:t>
      </w:r>
    </w:p>
    <w:p>
      <w:pPr>
        <w:spacing w:line="360" w:lineRule="auto"/>
        <w:jc w:val="both"/>
      </w:pPr>
      <w:r>
        <w:rPr>
          <w:rFonts w:ascii="Times New Roman" w:hAnsi="Times New Roman" w:eastAsia="Times New Roman"/>
          <w:color w:val="000000"/>
          <w:sz w:val="24"/>
        </w:rPr>
        <w:t>- Strength retention ≥80% at day 7</w:t>
      </w:r>
    </w:p>
    <w:p>
      <w:pPr>
        <w:spacing w:line="360" w:lineRule="auto"/>
        <w:jc w:val="both"/>
      </w:pPr>
      <w:r>
        <w:rPr>
          <w:rFonts w:ascii="Times New Roman" w:hAnsi="Times New Roman" w:eastAsia="Times New Roman"/>
          <w:color w:val="000000"/>
          <w:sz w:val="24"/>
        </w:rPr>
        <w:t>**Statistics**: One-way ANOVA (α=0.05) with Tukey post-hoc (n≥5)</w:t>
      </w:r>
    </w:p>
    <w:p>
      <w:pPr>
        <w:pStyle w:val="Heading2"/>
      </w:pPr>
      <w:r>
        <w:rPr>
          <w:rFonts w:ascii="Times New Roman" w:hAnsi="Times New Roman" w:eastAsia="Times New Roman"/>
          <w:b/>
          <w:color w:val="000000"/>
          <w:sz w:val="30"/>
        </w:rPr>
        <w:t>4. Results and Evidence-Based Discussion</w:t>
      </w:r>
    </w:p>
    <w:p>
      <w:pPr>
        <w:pStyle w:val="Heading3"/>
      </w:pPr>
      <w:r>
        <w:rPr>
          <w:rFonts w:ascii="Times New Roman" w:hAnsi="Times New Roman" w:eastAsia="Times New Roman"/>
          <w:b/>
          <w:color w:val="000000"/>
          <w:sz w:val="28"/>
        </w:rPr>
        <w:t>4.1 Directly Supported Expectations</w:t>
      </w:r>
    </w:p>
    <w:p>
      <w:pPr>
        <w:spacing w:line="360" w:lineRule="auto"/>
        <w:jc w:val="both"/>
      </w:pPr>
      <w:r>
        <w:rPr>
          <w:rFonts w:ascii="Times New Roman" w:hAnsi="Times New Roman" w:eastAsia="Times New Roman"/>
          <w:color w:val="000000"/>
          <w:sz w:val="24"/>
        </w:rPr>
        <w:t>- Dual networks exhibit superior initial mechanical strength versus single networks [1, 2, 3]</w:t>
      </w:r>
    </w:p>
    <w:p>
      <w:pPr>
        <w:spacing w:line="360" w:lineRule="auto"/>
        <w:jc w:val="both"/>
      </w:pPr>
      <w:r>
        <w:rPr>
          <w:rFonts w:ascii="Times New Roman" w:hAnsi="Times New Roman" w:eastAsia="Times New Roman"/>
          <w:color w:val="000000"/>
          <w:sz w:val="24"/>
        </w:rPr>
        <w:t>- Higher crosslink density reduces degradation rate [4, 5]</w:t>
      </w:r>
    </w:p>
    <w:p>
      <w:pPr>
        <w:spacing w:line="360" w:lineRule="auto"/>
        <w:jc w:val="both"/>
      </w:pPr>
      <w:r>
        <w:rPr>
          <w:rFonts w:ascii="Times New Roman" w:hAnsi="Times New Roman" w:eastAsia="Times New Roman"/>
          <w:color w:val="000000"/>
          <w:sz w:val="24"/>
        </w:rPr>
        <w:t>- 50% oxidation maintains &gt;84% mass retention at day 7 in analogous systems [5]</w:t>
      </w:r>
    </w:p>
    <w:p>
      <w:pPr>
        <w:pStyle w:val="Heading3"/>
      </w:pPr>
      <w:r>
        <w:rPr>
          <w:rFonts w:ascii="Times New Roman" w:hAnsi="Times New Roman" w:eastAsia="Times New Roman"/>
          <w:b/>
          <w:color w:val="000000"/>
          <w:sz w:val="28"/>
        </w:rPr>
        <w:t>4.2 Mechanistically Inferred Expectations</w:t>
      </w:r>
    </w:p>
    <w:p>
      <w:pPr>
        <w:spacing w:line="360" w:lineRule="auto"/>
        <w:jc w:val="both"/>
      </w:pPr>
      <w:r>
        <w:rPr>
          <w:rFonts w:ascii="Times New Roman" w:hAnsi="Times New Roman" w:eastAsia="Times New Roman"/>
          <w:color w:val="000000"/>
          <w:sz w:val="24"/>
        </w:rPr>
        <w:t>- Strength may transiently increase during early degradation due to sol fraction leaching [8]</w:t>
      </w:r>
    </w:p>
    <w:p>
      <w:pPr>
        <w:spacing w:line="360" w:lineRule="auto"/>
        <w:jc w:val="both"/>
      </w:pPr>
      <w:r>
        <w:rPr>
          <w:rFonts w:ascii="Times New Roman" w:hAnsi="Times New Roman" w:eastAsia="Times New Roman"/>
          <w:color w:val="000000"/>
          <w:sz w:val="24"/>
        </w:rPr>
        <w:t>- Covalent secondary networks limit water penetration, protecting the primary network [4]</w:t>
      </w:r>
    </w:p>
    <w:p>
      <w:pPr>
        <w:spacing w:line="360" w:lineRule="auto"/>
        <w:jc w:val="both"/>
      </w:pPr>
      <w:r>
        <w:rPr>
          <w:rFonts w:ascii="Times New Roman" w:hAnsi="Times New Roman" w:eastAsia="Times New Roman"/>
          <w:color w:val="000000"/>
          <w:sz w:val="24"/>
        </w:rPr>
        <w:t>- Imbalanced network ratios may cause phase separation or weak interfaces</w:t>
      </w:r>
    </w:p>
    <w:p>
      <w:pPr>
        <w:pStyle w:val="Heading3"/>
      </w:pPr>
      <w:r>
        <w:rPr>
          <w:rFonts w:ascii="Times New Roman" w:hAnsi="Times New Roman" w:eastAsia="Times New Roman"/>
          <w:b/>
          <w:color w:val="000000"/>
          <w:sz w:val="28"/>
        </w:rPr>
        <w:t>4.3 Evidence Gaps and Uncertainty</w:t>
      </w:r>
    </w:p>
    <w:p>
      <w:pPr>
        <w:spacing w:line="360" w:lineRule="auto"/>
        <w:jc w:val="both"/>
      </w:pPr>
      <w:r>
        <w:rPr>
          <w:rFonts w:ascii="Times New Roman" w:hAnsi="Times New Roman" w:eastAsia="Times New Roman"/>
          <w:color w:val="000000"/>
          <w:sz w:val="24"/>
        </w:rPr>
        <w:t>- **Critical Gap**: No direct data on tensile strength evolution during degradation</w:t>
      </w:r>
    </w:p>
    <w:p>
      <w:pPr>
        <w:spacing w:line="360" w:lineRule="auto"/>
        <w:jc w:val="both"/>
      </w:pPr>
      <w:r>
        <w:rPr>
          <w:rFonts w:ascii="Times New Roman" w:hAnsi="Times New Roman" w:eastAsia="Times New Roman"/>
          <w:color w:val="000000"/>
          <w:sz w:val="24"/>
        </w:rPr>
        <w:t>- **Environmental Factors**: Degradation behavior in physiological buffers vs. water untested</w:t>
      </w:r>
    </w:p>
    <w:p>
      <w:pPr>
        <w:spacing w:line="360" w:lineRule="auto"/>
        <w:jc w:val="both"/>
      </w:pPr>
      <w:r>
        <w:rPr>
          <w:rFonts w:ascii="Times New Roman" w:hAnsi="Times New Roman" w:eastAsia="Times New Roman"/>
          <w:color w:val="000000"/>
          <w:sz w:val="24"/>
        </w:rPr>
        <w:t>- **Long-Term Data**: Mechanical retention beyond 7 days remains unverified</w:t>
      </w:r>
    </w:p>
    <w:p>
      <w:pPr>
        <w:spacing w:line="360" w:lineRule="auto"/>
        <w:jc w:val="both"/>
      </w:pPr>
      <w:r>
        <w:rPr>
          <w:rFonts w:ascii="Times New Roman" w:hAnsi="Times New Roman" w:eastAsia="Times New Roman"/>
          <w:color w:val="000000"/>
          <w:sz w:val="24"/>
        </w:rPr>
        <w:t>- **Bulk vs. Scaffold**: Evidence limited to bulk hydrogels; scaffold geometries may alter degradation</w:t>
      </w:r>
    </w:p>
    <w:p>
      <w:pPr>
        <w:pStyle w:val="Heading3"/>
      </w:pPr>
      <w:r>
        <w:rPr>
          <w:rFonts w:ascii="Times New Roman" w:hAnsi="Times New Roman" w:eastAsia="Times New Roman"/>
          <w:b/>
          <w:color w:val="000000"/>
          <w:sz w:val="28"/>
        </w:rPr>
        <w:t>4.4 Comparison with Prior Systems</w:t>
      </w:r>
    </w:p>
    <w:p>
      <w:pPr>
        <w:spacing w:line="360" w:lineRule="auto"/>
        <w:jc w:val="both"/>
      </w:pPr>
      <w:r>
        <w:rPr>
          <w:rFonts w:ascii="Times New Roman" w:hAnsi="Times New Roman" w:eastAsia="Times New Roman"/>
          <w:color w:val="000000"/>
          <w:sz w:val="24"/>
        </w:rPr>
        <w:t>Compared to single-network hydrogels [1], dual networks offer 2-10× strength improvements [2, 3, 7]. Sequential crosslinking extends degradation timelines versus simultaneous networks [4], but covalent-dynamic network combinations remain underexplored for mechanical retention.</w:t>
      </w:r>
    </w:p>
    <w:p>
      <w:pPr>
        <w:pStyle w:val="Heading2"/>
      </w:pPr>
      <w:r>
        <w:rPr>
          <w:rFonts w:ascii="Times New Roman" w:hAnsi="Times New Roman" w:eastAsia="Times New Roman"/>
          <w:b/>
          <w:color w:val="000000"/>
          <w:sz w:val="30"/>
        </w:rPr>
        <w:t>5. Risk Analysis and Optimization Path</w:t>
      </w:r>
    </w:p>
    <w:p>
      <w:pPr>
        <w:pStyle w:val="Heading3"/>
      </w:pPr>
      <w:r>
        <w:rPr>
          <w:rFonts w:ascii="Times New Roman" w:hAnsi="Times New Roman" w:eastAsia="Times New Roman"/>
          <w:b/>
          <w:color w:val="000000"/>
          <w:sz w:val="28"/>
        </w:rPr>
        <w:t>5.1 Major Failure Modes</w:t>
      </w:r>
    </w:p>
    <w:p>
      <w:pPr>
        <w:spacing w:line="360" w:lineRule="auto"/>
        <w:jc w:val="both"/>
      </w:pPr>
      <w:r>
        <w:rPr>
          <w:rFonts w:ascii="Times New Roman" w:hAnsi="Times New Roman" w:eastAsia="Times New Roman"/>
          <w:color w:val="000000"/>
          <w:sz w:val="24"/>
        </w:rPr>
        <w:t>1. Rapid strength loss from preferential primary network degradation</w:t>
      </w:r>
    </w:p>
    <w:p>
      <w:pPr>
        <w:spacing w:line="360" w:lineRule="auto"/>
        <w:jc w:val="both"/>
      </w:pPr>
      <w:r>
        <w:rPr>
          <w:rFonts w:ascii="Times New Roman" w:hAnsi="Times New Roman" w:eastAsia="Times New Roman"/>
          <w:color w:val="000000"/>
          <w:sz w:val="24"/>
        </w:rPr>
        <w:t>2. Incomplete secondary crosslinking leading to network collapse</w:t>
      </w:r>
    </w:p>
    <w:p>
      <w:pPr>
        <w:spacing w:line="360" w:lineRule="auto"/>
        <w:jc w:val="both"/>
      </w:pPr>
      <w:r>
        <w:rPr>
          <w:rFonts w:ascii="Times New Roman" w:hAnsi="Times New Roman" w:eastAsia="Times New Roman"/>
          <w:color w:val="000000"/>
          <w:sz w:val="24"/>
        </w:rPr>
        <w:t>3. Swelling-induced crack propagation in wet state</w:t>
      </w:r>
    </w:p>
    <w:p>
      <w:pPr>
        <w:pStyle w:val="Heading3"/>
      </w:pPr>
      <w:r>
        <w:rPr>
          <w:rFonts w:ascii="Times New Roman" w:hAnsi="Times New Roman" w:eastAsia="Times New Roman"/>
          <w:b/>
          <w:color w:val="000000"/>
          <w:sz w:val="28"/>
        </w:rPr>
        <w:t>5.2 Optimization Pathway</w:t>
      </w:r>
    </w:p>
    <w:p>
      <w:pPr>
        <w:spacing w:line="360" w:lineRule="auto"/>
        <w:jc w:val="both"/>
      </w:pPr>
      <w:r>
        <w:rPr>
          <w:rFonts w:ascii="Times New Roman" w:hAnsi="Times New Roman" w:eastAsia="Times New Roman"/>
          <w:color w:val="000000"/>
          <w:sz w:val="24"/>
        </w:rPr>
        <w:t>- **Degradation Too Fast**: Increase secondary network density or use hydrophobic monomers</w:t>
      </w:r>
    </w:p>
    <w:p>
      <w:pPr>
        <w:spacing w:line="360" w:lineRule="auto"/>
        <w:jc w:val="both"/>
      </w:pPr>
      <w:r>
        <w:rPr>
          <w:rFonts w:ascii="Times New Roman" w:hAnsi="Times New Roman" w:eastAsia="Times New Roman"/>
          <w:color w:val="000000"/>
          <w:sz w:val="24"/>
        </w:rPr>
        <w:t>- **Degradation Too Slow**: Reduce oxidation degree or introduce hydrolytic sites</w:t>
      </w:r>
    </w:p>
    <w:p>
      <w:pPr>
        <w:spacing w:line="360" w:lineRule="auto"/>
        <w:jc w:val="both"/>
      </w:pPr>
      <w:r>
        <w:rPr>
          <w:rFonts w:ascii="Times New Roman" w:hAnsi="Times New Roman" w:eastAsia="Times New Roman"/>
          <w:color w:val="000000"/>
          <w:sz w:val="24"/>
        </w:rPr>
        <w:t>- **Low Stiffness**: Raise covalent crosslink density or rigid polymer fraction</w:t>
      </w:r>
    </w:p>
    <w:p>
      <w:pPr>
        <w:spacing w:line="360" w:lineRule="auto"/>
        <w:jc w:val="both"/>
      </w:pPr>
      <w:r>
        <w:rPr>
          <w:rFonts w:ascii="Times New Roman" w:hAnsi="Times New Roman" w:eastAsia="Times New Roman"/>
          <w:color w:val="000000"/>
          <w:sz w:val="24"/>
        </w:rPr>
        <w:t>- **Low Toughness**: Incorporate energy-dissipating mechanisms (e.g., double-network designs [2])</w:t>
      </w:r>
    </w:p>
    <w:p>
      <w:pPr>
        <w:spacing w:line="360" w:lineRule="auto"/>
        <w:jc w:val="both"/>
      </w:pPr>
      <w:r>
        <w:rPr>
          <w:rFonts w:ascii="Times New Roman" w:hAnsi="Times New Roman" w:eastAsia="Times New Roman"/>
          <w:color w:val="000000"/>
          <w:sz w:val="24"/>
        </w:rPr>
        <w:t>- **Poor Wet-State Performance**: Balance hydrophilicity via polymer selection</w:t>
      </w:r>
    </w:p>
    <w:p>
      <w:pPr>
        <w:pStyle w:val="Heading2"/>
      </w:pPr>
      <w:r>
        <w:rPr>
          <w:rFonts w:ascii="Times New Roman" w:hAnsi="Times New Roman" w:eastAsia="Times New Roman"/>
          <w:b/>
          <w:color w:val="000000"/>
          <w:sz w:val="30"/>
        </w:rPr>
        <w:t>6. Conclusion</w:t>
      </w:r>
    </w:p>
    <w:p>
      <w:pPr>
        <w:spacing w:line="360" w:lineRule="auto"/>
        <w:jc w:val="both"/>
      </w:pPr>
      <w:r>
        <w:rPr>
          <w:rFonts w:ascii="Times New Roman" w:hAnsi="Times New Roman" w:eastAsia="Times New Roman"/>
          <w:color w:val="000000"/>
          <w:sz w:val="24"/>
        </w:rPr>
        <w:t>The dual-crosslink design shows high promise for biodegradable implants requiring sustained mechanical support. Literature confirms the mechanistic feasibility of degradation control through sequential crosslinking [4, 5] and mechanical enhancement via network synergy [2, 3, 7]. However, the critical relationship between network architecture and mechanical retention during degradation requires experimental validation. The foremost next step is synthesizing the proposed hydrogel matrix and conducting coupled mechanical-degradation testing over 7 days to verify strength retention thresholds.</w:t>
      </w:r>
    </w:p>
    <w:p>
      <w:pPr>
        <w:pStyle w:val="Heading2"/>
      </w:pPr>
      <w:r>
        <w:rPr>
          <w:rFonts w:ascii="Times New Roman" w:hAnsi="Times New Roman" w:eastAsia="Times New Roman"/>
          <w:b/>
          <w:color w:val="000000"/>
          <w:sz w:val="30"/>
        </w:rPr>
        <w:t>8. References</w:t>
      </w:r>
    </w:p>
    <w:p>
      <w:pPr>
        <w:spacing w:line="360" w:lineRule="auto"/>
        <w:jc w:val="both"/>
      </w:pPr>
      <w:r>
        <w:rPr>
          <w:rFonts w:ascii="Times New Roman" w:hAnsi="Times New Roman" w:eastAsia="Times New Roman"/>
          <w:color w:val="000000"/>
          <w:sz w:val="24"/>
        </w:rPr>
        <w:t>- [1] 101016_jijbiomac201902046</w:t>
      </w:r>
    </w:p>
    <w:p>
      <w:pPr>
        <w:spacing w:line="360" w:lineRule="auto"/>
        <w:jc w:val="both"/>
      </w:pPr>
      <w:r>
        <w:rPr>
          <w:rFonts w:ascii="Times New Roman" w:hAnsi="Times New Roman" w:eastAsia="Times New Roman"/>
          <w:color w:val="000000"/>
          <w:sz w:val="24"/>
        </w:rPr>
        <w:t>- [2] 101016_jeurpolymj2023111826</w:t>
      </w:r>
    </w:p>
    <w:p>
      <w:pPr>
        <w:spacing w:line="360" w:lineRule="auto"/>
        <w:jc w:val="both"/>
      </w:pPr>
      <w:r>
        <w:rPr>
          <w:rFonts w:ascii="Times New Roman" w:hAnsi="Times New Roman" w:eastAsia="Times New Roman"/>
          <w:color w:val="000000"/>
          <w:sz w:val="24"/>
        </w:rPr>
        <w:t>- [3] 101002_app57529</w:t>
      </w:r>
    </w:p>
    <w:p>
      <w:pPr>
        <w:spacing w:line="360" w:lineRule="auto"/>
        <w:jc w:val="both"/>
      </w:pPr>
      <w:r>
        <w:rPr>
          <w:rFonts w:ascii="Times New Roman" w:hAnsi="Times New Roman" w:eastAsia="Times New Roman"/>
          <w:color w:val="000000"/>
          <w:sz w:val="24"/>
        </w:rPr>
        <w:t>- [4] 101002_pat6546</w:t>
      </w:r>
    </w:p>
    <w:p>
      <w:pPr>
        <w:spacing w:line="360" w:lineRule="auto"/>
        <w:jc w:val="both"/>
      </w:pPr>
      <w:r>
        <w:rPr>
          <w:rFonts w:ascii="Times New Roman" w:hAnsi="Times New Roman" w:eastAsia="Times New Roman"/>
          <w:color w:val="000000"/>
          <w:sz w:val="24"/>
        </w:rPr>
        <w:t>- [5] 101039_d5tb01938a</w:t>
      </w:r>
    </w:p>
    <w:p>
      <w:pPr>
        <w:spacing w:line="360" w:lineRule="auto"/>
        <w:jc w:val="both"/>
      </w:pPr>
      <w:r>
        <w:rPr>
          <w:rFonts w:ascii="Times New Roman" w:hAnsi="Times New Roman" w:eastAsia="Times New Roman"/>
          <w:color w:val="000000"/>
          <w:sz w:val="24"/>
        </w:rPr>
        <w:t>- [6] 101002_pol20250673</w:t>
      </w:r>
    </w:p>
    <w:p>
      <w:pPr>
        <w:spacing w:line="360" w:lineRule="auto"/>
        <w:jc w:val="both"/>
      </w:pPr>
      <w:r>
        <w:rPr>
          <w:rFonts w:ascii="Times New Roman" w:hAnsi="Times New Roman" w:eastAsia="Times New Roman"/>
          <w:color w:val="000000"/>
          <w:sz w:val="24"/>
        </w:rPr>
        <w:t>- [7] 101021_acsabm5c00815</w:t>
      </w:r>
    </w:p>
    <w:p>
      <w:pPr>
        <w:spacing w:line="360" w:lineRule="auto"/>
        <w:jc w:val="both"/>
      </w:pPr>
      <w:r>
        <w:rPr>
          <w:rFonts w:ascii="Times New Roman" w:hAnsi="Times New Roman" w:eastAsia="Times New Roman"/>
          <w:color w:val="000000"/>
          <w:sz w:val="24"/>
        </w:rPr>
        <w:t>- [8] 101002_pat5439</w:t>
      </w:r>
    </w:p>
    <w:p>
      <w:pPr>
        <w:spacing w:line="360" w:lineRule="auto"/>
        <w:jc w:val="both"/>
      </w:pPr>
      <w:r>
        <w:rPr>
          <w:rFonts w:ascii="Times New Roman" w:hAnsi="Times New Roman" w:eastAsia="Times New Roman"/>
          <w:color w:val="000000"/>
          <w:sz w:val="24"/>
        </w:rPr>
        <w:t>- [9] 101016_jijbiomac202211173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