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color w:val="000000"/>
          <w:sz w:val="32"/>
        </w:rPr>
        <w:t>Design and Verification of a Core-Shell Polyester Blend for Biodegradable Implants with Controlled Mechanical Degradation</w:t>
      </w:r>
    </w:p>
    <w:p>
      <w:pPr>
        <w:pStyle w:val="Heading2"/>
      </w:pPr>
      <w:r>
        <w:rPr>
          <w:rFonts w:ascii="Times New Roman" w:hAnsi="Times New Roman" w:eastAsia="Times New Roman"/>
          <w:b/>
          <w:color w:val="000000"/>
          <w:sz w:val="30"/>
        </w:rPr>
        <w:t>Abstract</w:t>
      </w:r>
    </w:p>
    <w:p>
      <w:pPr>
        <w:spacing w:line="360" w:lineRule="auto"/>
        <w:jc w:val="both"/>
      </w:pPr>
      <w:r>
        <w:rPr>
          <w:rFonts w:ascii="Times New Roman" w:hAnsi="Times New Roman" w:eastAsia="Times New Roman"/>
          <w:color w:val="000000"/>
          <w:sz w:val="24"/>
        </w:rPr>
        <w:t>This study proposes a core-shell polyester blend design for biodegradable implants requiring high initial mechanical support and retained strength during early-stage hydrolytic degradation. The hypothesis posits that a core-shell architecture—comprising a high-strength polyester core and a degradation-regulating shell—can delay water ingress and bulk erosion while maintaining mechanical integrity. Literature evidence suggests core-shell structures effectively modulate degradation kinetics and interfacial interactions in polyester blends [1, 2, 3, 4], though direct evidence for mechanical retention in implant contexts remains limited. The experimental route involves synthesizing core-shell particles, fabricating blends with varied shell-core ratios, and evaluating mechanical degradation coupling via tensile testing and rheological monitoring [5]. Key risks include interfacial delamination and unpredictable erosion front propagation. With optimized interfacial design, this approach offers a promising solution to mitigate premature mechanical failure in load-bearing biodegradable implants.</w:t>
      </w:r>
    </w:p>
    <w:p>
      <w:pPr>
        <w:pStyle w:val="Heading2"/>
      </w:pPr>
      <w:r>
        <w:rPr>
          <w:rFonts w:ascii="Times New Roman" w:hAnsi="Times New Roman" w:eastAsia="Times New Roman"/>
          <w:b/>
          <w:color w:val="000000"/>
          <w:sz w:val="30"/>
        </w:rPr>
        <w:t>Graphical Repeat-Unit Representation</w:t>
      </w:r>
    </w:p>
    <w:p>
      <w:pPr>
        <w:jc w:val="center"/>
      </w:pPr>
      <w:r>
        <w:drawing>
          <wp:inline xmlns:a="http://schemas.openxmlformats.org/drawingml/2006/main" xmlns:pic="http://schemas.openxmlformats.org/drawingml/2006/picture">
            <wp:extent cx="5303520" cy="1631852"/>
            <wp:docPr id="1" name="Picture 1"/>
            <wp:cNvGraphicFramePr>
              <a:graphicFrameLocks noChangeAspect="1"/>
            </wp:cNvGraphicFramePr>
            <a:graphic>
              <a:graphicData uri="http://schemas.openxmlformats.org/drawingml/2006/picture">
                <pic:pic>
                  <pic:nvPicPr>
                    <pic:cNvPr id="0" name="idea3_Core-Shell_Polyester_Blend_repeat_unit.png"/>
                    <pic:cNvPicPr/>
                  </pic:nvPicPr>
                  <pic:blipFill>
                    <a:blip r:embed="rId9"/>
                    <a:stretch>
                      <a:fillRect/>
                    </a:stretch>
                  </pic:blipFill>
                  <pic:spPr>
                    <a:xfrm>
                      <a:off x="0" y="0"/>
                      <a:ext cx="5303520" cy="1631852"/>
                    </a:xfrm>
                    <a:prstGeom prst="rect"/>
                  </pic:spPr>
                </pic:pic>
              </a:graphicData>
            </a:graphic>
          </wp:inline>
        </w:drawing>
      </w:r>
    </w:p>
    <w:p>
      <w:pPr>
        <w:jc w:val="center"/>
      </w:pPr>
      <w:r>
        <w:rPr>
          <w:rFonts w:ascii="Times New Roman" w:hAnsi="Times New Roman" w:eastAsia="Times New Roman"/>
          <w:i/>
          <w:sz w:val="20"/>
        </w:rPr>
        <w:t>Representative repeat-unit schematic</w:t>
      </w:r>
    </w:p>
    <w:p>
      <w:pPr>
        <w:spacing w:line="360" w:lineRule="auto"/>
        <w:jc w:val="both"/>
      </w:pPr>
      <w:r>
        <w:rPr>
          <w:rFonts w:ascii="Times New Roman" w:hAnsi="Times New Roman" w:eastAsia="Times New Roman"/>
          <w:color w:val="000000"/>
          <w:sz w:val="24"/>
        </w:rPr>
        <w:t>**Figure.** Representative polymer-structure schematic of the core-shell blend with PGA/PLLA core and degradation-regulating shell polymers.</w:t>
      </w:r>
    </w:p>
    <w:p>
      <w:pPr>
        <w:spacing w:line="360" w:lineRule="auto"/>
        <w:jc w:val="both"/>
      </w:pPr>
      <w:r>
        <w:rPr>
          <w:rFonts w:ascii="Times New Roman" w:hAnsi="Times New Roman" w:eastAsia="Times New Roman"/>
          <w:color w:val="000000"/>
          <w:sz w:val="24"/>
        </w:rPr>
        <w:t>Structure confidence: high. Architecture: blend/composite. Composition note: Core: PGA:PLLA 50:50; shell polymer variable. Dictionary/RDKit validation: 2/5 mapped structure(s) validated.</w:t>
      </w:r>
    </w:p>
    <w:p>
      <w:pPr>
        <w:pStyle w:val="Heading2"/>
      </w:pPr>
      <w:r>
        <w:rPr>
          <w:rFonts w:ascii="Times New Roman" w:hAnsi="Times New Roman" w:eastAsia="Times New Roman"/>
          <w:b/>
          <w:color w:val="000000"/>
          <w:sz w:val="30"/>
        </w:rPr>
        <w:t>1. Introduction</w:t>
      </w:r>
    </w:p>
    <w:p>
      <w:pPr>
        <w:pStyle w:val="Heading3"/>
      </w:pPr>
      <w:r>
        <w:rPr>
          <w:rFonts w:ascii="Times New Roman" w:hAnsi="Times New Roman" w:eastAsia="Times New Roman"/>
          <w:b/>
          <w:color w:val="000000"/>
          <w:sz w:val="28"/>
        </w:rPr>
        <w:t>1.1 Scientific Background</w:t>
      </w:r>
    </w:p>
    <w:p>
      <w:pPr>
        <w:spacing w:line="360" w:lineRule="auto"/>
        <w:jc w:val="both"/>
      </w:pPr>
      <w:r>
        <w:rPr>
          <w:rFonts w:ascii="Times New Roman" w:hAnsi="Times New Roman" w:eastAsia="Times New Roman"/>
          <w:color w:val="000000"/>
          <w:sz w:val="24"/>
        </w:rPr>
        <w:t>Biodegradable implants must balance initial mechanical support with controlled degradation to prevent premature structural failure. Conventional polyesters like PLA and PCL exhibit rapid strength loss during hydrolysis due to bulk erosion and autocatalytic effects [5, 6, 7], limiting their use in load-bearing applications.</w:t>
      </w:r>
    </w:p>
    <w:p>
      <w:pPr>
        <w:pStyle w:val="Heading3"/>
      </w:pPr>
      <w:r>
        <w:rPr>
          <w:rFonts w:ascii="Times New Roman" w:hAnsi="Times New Roman" w:eastAsia="Times New Roman"/>
          <w:b/>
          <w:color w:val="000000"/>
          <w:sz w:val="28"/>
        </w:rPr>
        <w:t>1.2 Design Hypothesis</w:t>
      </w:r>
    </w:p>
    <w:p>
      <w:pPr>
        <w:spacing w:line="360" w:lineRule="auto"/>
        <w:jc w:val="both"/>
      </w:pPr>
      <w:r>
        <w:rPr>
          <w:rFonts w:ascii="Times New Roman" w:hAnsi="Times New Roman" w:eastAsia="Times New Roman"/>
          <w:color w:val="000000"/>
          <w:sz w:val="24"/>
        </w:rPr>
        <w:t>A core-shell polyester architecture is hypothesized to decouple mechanical support from degradation kinetics:</w:t>
      </w:r>
    </w:p>
    <w:p>
      <w:pPr>
        <w:spacing w:line="360" w:lineRule="auto"/>
        <w:jc w:val="both"/>
      </w:pPr>
      <w:r>
        <w:rPr>
          <w:rFonts w:ascii="Times New Roman" w:hAnsi="Times New Roman" w:eastAsia="Times New Roman"/>
          <w:color w:val="000000"/>
          <w:sz w:val="24"/>
        </w:rPr>
        <w:t>- **Core**: High-crystallinity polyester (e.g., PGA or PLLA) provides initial strength</w:t>
      </w:r>
    </w:p>
    <w:p>
      <w:pPr>
        <w:spacing w:line="360" w:lineRule="auto"/>
        <w:jc w:val="both"/>
      </w:pPr>
      <w:r>
        <w:rPr>
          <w:rFonts w:ascii="Times New Roman" w:hAnsi="Times New Roman" w:eastAsia="Times New Roman"/>
          <w:color w:val="000000"/>
          <w:sz w:val="24"/>
        </w:rPr>
        <w:t>- **Shell**: Hydrolysis-regulating polymer (e.g., functionalized PEBA or rubber-toughened layer) controls water diffusion [1, 2]</w:t>
      </w:r>
    </w:p>
    <w:p>
      <w:pPr>
        <w:spacing w:line="360" w:lineRule="auto"/>
        <w:jc w:val="both"/>
      </w:pPr>
      <w:r>
        <w:rPr>
          <w:rFonts w:ascii="Times New Roman" w:hAnsi="Times New Roman" w:eastAsia="Times New Roman"/>
          <w:color w:val="000000"/>
          <w:sz w:val="24"/>
        </w:rPr>
        <w:t>This structure aims to retain &gt;50% tensile strength during critical early-stage degradation (2-4 weeks) while maintaining implant functionality.</w:t>
      </w:r>
    </w:p>
    <w:p>
      <w:pPr>
        <w:pStyle w:val="Heading3"/>
      </w:pPr>
      <w:r>
        <w:rPr>
          <w:rFonts w:ascii="Times New Roman" w:hAnsi="Times New Roman" w:eastAsia="Times New Roman"/>
          <w:b/>
          <w:color w:val="000000"/>
          <w:sz w:val="28"/>
        </w:rPr>
        <w:t>1.3 Scope of This Study</w:t>
      </w:r>
    </w:p>
    <w:p>
      <w:pPr>
        <w:spacing w:line="360" w:lineRule="auto"/>
        <w:jc w:val="both"/>
      </w:pPr>
      <w:r>
        <w:rPr>
          <w:rFonts w:ascii="Times New Roman" w:hAnsi="Times New Roman" w:eastAsia="Times New Roman"/>
          <w:color w:val="000000"/>
          <w:sz w:val="24"/>
        </w:rPr>
        <w:t>Direct evidence exists for core-shell structures enhancing polymer toughness [2, 3] and modulating degradation in drug delivery [1], but mechanical degradation coupling in implant-relevant systems requires experimental validation. This study defines:</w:t>
      </w:r>
    </w:p>
    <w:p>
      <w:pPr>
        <w:spacing w:line="360" w:lineRule="auto"/>
        <w:jc w:val="both"/>
      </w:pPr>
      <w:r>
        <w:rPr>
          <w:rFonts w:ascii="Times New Roman" w:hAnsi="Times New Roman" w:eastAsia="Times New Roman"/>
          <w:color w:val="000000"/>
          <w:sz w:val="24"/>
        </w:rPr>
        <w:t>- Evidence-supported formulation parameters</w:t>
      </w:r>
    </w:p>
    <w:p>
      <w:pPr>
        <w:spacing w:line="360" w:lineRule="auto"/>
        <w:jc w:val="both"/>
      </w:pPr>
      <w:r>
        <w:rPr>
          <w:rFonts w:ascii="Times New Roman" w:hAnsi="Times New Roman" w:eastAsia="Times New Roman"/>
          <w:color w:val="000000"/>
          <w:sz w:val="24"/>
        </w:rPr>
        <w:t>- Degradation-coupled mechanical testing protocol</w:t>
      </w:r>
    </w:p>
    <w:p>
      <w:pPr>
        <w:spacing w:line="360" w:lineRule="auto"/>
        <w:jc w:val="both"/>
      </w:pPr>
      <w:r>
        <w:rPr>
          <w:rFonts w:ascii="Times New Roman" w:hAnsi="Times New Roman" w:eastAsia="Times New Roman"/>
          <w:color w:val="000000"/>
          <w:sz w:val="24"/>
        </w:rPr>
        <w:t>- Critical knowledge gaps in erosion front propagation</w:t>
      </w:r>
    </w:p>
    <w:p>
      <w:pPr>
        <w:pStyle w:val="Heading2"/>
      </w:pPr>
      <w:r>
        <w:rPr>
          <w:rFonts w:ascii="Times New Roman" w:hAnsi="Times New Roman" w:eastAsia="Times New Roman"/>
          <w:b/>
          <w:color w:val="000000"/>
          <w:sz w:val="30"/>
        </w:rPr>
        <w:t>2. Mechanistic Rationale and Design Hypothesis</w:t>
      </w:r>
    </w:p>
    <w:p>
      <w:pPr>
        <w:pStyle w:val="Heading3"/>
      </w:pPr>
      <w:r>
        <w:rPr>
          <w:rFonts w:ascii="Times New Roman" w:hAnsi="Times New Roman" w:eastAsia="Times New Roman"/>
          <w:b/>
          <w:color w:val="000000"/>
          <w:sz w:val="28"/>
        </w:rPr>
        <w:t>2.1 Mechanistic Basis</w:t>
      </w:r>
    </w:p>
    <w:p>
      <w:pPr>
        <w:spacing w:line="360" w:lineRule="auto"/>
        <w:jc w:val="both"/>
      </w:pPr>
      <w:r>
        <w:rPr>
          <w:rFonts w:ascii="Times New Roman" w:hAnsi="Times New Roman" w:eastAsia="Times New Roman"/>
          <w:color w:val="000000"/>
          <w:sz w:val="24"/>
        </w:rPr>
        <w:t>Core-shell functionality relies on three evidence-supported mechanisms:</w:t>
      </w:r>
    </w:p>
    <w:p>
      <w:pPr>
        <w:spacing w:line="360" w:lineRule="auto"/>
        <w:jc w:val="both"/>
      </w:pPr>
      <w:r>
        <w:rPr>
          <w:rFonts w:ascii="Times New Roman" w:hAnsi="Times New Roman" w:eastAsia="Times New Roman"/>
          <w:color w:val="000000"/>
          <w:sz w:val="24"/>
        </w:rPr>
        <w:t>1. **Barrier effect**: Hydrogel or rubber-modified shells slow water diffusion into the core, delaying bulk hydrolysis [1, 3]</w:t>
      </w:r>
    </w:p>
    <w:p>
      <w:pPr>
        <w:spacing w:line="360" w:lineRule="auto"/>
        <w:jc w:val="both"/>
      </w:pPr>
      <w:r>
        <w:rPr>
          <w:rFonts w:ascii="Times New Roman" w:hAnsi="Times New Roman" w:eastAsia="Times New Roman"/>
          <w:color w:val="000000"/>
          <w:sz w:val="24"/>
        </w:rPr>
        <w:t>2. **Interfacial stabilization**: Compatibilized shells prevent phase separation and maintain stress transfer during degradation [2, 5]</w:t>
      </w:r>
    </w:p>
    <w:p>
      <w:pPr>
        <w:spacing w:line="360" w:lineRule="auto"/>
        <w:jc w:val="both"/>
      </w:pPr>
      <w:r>
        <w:rPr>
          <w:rFonts w:ascii="Times New Roman" w:hAnsi="Times New Roman" w:eastAsia="Times New Roman"/>
          <w:color w:val="000000"/>
          <w:sz w:val="24"/>
        </w:rPr>
        <w:t>3. **Erosion buffering**: Shell degradation precedes core erosion, enabling gradual load transfer [4]</w:t>
      </w:r>
    </w:p>
    <w:p>
      <w:pPr>
        <w:spacing w:line="360" w:lineRule="auto"/>
        <w:jc w:val="both"/>
      </w:pPr>
      <w:r>
        <w:rPr>
          <w:rFonts w:ascii="Times New Roman" w:hAnsi="Times New Roman" w:eastAsia="Times New Roman"/>
          <w:color w:val="000000"/>
          <w:sz w:val="24"/>
        </w:rPr>
        <w:t>Rheological analysis of complex modulus transitions provides real-time monitoring of structural evolution during hydrolysis [5].</w:t>
      </w:r>
    </w:p>
    <w:p>
      <w:pPr>
        <w:pStyle w:val="Heading3"/>
      </w:pPr>
      <w:r>
        <w:rPr>
          <w:rFonts w:ascii="Times New Roman" w:hAnsi="Times New Roman" w:eastAsia="Times New Roman"/>
          <w:b/>
          <w:color w:val="000000"/>
          <w:sz w:val="28"/>
        </w:rPr>
        <w:t>2.2 Evidence-Supported Design Rules</w:t>
      </w:r>
    </w:p>
    <w:p>
      <w:pPr>
        <w:spacing w:line="360" w:lineRule="auto"/>
        <w:jc w:val="both"/>
      </w:pPr>
      <w:r>
        <w:rPr>
          <w:rFonts w:ascii="Times New Roman" w:hAnsi="Times New Roman" w:eastAsia="Times New Roman"/>
          <w:color w:val="000000"/>
          <w:sz w:val="24"/>
        </w:rPr>
        <w:t>*Mechanical Properties*:</w:t>
      </w:r>
    </w:p>
    <w:p>
      <w:pPr>
        <w:spacing w:line="360" w:lineRule="auto"/>
        <w:jc w:val="both"/>
      </w:pPr>
      <w:r>
        <w:rPr>
          <w:rFonts w:ascii="Times New Roman" w:hAnsi="Times New Roman" w:eastAsia="Times New Roman"/>
          <w:color w:val="000000"/>
          <w:sz w:val="24"/>
        </w:rPr>
        <w:t>- Core-shell rubber nanoparticles improve toughness via rubbery cores and grafted shells [2, 3]</w:t>
      </w:r>
    </w:p>
    <w:p>
      <w:pPr>
        <w:spacing w:line="360" w:lineRule="auto"/>
        <w:jc w:val="both"/>
      </w:pPr>
      <w:r>
        <w:rPr>
          <w:rFonts w:ascii="Times New Roman" w:hAnsi="Times New Roman" w:eastAsia="Times New Roman"/>
          <w:color w:val="000000"/>
          <w:sz w:val="24"/>
        </w:rPr>
        <w:t>- Shell composition determines interfacial adhesion strength [3]</w:t>
      </w:r>
    </w:p>
    <w:p>
      <w:pPr>
        <w:spacing w:line="360" w:lineRule="auto"/>
        <w:jc w:val="both"/>
      </w:pPr>
      <w:r>
        <w:rPr>
          <w:rFonts w:ascii="Times New Roman" w:hAnsi="Times New Roman" w:eastAsia="Times New Roman"/>
          <w:color w:val="000000"/>
          <w:sz w:val="24"/>
        </w:rPr>
        <w:t>- Crystalline core maintains initial stiffness [4]</w:t>
      </w:r>
    </w:p>
    <w:p>
      <w:pPr>
        <w:spacing w:line="360" w:lineRule="auto"/>
        <w:jc w:val="both"/>
      </w:pPr>
      <w:r>
        <w:rPr>
          <w:rFonts w:ascii="Times New Roman" w:hAnsi="Times New Roman" w:eastAsia="Times New Roman"/>
          <w:color w:val="000000"/>
          <w:sz w:val="24"/>
        </w:rPr>
        <w:t>*Degradation Behavior*:</w:t>
      </w:r>
    </w:p>
    <w:p>
      <w:pPr>
        <w:spacing w:line="360" w:lineRule="auto"/>
        <w:jc w:val="both"/>
      </w:pPr>
      <w:r>
        <w:rPr>
          <w:rFonts w:ascii="Times New Roman" w:hAnsi="Times New Roman" w:eastAsia="Times New Roman"/>
          <w:color w:val="000000"/>
          <w:sz w:val="24"/>
        </w:rPr>
        <w:t>- Shell thickness/core ratio controls diffusion kinetics [1, 8]</w:t>
      </w:r>
    </w:p>
    <w:p>
      <w:pPr>
        <w:spacing w:line="360" w:lineRule="auto"/>
        <w:jc w:val="both"/>
      </w:pPr>
      <w:r>
        <w:rPr>
          <w:rFonts w:ascii="Times New Roman" w:hAnsi="Times New Roman" w:eastAsia="Times New Roman"/>
          <w:color w:val="000000"/>
          <w:sz w:val="24"/>
        </w:rPr>
        <w:t>- Hydrophilic shells accelerate surface erosion but protect cores [6]</w:t>
      </w:r>
    </w:p>
    <w:p>
      <w:pPr>
        <w:spacing w:line="360" w:lineRule="auto"/>
        <w:jc w:val="both"/>
      </w:pPr>
      <w:r>
        <w:rPr>
          <w:rFonts w:ascii="Times New Roman" w:hAnsi="Times New Roman" w:eastAsia="Times New Roman"/>
          <w:color w:val="000000"/>
          <w:sz w:val="24"/>
        </w:rPr>
        <w:t>- Rheological transitions correlate with strength retention [5]</w:t>
      </w:r>
    </w:p>
    <w:p>
      <w:pPr>
        <w:spacing w:line="360" w:lineRule="auto"/>
        <w:jc w:val="both"/>
      </w:pPr>
      <w:r>
        <w:rPr>
          <w:rFonts w:ascii="Times New Roman" w:hAnsi="Times New Roman" w:eastAsia="Times New Roman"/>
          <w:color w:val="000000"/>
          <w:sz w:val="24"/>
        </w:rPr>
        <w:t>*Biocompatibility*:</w:t>
      </w:r>
    </w:p>
    <w:p>
      <w:pPr>
        <w:spacing w:line="360" w:lineRule="auto"/>
        <w:jc w:val="both"/>
      </w:pPr>
      <w:r>
        <w:rPr>
          <w:rFonts w:ascii="Times New Roman" w:hAnsi="Times New Roman" w:eastAsia="Times New Roman"/>
          <w:color w:val="000000"/>
          <w:sz w:val="24"/>
        </w:rPr>
        <w:t>- Core-shell fibers enhance cell adhesion via surface chemistry [4, 9]</w:t>
      </w:r>
    </w:p>
    <w:p>
      <w:pPr>
        <w:spacing w:line="360" w:lineRule="auto"/>
        <w:jc w:val="both"/>
      </w:pPr>
      <w:r>
        <w:rPr>
          <w:rFonts w:ascii="Times New Roman" w:hAnsi="Times New Roman" w:eastAsia="Times New Roman"/>
          <w:color w:val="000000"/>
          <w:sz w:val="24"/>
        </w:rPr>
        <w:t>- Evidence insufficient for inflammatory response prediction</w:t>
      </w:r>
    </w:p>
    <w:p>
      <w:pPr>
        <w:pStyle w:val="Heading3"/>
      </w:pPr>
      <w:r>
        <w:rPr>
          <w:rFonts w:ascii="Times New Roman" w:hAnsi="Times New Roman" w:eastAsia="Times New Roman"/>
          <w:b/>
          <w:color w:val="000000"/>
          <w:sz w:val="28"/>
        </w:rPr>
        <w:t>2.3 Trade-Offs and Constraints</w:t>
      </w:r>
    </w:p>
    <w:p>
      <w:pPr>
        <w:spacing w:line="360" w:lineRule="auto"/>
        <w:jc w:val="both"/>
      </w:pPr>
      <w:r>
        <w:rPr>
          <w:rFonts w:ascii="Times New Roman" w:hAnsi="Times New Roman" w:eastAsia="Times New Roman"/>
          <w:color w:val="000000"/>
          <w:sz w:val="24"/>
        </w:rPr>
        <w:t>- **Stiffness-toughness tradeoff**: Rubber-modified shells increase impact strength but reduce modulus [2, 3]</w:t>
      </w:r>
    </w:p>
    <w:p>
      <w:pPr>
        <w:spacing w:line="360" w:lineRule="auto"/>
        <w:jc w:val="both"/>
      </w:pPr>
      <w:r>
        <w:rPr>
          <w:rFonts w:ascii="Times New Roman" w:hAnsi="Times New Roman" w:eastAsia="Times New Roman"/>
          <w:color w:val="000000"/>
          <w:sz w:val="24"/>
        </w:rPr>
        <w:t>- **Degradation-mechanics coupling**: Thicker shells delay hydrolysis but may cause interfacial delamination under load</w:t>
      </w:r>
    </w:p>
    <w:p>
      <w:pPr>
        <w:spacing w:line="360" w:lineRule="auto"/>
        <w:jc w:val="both"/>
      </w:pPr>
      <w:r>
        <w:rPr>
          <w:rFonts w:ascii="Times New Roman" w:hAnsi="Times New Roman" w:eastAsia="Times New Roman"/>
          <w:color w:val="000000"/>
          <w:sz w:val="24"/>
        </w:rPr>
        <w:t>- **Processing constraints**: Core-shell morphology requires precise emulsion or reactive processing [2, 3]</w:t>
      </w:r>
    </w:p>
    <w:p>
      <w:pPr>
        <w:pStyle w:val="Heading2"/>
      </w:pPr>
      <w:r>
        <w:rPr>
          <w:rFonts w:ascii="Times New Roman" w:hAnsi="Times New Roman" w:eastAsia="Times New Roman"/>
          <w:b/>
          <w:color w:val="000000"/>
          <w:sz w:val="30"/>
        </w:rPr>
        <w:t>3. Materials and Methods</w:t>
      </w:r>
    </w:p>
    <w:p>
      <w:pPr>
        <w:pStyle w:val="Heading3"/>
      </w:pPr>
      <w:r>
        <w:rPr>
          <w:rFonts w:ascii="Times New Roman" w:hAnsi="Times New Roman" w:eastAsia="Times New Roman"/>
          <w:b/>
          <w:color w:val="000000"/>
          <w:sz w:val="28"/>
        </w:rPr>
        <w:t>3.1 Material System and Variable Definition</w:t>
      </w:r>
    </w:p>
    <w:p>
      <w:pPr>
        <w:spacing w:line="360" w:lineRule="auto"/>
        <w:jc w:val="both"/>
      </w:pPr>
      <w:r>
        <w:rPr>
          <w:rFonts w:ascii="Times New Roman" w:hAnsi="Times New Roman" w:eastAsia="Times New Roman"/>
          <w:color w:val="000000"/>
          <w:sz w:val="24"/>
        </w:rPr>
        <w:t>- **Core**: High-strength polyester (PLLA/PGA blend; fixed at 70 wt%)</w:t>
      </w:r>
    </w:p>
    <w:p>
      <w:pPr>
        <w:spacing w:line="360" w:lineRule="auto"/>
        <w:jc w:val="both"/>
      </w:pPr>
      <w:r>
        <w:rPr>
          <w:rFonts w:ascii="Times New Roman" w:hAnsi="Times New Roman" w:eastAsia="Times New Roman"/>
          <w:color w:val="000000"/>
          <w:sz w:val="24"/>
        </w:rPr>
        <w:t>- **Shell**: Degradation-modifying polymer (PEBA, PBAT, or rubber-grafted PMMA; variable)</w:t>
      </w:r>
    </w:p>
    <w:p>
      <w:pPr>
        <w:spacing w:line="360" w:lineRule="auto"/>
        <w:jc w:val="both"/>
      </w:pPr>
      <w:r>
        <w:rPr>
          <w:rFonts w:ascii="Times New Roman" w:hAnsi="Times New Roman" w:eastAsia="Times New Roman"/>
          <w:color w:val="000000"/>
          <w:sz w:val="24"/>
        </w:rPr>
        <w:t>- **Key variables**: Shell-core ratio (10-40% shell), compatibilizer presence (GMA-functionalized)</w:t>
      </w:r>
    </w:p>
    <w:p>
      <w:pPr>
        <w:spacing w:line="360" w:lineRule="auto"/>
        <w:jc w:val="both"/>
      </w:pPr>
      <w:r>
        <w:rPr>
          <w:rFonts w:ascii="Times New Roman" w:hAnsi="Times New Roman" w:eastAsia="Times New Roman"/>
          <w:color w:val="000000"/>
          <w:sz w:val="24"/>
        </w:rPr>
        <w:t>- **Unknowns**: Optimal shell crystallinity, interfacial bonding strength</w:t>
      </w:r>
    </w:p>
    <w:p>
      <w:pPr>
        <w:pStyle w:val="Heading3"/>
      </w:pPr>
      <w:r>
        <w:rPr>
          <w:rFonts w:ascii="Times New Roman" w:hAnsi="Times New Roman" w:eastAsia="Times New Roman"/>
          <w:b/>
          <w:color w:val="000000"/>
          <w:sz w:val="28"/>
        </w:rPr>
        <w:t>3.2 Formulation / Sample Matrix Design</w:t>
      </w:r>
    </w:p>
    <w:p>
      <w:pPr>
        <w:spacing w:line="360" w:lineRule="auto"/>
        <w:jc w:val="both"/>
      </w:pPr>
      <w:r>
        <w:rPr>
          <w:rFonts w:ascii="Times New Roman" w:hAnsi="Times New Roman" w:eastAsia="Times New Roman"/>
          <w:color w:val="000000"/>
          <w:sz w:val="24"/>
        </w:rPr>
        <w:t>| Group | Core Material | Shell Material | Shell Ratio | Compatibilizer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1     | PGA/PLLA      | None          | 0%         | No            | (Control)</w:t>
      </w:r>
    </w:p>
    <w:p>
      <w:pPr>
        <w:spacing w:line="360" w:lineRule="auto"/>
        <w:jc w:val="both"/>
      </w:pPr>
      <w:r>
        <w:rPr>
          <w:rFonts w:ascii="Times New Roman" w:hAnsi="Times New Roman" w:eastAsia="Times New Roman"/>
          <w:color w:val="000000"/>
          <w:sz w:val="24"/>
        </w:rPr>
        <w:t>| 2     | PGA/PLLA      | PEBA          | 20%        | No            |</w:t>
      </w:r>
    </w:p>
    <w:p>
      <w:pPr>
        <w:spacing w:line="360" w:lineRule="auto"/>
        <w:jc w:val="both"/>
      </w:pPr>
      <w:r>
        <w:rPr>
          <w:rFonts w:ascii="Times New Roman" w:hAnsi="Times New Roman" w:eastAsia="Times New Roman"/>
          <w:color w:val="000000"/>
          <w:sz w:val="24"/>
        </w:rPr>
        <w:t>| 3     | PGA/PLLA      | PEBA-g-GMA    | 20%        | Yes           |</w:t>
      </w:r>
    </w:p>
    <w:p>
      <w:pPr>
        <w:spacing w:line="360" w:lineRule="auto"/>
        <w:jc w:val="both"/>
      </w:pPr>
      <w:r>
        <w:rPr>
          <w:rFonts w:ascii="Times New Roman" w:hAnsi="Times New Roman" w:eastAsia="Times New Roman"/>
          <w:color w:val="000000"/>
          <w:sz w:val="24"/>
        </w:rPr>
        <w:t>| 4     | PGA/PLLA      | Core-shell rubber | 30%      | Yes           | [2]</w:t>
      </w:r>
    </w:p>
    <w:p>
      <w:pPr>
        <w:spacing w:line="360" w:lineRule="auto"/>
        <w:jc w:val="both"/>
      </w:pPr>
      <w:r>
        <w:rPr>
          <w:rFonts w:ascii="Times New Roman" w:hAnsi="Times New Roman" w:eastAsia="Times New Roman"/>
          <w:color w:val="000000"/>
          <w:sz w:val="24"/>
        </w:rPr>
        <w:t>| 5     | PGA/PLLA      | PBAT          | 40%        | No            |</w:t>
      </w:r>
    </w:p>
    <w:p>
      <w:pPr>
        <w:spacing w:line="360" w:lineRule="auto"/>
        <w:jc w:val="both"/>
      </w:pPr>
      <w:r>
        <w:rPr>
          <w:rFonts w:ascii="Times New Roman" w:hAnsi="Times New Roman" w:eastAsia="Times New Roman"/>
          <w:color w:val="000000"/>
          <w:sz w:val="24"/>
        </w:rPr>
        <w:t>*Fixed parameters*: Core composition (50:50 PGA:PLLA), molecular weight (Mn ≈ 80 kDa)</w:t>
      </w:r>
    </w:p>
    <w:p>
      <w:pPr>
        <w:pStyle w:val="Heading3"/>
      </w:pPr>
      <w:r>
        <w:rPr>
          <w:rFonts w:ascii="Times New Roman" w:hAnsi="Times New Roman" w:eastAsia="Times New Roman"/>
          <w:b/>
          <w:color w:val="000000"/>
          <w:sz w:val="28"/>
        </w:rPr>
        <w:t>3.3 Sample Preparation / Fabrication Procedure</w:t>
      </w:r>
    </w:p>
    <w:p>
      <w:pPr>
        <w:spacing w:line="360" w:lineRule="auto"/>
        <w:jc w:val="both"/>
      </w:pPr>
      <w:r>
        <w:rPr>
          <w:rFonts w:ascii="Times New Roman" w:hAnsi="Times New Roman" w:eastAsia="Times New Roman"/>
          <w:color w:val="000000"/>
          <w:sz w:val="24"/>
        </w:rPr>
        <w:t>1. **Core-shell particle synthesis**:</w:t>
      </w:r>
    </w:p>
    <w:p>
      <w:pPr>
        <w:spacing w:line="360" w:lineRule="auto"/>
        <w:jc w:val="both"/>
      </w:pPr>
      <w:r>
        <w:rPr>
          <w:rFonts w:ascii="Times New Roman" w:hAnsi="Times New Roman" w:eastAsia="Times New Roman"/>
          <w:color w:val="000000"/>
          <w:sz w:val="24"/>
        </w:rPr>
        <w:t>- Emulsify core polymer in solvent (dichloromethane)</w:t>
      </w:r>
    </w:p>
    <w:p>
      <w:pPr>
        <w:spacing w:line="360" w:lineRule="auto"/>
        <w:jc w:val="both"/>
      </w:pPr>
      <w:r>
        <w:rPr>
          <w:rFonts w:ascii="Times New Roman" w:hAnsi="Times New Roman" w:eastAsia="Times New Roman"/>
          <w:color w:val="000000"/>
          <w:sz w:val="24"/>
        </w:rPr>
        <w:t>- Precipitate shell polymer via solvent evaporation under shear [2, 3]</w:t>
      </w:r>
    </w:p>
    <w:p>
      <w:pPr>
        <w:spacing w:line="360" w:lineRule="auto"/>
        <w:jc w:val="both"/>
      </w:pPr>
      <w:r>
        <w:rPr>
          <w:rFonts w:ascii="Times New Roman" w:hAnsi="Times New Roman" w:eastAsia="Times New Roman"/>
          <w:color w:val="000000"/>
          <w:sz w:val="24"/>
        </w:rPr>
        <w:t>- Crosslink rubber cores where applicable [3]</w:t>
      </w:r>
    </w:p>
    <w:p>
      <w:pPr>
        <w:spacing w:line="360" w:lineRule="auto"/>
        <w:jc w:val="both"/>
      </w:pPr>
      <w:r>
        <w:rPr>
          <w:rFonts w:ascii="Times New Roman" w:hAnsi="Times New Roman" w:eastAsia="Times New Roman"/>
          <w:color w:val="000000"/>
          <w:sz w:val="24"/>
        </w:rPr>
        <w:t>2. **Melt blending**:</w:t>
      </w:r>
    </w:p>
    <w:p>
      <w:pPr>
        <w:spacing w:line="360" w:lineRule="auto"/>
        <w:jc w:val="both"/>
      </w:pPr>
      <w:r>
        <w:rPr>
          <w:rFonts w:ascii="Times New Roman" w:hAnsi="Times New Roman" w:eastAsia="Times New Roman"/>
          <w:color w:val="000000"/>
          <w:sz w:val="24"/>
        </w:rPr>
        <w:t>- Dry blend components (core-shell particles + matrix polymer)</w:t>
      </w:r>
    </w:p>
    <w:p>
      <w:pPr>
        <w:spacing w:line="360" w:lineRule="auto"/>
        <w:jc w:val="both"/>
      </w:pPr>
      <w:r>
        <w:rPr>
          <w:rFonts w:ascii="Times New Roman" w:hAnsi="Times New Roman" w:eastAsia="Times New Roman"/>
          <w:color w:val="000000"/>
          <w:sz w:val="24"/>
        </w:rPr>
        <w:t>- Compound in twin-screw extruder (T = Tm + 20°C; shear rate: 100 s⁻¹)</w:t>
      </w:r>
    </w:p>
    <w:p>
      <w:pPr>
        <w:spacing w:line="360" w:lineRule="auto"/>
        <w:jc w:val="both"/>
      </w:pPr>
      <w:r>
        <w:rPr>
          <w:rFonts w:ascii="Times New Roman" w:hAnsi="Times New Roman" w:eastAsia="Times New Roman"/>
          <w:color w:val="000000"/>
          <w:sz w:val="24"/>
        </w:rPr>
        <w:t>3. **Compression molding**:</w:t>
      </w:r>
    </w:p>
    <w:p>
      <w:pPr>
        <w:spacing w:line="360" w:lineRule="auto"/>
        <w:jc w:val="both"/>
      </w:pPr>
      <w:r>
        <w:rPr>
          <w:rFonts w:ascii="Times New Roman" w:hAnsi="Times New Roman" w:eastAsia="Times New Roman"/>
          <w:color w:val="000000"/>
          <w:sz w:val="24"/>
        </w:rPr>
        <w:t>- Form ISO 527 tensile bars (2 mm thickness)</w:t>
      </w:r>
    </w:p>
    <w:p>
      <w:pPr>
        <w:spacing w:line="360" w:lineRule="auto"/>
        <w:jc w:val="both"/>
      </w:pPr>
      <w:r>
        <w:rPr>
          <w:rFonts w:ascii="Times New Roman" w:hAnsi="Times New Roman" w:eastAsia="Times New Roman"/>
          <w:color w:val="000000"/>
          <w:sz w:val="24"/>
        </w:rPr>
        <w:t>- Anneal at Tg + 10°C for crystallization control</w:t>
      </w:r>
    </w:p>
    <w:p>
      <w:pPr>
        <w:pStyle w:val="Heading3"/>
      </w:pPr>
      <w:r>
        <w:rPr>
          <w:rFonts w:ascii="Times New Roman" w:hAnsi="Times New Roman" w:eastAsia="Times New Roman"/>
          <w:b/>
          <w:color w:val="000000"/>
          <w:sz w:val="28"/>
        </w:rPr>
        <w:t>3.4 Structural and Physicochemical Characterization</w:t>
      </w:r>
    </w:p>
    <w:p>
      <w:pPr>
        <w:spacing w:line="360" w:lineRule="auto"/>
        <w:jc w:val="both"/>
      </w:pPr>
      <w:r>
        <w:rPr>
          <w:rFonts w:ascii="Times New Roman" w:hAnsi="Times New Roman" w:eastAsia="Times New Roman"/>
          <w:color w:val="000000"/>
          <w:sz w:val="24"/>
        </w:rPr>
        <w:t>- **Morphology**: SEM/TEM of microtomed sections (core-shell distribution)</w:t>
      </w:r>
    </w:p>
    <w:p>
      <w:pPr>
        <w:spacing w:line="360" w:lineRule="auto"/>
        <w:jc w:val="both"/>
      </w:pPr>
      <w:r>
        <w:rPr>
          <w:rFonts w:ascii="Times New Roman" w:hAnsi="Times New Roman" w:eastAsia="Times New Roman"/>
          <w:color w:val="000000"/>
          <w:sz w:val="24"/>
        </w:rPr>
        <w:t>- **Thermal analysis**: DSC (Tg, Tm, crystallinity)</w:t>
      </w:r>
    </w:p>
    <w:p>
      <w:pPr>
        <w:spacing w:line="360" w:lineRule="auto"/>
        <w:jc w:val="both"/>
      </w:pPr>
      <w:r>
        <w:rPr>
          <w:rFonts w:ascii="Times New Roman" w:hAnsi="Times New Roman" w:eastAsia="Times New Roman"/>
          <w:color w:val="000000"/>
          <w:sz w:val="24"/>
        </w:rPr>
        <w:t>- **Interfacial chemistry**: FTIR of grafted shells [3]</w:t>
      </w:r>
    </w:p>
    <w:p>
      <w:pPr>
        <w:spacing w:line="360" w:lineRule="auto"/>
        <w:jc w:val="both"/>
      </w:pPr>
      <w:r>
        <w:rPr>
          <w:rFonts w:ascii="Times New Roman" w:hAnsi="Times New Roman" w:eastAsia="Times New Roman"/>
          <w:color w:val="000000"/>
          <w:sz w:val="24"/>
        </w:rPr>
        <w:t>- **Molecular weight**: GPC pre-/post-degradation</w:t>
      </w:r>
    </w:p>
    <w:p>
      <w:pPr>
        <w:spacing w:line="360" w:lineRule="auto"/>
        <w:jc w:val="both"/>
      </w:pPr>
      <w:r>
        <w:rPr>
          <w:rFonts w:ascii="Times New Roman" w:hAnsi="Times New Roman" w:eastAsia="Times New Roman"/>
          <w:color w:val="000000"/>
          <w:sz w:val="24"/>
        </w:rPr>
        <w:t>*Rationale*: Confirms core-shell integrity and baseline properties</w:t>
      </w:r>
    </w:p>
    <w:p>
      <w:pPr>
        <w:pStyle w:val="Heading3"/>
      </w:pPr>
      <w:r>
        <w:rPr>
          <w:rFonts w:ascii="Times New Roman" w:hAnsi="Times New Roman" w:eastAsia="Times New Roman"/>
          <w:b/>
          <w:color w:val="000000"/>
          <w:sz w:val="28"/>
        </w:rPr>
        <w:t>3.5 Mechanical Testing Protocol</w:t>
      </w:r>
    </w:p>
    <w:p>
      <w:pPr>
        <w:spacing w:line="360" w:lineRule="auto"/>
        <w:jc w:val="both"/>
      </w:pPr>
      <w:r>
        <w:rPr>
          <w:rFonts w:ascii="Times New Roman" w:hAnsi="Times New Roman" w:eastAsia="Times New Roman"/>
          <w:color w:val="000000"/>
          <w:sz w:val="24"/>
        </w:rPr>
        <w:t>- **Initial properties**: Tensile tests (ISO 527; n=10) measuring:</w:t>
      </w:r>
    </w:p>
    <w:p>
      <w:pPr>
        <w:spacing w:line="360" w:lineRule="auto"/>
        <w:jc w:val="both"/>
      </w:pPr>
      <w:r>
        <w:rPr>
          <w:rFonts w:ascii="Times New Roman" w:hAnsi="Times New Roman" w:eastAsia="Times New Roman"/>
          <w:color w:val="000000"/>
          <w:sz w:val="24"/>
        </w:rPr>
        <w:t>- Young's modulus (1% strain)</w:t>
      </w:r>
    </w:p>
    <w:p>
      <w:pPr>
        <w:spacing w:line="360" w:lineRule="auto"/>
        <w:jc w:val="both"/>
      </w:pPr>
      <w:r>
        <w:rPr>
          <w:rFonts w:ascii="Times New Roman" w:hAnsi="Times New Roman" w:eastAsia="Times New Roman"/>
          <w:color w:val="000000"/>
          <w:sz w:val="24"/>
        </w:rPr>
        <w:t>- Tensile strength at yield</w:t>
      </w:r>
    </w:p>
    <w:p>
      <w:pPr>
        <w:spacing w:line="360" w:lineRule="auto"/>
        <w:jc w:val="both"/>
      </w:pPr>
      <w:r>
        <w:rPr>
          <w:rFonts w:ascii="Times New Roman" w:hAnsi="Times New Roman" w:eastAsia="Times New Roman"/>
          <w:color w:val="000000"/>
          <w:sz w:val="24"/>
        </w:rPr>
        <w:t>- Elongation at break</w:t>
      </w:r>
    </w:p>
    <w:p>
      <w:pPr>
        <w:spacing w:line="360" w:lineRule="auto"/>
        <w:jc w:val="both"/>
      </w:pPr>
      <w:r>
        <w:rPr>
          <w:rFonts w:ascii="Times New Roman" w:hAnsi="Times New Roman" w:eastAsia="Times New Roman"/>
          <w:color w:val="000000"/>
          <w:sz w:val="24"/>
        </w:rPr>
        <w:t>- **Degradation-coupled testing**:</w:t>
      </w:r>
    </w:p>
    <w:p>
      <w:pPr>
        <w:spacing w:line="360" w:lineRule="auto"/>
        <w:jc w:val="both"/>
      </w:pPr>
      <w:r>
        <w:rPr>
          <w:rFonts w:ascii="Times New Roman" w:hAnsi="Times New Roman" w:eastAsia="Times New Roman"/>
          <w:color w:val="000000"/>
          <w:sz w:val="24"/>
        </w:rPr>
        <w:t>- Submerge in PBS (pH 7.4, 37°C)</w:t>
      </w:r>
    </w:p>
    <w:p>
      <w:pPr>
        <w:spacing w:line="360" w:lineRule="auto"/>
        <w:jc w:val="both"/>
      </w:pPr>
      <w:r>
        <w:rPr>
          <w:rFonts w:ascii="Times New Roman" w:hAnsi="Times New Roman" w:eastAsia="Times New Roman"/>
          <w:color w:val="000000"/>
          <w:sz w:val="24"/>
        </w:rPr>
        <w:t>- Test tensile properties at 7, 14, 28 days (wet state)</w:t>
      </w:r>
    </w:p>
    <w:p>
      <w:pPr>
        <w:spacing w:line="360" w:lineRule="auto"/>
        <w:jc w:val="both"/>
      </w:pPr>
      <w:r>
        <w:rPr>
          <w:rFonts w:ascii="Times New Roman" w:hAnsi="Times New Roman" w:eastAsia="Times New Roman"/>
          <w:color w:val="000000"/>
          <w:sz w:val="24"/>
        </w:rPr>
        <w:t>- Calculate strength retention: σ(t)/σ(0)</w:t>
      </w:r>
    </w:p>
    <w:p>
      <w:pPr>
        <w:spacing w:line="360" w:lineRule="auto"/>
        <w:jc w:val="both"/>
      </w:pPr>
      <w:r>
        <w:rPr>
          <w:rFonts w:ascii="Times New Roman" w:hAnsi="Times New Roman" w:eastAsia="Times New Roman"/>
          <w:color w:val="000000"/>
          <w:sz w:val="24"/>
        </w:rPr>
        <w:t>- **Failure analysis**: SEM of fracture surfaces post-degradation</w:t>
      </w:r>
    </w:p>
    <w:p>
      <w:pPr>
        <w:pStyle w:val="Heading3"/>
      </w:pPr>
      <w:r>
        <w:rPr>
          <w:rFonts w:ascii="Times New Roman" w:hAnsi="Times New Roman" w:eastAsia="Times New Roman"/>
          <w:b/>
          <w:color w:val="000000"/>
          <w:sz w:val="28"/>
        </w:rPr>
        <w:t>3.6 Degradation Evaluation Protocol</w:t>
      </w:r>
    </w:p>
    <w:p>
      <w:pPr>
        <w:spacing w:line="360" w:lineRule="auto"/>
        <w:jc w:val="both"/>
      </w:pPr>
      <w:r>
        <w:rPr>
          <w:rFonts w:ascii="Times New Roman" w:hAnsi="Times New Roman" w:eastAsia="Times New Roman"/>
          <w:color w:val="000000"/>
          <w:sz w:val="24"/>
        </w:rPr>
        <w:t>- **Mass loss**: Weekly gravimetry (n=5)</w:t>
      </w:r>
    </w:p>
    <w:p>
      <w:pPr>
        <w:spacing w:line="360" w:lineRule="auto"/>
        <w:jc w:val="both"/>
      </w:pPr>
      <w:r>
        <w:rPr>
          <w:rFonts w:ascii="Times New Roman" w:hAnsi="Times New Roman" w:eastAsia="Times New Roman"/>
          <w:color w:val="000000"/>
          <w:sz w:val="24"/>
        </w:rPr>
        <w:t>- **Molecular degradation**: GPC every 14 days</w:t>
      </w:r>
    </w:p>
    <w:p>
      <w:pPr>
        <w:spacing w:line="360" w:lineRule="auto"/>
        <w:jc w:val="both"/>
      </w:pPr>
      <w:r>
        <w:rPr>
          <w:rFonts w:ascii="Times New Roman" w:hAnsi="Times New Roman" w:eastAsia="Times New Roman"/>
          <w:color w:val="000000"/>
          <w:sz w:val="24"/>
        </w:rPr>
        <w:t>- **Morphological evolution**: SEM surface/cross-section imaging at 28 days</w:t>
      </w:r>
    </w:p>
    <w:p>
      <w:pPr>
        <w:spacing w:line="360" w:lineRule="auto"/>
        <w:jc w:val="both"/>
      </w:pPr>
      <w:r>
        <w:rPr>
          <w:rFonts w:ascii="Times New Roman" w:hAnsi="Times New Roman" w:eastAsia="Times New Roman"/>
          <w:color w:val="000000"/>
          <w:sz w:val="24"/>
        </w:rPr>
        <w:t>- **Rheological monitoring**:</w:t>
      </w:r>
    </w:p>
    <w:p>
      <w:pPr>
        <w:spacing w:line="360" w:lineRule="auto"/>
        <w:jc w:val="both"/>
      </w:pPr>
      <w:r>
        <w:rPr>
          <w:rFonts w:ascii="Times New Roman" w:hAnsi="Times New Roman" w:eastAsia="Times New Roman"/>
          <w:color w:val="000000"/>
          <w:sz w:val="24"/>
        </w:rPr>
        <w:t>- Time-sweep oscillatory shear (1 Hz, 37°C in PBS) [5]</w:t>
      </w:r>
    </w:p>
    <w:p>
      <w:pPr>
        <w:spacing w:line="360" w:lineRule="auto"/>
        <w:jc w:val="both"/>
      </w:pPr>
      <w:r>
        <w:rPr>
          <w:rFonts w:ascii="Times New Roman" w:hAnsi="Times New Roman" w:eastAsia="Times New Roman"/>
          <w:color w:val="000000"/>
          <w:sz w:val="24"/>
        </w:rPr>
        <w:t>- Track G'/G'' crossover points as degradation markers</w:t>
      </w:r>
    </w:p>
    <w:p>
      <w:pPr>
        <w:spacing w:line="360" w:lineRule="auto"/>
        <w:jc w:val="both"/>
      </w:pPr>
      <w:r>
        <w:rPr>
          <w:rFonts w:ascii="Times New Roman" w:hAnsi="Times New Roman" w:eastAsia="Times New Roman"/>
          <w:color w:val="000000"/>
          <w:sz w:val="24"/>
        </w:rPr>
        <w:t>- **pH tracking**: Degradation medium pH changes (autocatalysis indicator)</w:t>
      </w:r>
    </w:p>
    <w:p>
      <w:pPr>
        <w:pStyle w:val="Heading3"/>
      </w:pPr>
      <w:r>
        <w:rPr>
          <w:rFonts w:ascii="Times New Roman" w:hAnsi="Times New Roman" w:eastAsia="Times New Roman"/>
          <w:b/>
          <w:color w:val="000000"/>
          <w:sz w:val="28"/>
        </w:rPr>
        <w:t>3.7 Biocompatibility / Biofunction Evaluation</w:t>
      </w:r>
    </w:p>
    <w:p>
      <w:pPr>
        <w:spacing w:line="360" w:lineRule="auto"/>
        <w:jc w:val="both"/>
      </w:pPr>
      <w:r>
        <w:rPr>
          <w:rFonts w:ascii="Times New Roman" w:hAnsi="Times New Roman" w:eastAsia="Times New Roman"/>
          <w:color w:val="000000"/>
          <w:sz w:val="24"/>
        </w:rPr>
        <w:t>- **Cytotoxicity**: ISO 10993-5 elution assay (fibroblasts)</w:t>
      </w:r>
    </w:p>
    <w:p>
      <w:pPr>
        <w:spacing w:line="360" w:lineRule="auto"/>
        <w:jc w:val="both"/>
      </w:pPr>
      <w:r>
        <w:rPr>
          <w:rFonts w:ascii="Times New Roman" w:hAnsi="Times New Roman" w:eastAsia="Times New Roman"/>
          <w:color w:val="000000"/>
          <w:sz w:val="24"/>
        </w:rPr>
        <w:t>- **Cell adhesion**: SEM of MC3T3 osteoblasts on surfaces (72h)</w:t>
      </w:r>
    </w:p>
    <w:p>
      <w:pPr>
        <w:spacing w:line="360" w:lineRule="auto"/>
        <w:jc w:val="both"/>
      </w:pPr>
      <w:r>
        <w:rPr>
          <w:rFonts w:ascii="Times New Roman" w:hAnsi="Times New Roman" w:eastAsia="Times New Roman"/>
          <w:color w:val="000000"/>
          <w:sz w:val="24"/>
        </w:rPr>
        <w:t>*Note: In vivo evaluation deferred to later stage*</w:t>
      </w:r>
    </w:p>
    <w:p>
      <w:pPr>
        <w:pStyle w:val="Heading3"/>
      </w:pPr>
      <w:r>
        <w:rPr>
          <w:rFonts w:ascii="Times New Roman" w:hAnsi="Times New Roman" w:eastAsia="Times New Roman"/>
          <w:b/>
          <w:color w:val="000000"/>
          <w:sz w:val="28"/>
        </w:rPr>
        <w:t>3.8 Controls, Decision Criteria, and Statistical Comparison</w:t>
      </w:r>
    </w:p>
    <w:p>
      <w:pPr>
        <w:spacing w:line="360" w:lineRule="auto"/>
        <w:jc w:val="both"/>
      </w:pPr>
      <w:r>
        <w:rPr>
          <w:rFonts w:ascii="Times New Roman" w:hAnsi="Times New Roman" w:eastAsia="Times New Roman"/>
          <w:color w:val="000000"/>
          <w:sz w:val="24"/>
        </w:rPr>
        <w:t>- **Controls**: Unmodified blend (Group 1), commercial PLLA implant</w:t>
      </w:r>
    </w:p>
    <w:p>
      <w:pPr>
        <w:spacing w:line="360" w:lineRule="auto"/>
        <w:jc w:val="both"/>
      </w:pPr>
      <w:r>
        <w:rPr>
          <w:rFonts w:ascii="Times New Roman" w:hAnsi="Times New Roman" w:eastAsia="Times New Roman"/>
          <w:color w:val="000000"/>
          <w:sz w:val="24"/>
        </w:rPr>
        <w:t>- **Success criteria**:</w:t>
      </w:r>
    </w:p>
    <w:p>
      <w:pPr>
        <w:spacing w:line="360" w:lineRule="auto"/>
        <w:jc w:val="both"/>
      </w:pPr>
      <w:r>
        <w:rPr>
          <w:rFonts w:ascii="Times New Roman" w:hAnsi="Times New Roman" w:eastAsia="Times New Roman"/>
          <w:color w:val="000000"/>
          <w:sz w:val="24"/>
        </w:rPr>
        <w:t>- Initial E-modulus &gt; 2 GPa</w:t>
      </w:r>
    </w:p>
    <w:p>
      <w:pPr>
        <w:spacing w:line="360" w:lineRule="auto"/>
        <w:jc w:val="both"/>
      </w:pPr>
      <w:r>
        <w:rPr>
          <w:rFonts w:ascii="Times New Roman" w:hAnsi="Times New Roman" w:eastAsia="Times New Roman"/>
          <w:color w:val="000000"/>
          <w:sz w:val="24"/>
        </w:rPr>
        <w:t>- Strength retention &gt; 60% at 28 days (vs Group 1 baseline)</w:t>
      </w:r>
    </w:p>
    <w:p>
      <w:pPr>
        <w:spacing w:line="360" w:lineRule="auto"/>
        <w:jc w:val="both"/>
      </w:pPr>
      <w:r>
        <w:rPr>
          <w:rFonts w:ascii="Times New Roman" w:hAnsi="Times New Roman" w:eastAsia="Times New Roman"/>
          <w:color w:val="000000"/>
          <w:sz w:val="24"/>
        </w:rPr>
        <w:t>- **Statistical analysis**:</w:t>
      </w:r>
    </w:p>
    <w:p>
      <w:pPr>
        <w:spacing w:line="360" w:lineRule="auto"/>
        <w:jc w:val="both"/>
      </w:pPr>
      <w:r>
        <w:rPr>
          <w:rFonts w:ascii="Times New Roman" w:hAnsi="Times New Roman" w:eastAsia="Times New Roman"/>
          <w:color w:val="000000"/>
          <w:sz w:val="24"/>
        </w:rPr>
        <w:t>- Two-way ANOVA (material × degradation time)</w:t>
      </w:r>
    </w:p>
    <w:p>
      <w:pPr>
        <w:spacing w:line="360" w:lineRule="auto"/>
        <w:jc w:val="both"/>
      </w:pPr>
      <w:r>
        <w:rPr>
          <w:rFonts w:ascii="Times New Roman" w:hAnsi="Times New Roman" w:eastAsia="Times New Roman"/>
          <w:color w:val="000000"/>
          <w:sz w:val="24"/>
        </w:rPr>
        <w:t>- Tukey post-hoc (α=0.05) for group comparisons</w:t>
      </w:r>
    </w:p>
    <w:p>
      <w:pPr>
        <w:spacing w:line="360" w:lineRule="auto"/>
        <w:jc w:val="both"/>
      </w:pPr>
      <w:r>
        <w:rPr>
          <w:rFonts w:ascii="Times New Roman" w:hAnsi="Times New Roman" w:eastAsia="Times New Roman"/>
          <w:color w:val="000000"/>
          <w:sz w:val="24"/>
        </w:rPr>
        <w:t>- **Termination criteria**: &gt;40% mass loss or catastrophic fragmentation</w:t>
      </w:r>
    </w:p>
    <w:p>
      <w:pPr>
        <w:pStyle w:val="Heading2"/>
      </w:pPr>
      <w:r>
        <w:rPr>
          <w:rFonts w:ascii="Times New Roman" w:hAnsi="Times New Roman" w:eastAsia="Times New Roman"/>
          <w:b/>
          <w:color w:val="000000"/>
          <w:sz w:val="30"/>
        </w:rPr>
        <w:t>4. Results and Evidence-Based Discussion</w:t>
      </w:r>
    </w:p>
    <w:p>
      <w:pPr>
        <w:pStyle w:val="Heading3"/>
      </w:pPr>
      <w:r>
        <w:rPr>
          <w:rFonts w:ascii="Times New Roman" w:hAnsi="Times New Roman" w:eastAsia="Times New Roman"/>
          <w:b/>
          <w:color w:val="000000"/>
          <w:sz w:val="28"/>
        </w:rPr>
        <w:t>4.1 Directly Supported Expectations</w:t>
      </w:r>
    </w:p>
    <w:p>
      <w:pPr>
        <w:spacing w:line="360" w:lineRule="auto"/>
        <w:jc w:val="both"/>
      </w:pPr>
      <w:r>
        <w:rPr>
          <w:rFonts w:ascii="Times New Roman" w:hAnsi="Times New Roman" w:eastAsia="Times New Roman"/>
          <w:color w:val="000000"/>
          <w:sz w:val="24"/>
        </w:rPr>
        <w:t>- Core-shell rubber nanoparticles significantly improve impact toughness in PLLA [2, 3]</w:t>
      </w:r>
    </w:p>
    <w:p>
      <w:pPr>
        <w:spacing w:line="360" w:lineRule="auto"/>
        <w:jc w:val="both"/>
      </w:pPr>
      <w:r>
        <w:rPr>
          <w:rFonts w:ascii="Times New Roman" w:hAnsi="Times New Roman" w:eastAsia="Times New Roman"/>
          <w:color w:val="000000"/>
          <w:sz w:val="24"/>
        </w:rPr>
        <w:t>- PEBA/PBAT shells regulate enzymatic degradation rates in PLA blends [8]</w:t>
      </w:r>
    </w:p>
    <w:p>
      <w:pPr>
        <w:spacing w:line="360" w:lineRule="auto"/>
        <w:jc w:val="both"/>
      </w:pPr>
      <w:r>
        <w:rPr>
          <w:rFonts w:ascii="Times New Roman" w:hAnsi="Times New Roman" w:eastAsia="Times New Roman"/>
          <w:color w:val="000000"/>
          <w:sz w:val="24"/>
        </w:rPr>
        <w:t>- Rheological transitions correlate with tensile strength loss during hydrolysis [5]</w:t>
      </w:r>
    </w:p>
    <w:p>
      <w:pPr>
        <w:pStyle w:val="Heading3"/>
      </w:pPr>
      <w:r>
        <w:rPr>
          <w:rFonts w:ascii="Times New Roman" w:hAnsi="Times New Roman" w:eastAsia="Times New Roman"/>
          <w:b/>
          <w:color w:val="000000"/>
          <w:sz w:val="28"/>
        </w:rPr>
        <w:t>4.2 Mechanistically Inferred Expectations</w:t>
      </w:r>
    </w:p>
    <w:p>
      <w:pPr>
        <w:spacing w:line="360" w:lineRule="auto"/>
        <w:jc w:val="both"/>
      </w:pPr>
      <w:r>
        <w:rPr>
          <w:rFonts w:ascii="Times New Roman" w:hAnsi="Times New Roman" w:eastAsia="Times New Roman"/>
          <w:color w:val="000000"/>
          <w:sz w:val="24"/>
        </w:rPr>
        <w:t>- GMA-compatibilized interfaces should maintain stress transfer during early degradation [3, 5]</w:t>
      </w:r>
    </w:p>
    <w:p>
      <w:pPr>
        <w:spacing w:line="360" w:lineRule="auto"/>
        <w:jc w:val="both"/>
      </w:pPr>
      <w:r>
        <w:rPr>
          <w:rFonts w:ascii="Times New Roman" w:hAnsi="Times New Roman" w:eastAsia="Times New Roman"/>
          <w:color w:val="000000"/>
          <w:sz w:val="24"/>
        </w:rPr>
        <w:t>- Thicker shells (30-40%) may delay core erosion but risk interfacial delamination</w:t>
      </w:r>
    </w:p>
    <w:p>
      <w:pPr>
        <w:spacing w:line="360" w:lineRule="auto"/>
        <w:jc w:val="both"/>
      </w:pPr>
      <w:r>
        <w:rPr>
          <w:rFonts w:ascii="Times New Roman" w:hAnsi="Times New Roman" w:eastAsia="Times New Roman"/>
          <w:color w:val="000000"/>
          <w:sz w:val="24"/>
        </w:rPr>
        <w:t>- Acidic byproducts from PGA cores could accelerate shell degradation [6]</w:t>
      </w:r>
    </w:p>
    <w:p>
      <w:pPr>
        <w:pStyle w:val="Heading3"/>
      </w:pPr>
      <w:r>
        <w:rPr>
          <w:rFonts w:ascii="Times New Roman" w:hAnsi="Times New Roman" w:eastAsia="Times New Roman"/>
          <w:b/>
          <w:color w:val="000000"/>
          <w:sz w:val="28"/>
        </w:rPr>
        <w:t>4.3 Evidence Gaps and Uncertainty</w:t>
      </w:r>
    </w:p>
    <w:p>
      <w:pPr>
        <w:spacing w:line="360" w:lineRule="auto"/>
        <w:jc w:val="both"/>
      </w:pPr>
      <w:r>
        <w:rPr>
          <w:rFonts w:ascii="Times New Roman" w:hAnsi="Times New Roman" w:eastAsia="Times New Roman"/>
          <w:color w:val="000000"/>
          <w:sz w:val="24"/>
        </w:rPr>
        <w:t>- **Critical gaps**:</w:t>
      </w:r>
    </w:p>
    <w:p>
      <w:pPr>
        <w:spacing w:line="360" w:lineRule="auto"/>
        <w:jc w:val="both"/>
      </w:pPr>
      <w:r>
        <w:rPr>
          <w:rFonts w:ascii="Times New Roman" w:hAnsi="Times New Roman" w:eastAsia="Times New Roman"/>
          <w:color w:val="000000"/>
          <w:sz w:val="24"/>
        </w:rPr>
        <w:t>- No data on erosion front progression in core-shell blends</w:t>
      </w:r>
    </w:p>
    <w:p>
      <w:pPr>
        <w:spacing w:line="360" w:lineRule="auto"/>
        <w:jc w:val="both"/>
      </w:pPr>
      <w:r>
        <w:rPr>
          <w:rFonts w:ascii="Times New Roman" w:hAnsi="Times New Roman" w:eastAsia="Times New Roman"/>
          <w:color w:val="000000"/>
          <w:sz w:val="24"/>
        </w:rPr>
        <w:t>- Unknown pH evolution in confined core regions</w:t>
      </w:r>
    </w:p>
    <w:p>
      <w:pPr>
        <w:spacing w:line="360" w:lineRule="auto"/>
        <w:jc w:val="both"/>
      </w:pPr>
      <w:r>
        <w:rPr>
          <w:rFonts w:ascii="Times New Roman" w:hAnsi="Times New Roman" w:eastAsia="Times New Roman"/>
          <w:color w:val="000000"/>
          <w:sz w:val="24"/>
        </w:rPr>
        <w:t>- Limited evidence for wet-state mechanical retention beyond 4 weeks</w:t>
      </w:r>
    </w:p>
    <w:p>
      <w:pPr>
        <w:spacing w:line="360" w:lineRule="auto"/>
        <w:jc w:val="both"/>
      </w:pPr>
      <w:r>
        <w:rPr>
          <w:rFonts w:ascii="Times New Roman" w:hAnsi="Times New Roman" w:eastAsia="Times New Roman"/>
          <w:color w:val="000000"/>
          <w:sz w:val="24"/>
        </w:rPr>
        <w:t>- **Uncertainties**:</w:t>
      </w:r>
    </w:p>
    <w:p>
      <w:pPr>
        <w:spacing w:line="360" w:lineRule="auto"/>
        <w:jc w:val="both"/>
      </w:pPr>
      <w:r>
        <w:rPr>
          <w:rFonts w:ascii="Times New Roman" w:hAnsi="Times New Roman" w:eastAsia="Times New Roman"/>
          <w:color w:val="000000"/>
          <w:sz w:val="24"/>
        </w:rPr>
        <w:t>- Shell thickness threshold for effective diffusion barrier</w:t>
      </w:r>
    </w:p>
    <w:p>
      <w:pPr>
        <w:spacing w:line="360" w:lineRule="auto"/>
        <w:jc w:val="both"/>
      </w:pPr>
      <w:r>
        <w:rPr>
          <w:rFonts w:ascii="Times New Roman" w:hAnsi="Times New Roman" w:eastAsia="Times New Roman"/>
          <w:color w:val="000000"/>
          <w:sz w:val="24"/>
        </w:rPr>
        <w:t>- Long-term biocompatibility of degradation byproducts</w:t>
      </w:r>
    </w:p>
    <w:p>
      <w:pPr>
        <w:pStyle w:val="Heading3"/>
      </w:pPr>
      <w:r>
        <w:rPr>
          <w:rFonts w:ascii="Times New Roman" w:hAnsi="Times New Roman" w:eastAsia="Times New Roman"/>
          <w:b/>
          <w:color w:val="000000"/>
          <w:sz w:val="28"/>
        </w:rPr>
        <w:t>4.4 Comparison with Prior Systems</w:t>
      </w:r>
    </w:p>
    <w:p>
      <w:pPr>
        <w:spacing w:line="360" w:lineRule="auto"/>
        <w:jc w:val="both"/>
      </w:pPr>
      <w:r>
        <w:rPr>
          <w:rFonts w:ascii="Times New Roman" w:hAnsi="Times New Roman" w:eastAsia="Times New Roman"/>
          <w:color w:val="000000"/>
          <w:sz w:val="24"/>
        </w:rPr>
        <w:t>Conventional polyester blends show rapid strength loss (50-70% in 2 weeks) due to bulk erosion [5, 7]. Core-shell designs offer:</w:t>
      </w:r>
    </w:p>
    <w:p>
      <w:pPr>
        <w:spacing w:line="360" w:lineRule="auto"/>
        <w:jc w:val="both"/>
      </w:pPr>
      <w:r>
        <w:rPr>
          <w:rFonts w:ascii="Times New Roman" w:hAnsi="Times New Roman" w:eastAsia="Times New Roman"/>
          <w:color w:val="000000"/>
          <w:sz w:val="24"/>
        </w:rPr>
        <w:t>- 66.7% longer strength retention in compatibilized blends [5]</w:t>
      </w:r>
    </w:p>
    <w:p>
      <w:pPr>
        <w:spacing w:line="360" w:lineRule="auto"/>
        <w:jc w:val="both"/>
      </w:pPr>
      <w:r>
        <w:rPr>
          <w:rFonts w:ascii="Times New Roman" w:hAnsi="Times New Roman" w:eastAsia="Times New Roman"/>
          <w:color w:val="000000"/>
          <w:sz w:val="24"/>
        </w:rPr>
        <w:t>- Tunable degradation profiles via shell chemistry [1, 8]</w:t>
      </w:r>
    </w:p>
    <w:p>
      <w:pPr>
        <w:spacing w:line="360" w:lineRule="auto"/>
        <w:jc w:val="both"/>
      </w:pPr>
      <w:r>
        <w:rPr>
          <w:rFonts w:ascii="Times New Roman" w:hAnsi="Times New Roman" w:eastAsia="Times New Roman"/>
          <w:color w:val="000000"/>
          <w:sz w:val="24"/>
        </w:rPr>
        <w:t>- Superior toughness vs. homogeneous blends [2, 3]</w:t>
      </w:r>
    </w:p>
    <w:p>
      <w:pPr>
        <w:pStyle w:val="Heading2"/>
      </w:pPr>
      <w:r>
        <w:rPr>
          <w:rFonts w:ascii="Times New Roman" w:hAnsi="Times New Roman" w:eastAsia="Times New Roman"/>
          <w:b/>
          <w:color w:val="000000"/>
          <w:sz w:val="30"/>
        </w:rPr>
        <w:t>5. Risk Analysis and Optimization Path</w:t>
      </w:r>
    </w:p>
    <w:p>
      <w:pPr>
        <w:pStyle w:val="Heading3"/>
      </w:pPr>
      <w:r>
        <w:rPr>
          <w:rFonts w:ascii="Times New Roman" w:hAnsi="Times New Roman" w:eastAsia="Times New Roman"/>
          <w:b/>
          <w:color w:val="000000"/>
          <w:sz w:val="28"/>
        </w:rPr>
        <w:t>5.1 Major Failure Modes</w:t>
      </w:r>
    </w:p>
    <w:p>
      <w:pPr>
        <w:spacing w:line="360" w:lineRule="auto"/>
        <w:jc w:val="both"/>
      </w:pPr>
      <w:r>
        <w:rPr>
          <w:rFonts w:ascii="Times New Roman" w:hAnsi="Times New Roman" w:eastAsia="Times New Roman"/>
          <w:color w:val="000000"/>
          <w:sz w:val="24"/>
        </w:rPr>
        <w:t>1. Interfacial debonding under hydrolytic stress</w:t>
      </w:r>
    </w:p>
    <w:p>
      <w:pPr>
        <w:spacing w:line="360" w:lineRule="auto"/>
        <w:jc w:val="both"/>
      </w:pPr>
      <w:r>
        <w:rPr>
          <w:rFonts w:ascii="Times New Roman" w:hAnsi="Times New Roman" w:eastAsia="Times New Roman"/>
          <w:color w:val="000000"/>
          <w:sz w:val="24"/>
        </w:rPr>
        <w:t>2. Shell fragmentation causing accelerated core erosion</w:t>
      </w:r>
    </w:p>
    <w:p>
      <w:pPr>
        <w:spacing w:line="360" w:lineRule="auto"/>
        <w:jc w:val="both"/>
      </w:pPr>
      <w:r>
        <w:rPr>
          <w:rFonts w:ascii="Times New Roman" w:hAnsi="Times New Roman" w:eastAsia="Times New Roman"/>
          <w:color w:val="000000"/>
          <w:sz w:val="24"/>
        </w:rPr>
        <w:t>3. Acidic core degradation overwhelming shell barrier</w:t>
      </w:r>
    </w:p>
    <w:p>
      <w:pPr>
        <w:pStyle w:val="Heading3"/>
      </w:pPr>
      <w:r>
        <w:rPr>
          <w:rFonts w:ascii="Times New Roman" w:hAnsi="Times New Roman" w:eastAsia="Times New Roman"/>
          <w:b/>
          <w:color w:val="000000"/>
          <w:sz w:val="28"/>
        </w:rPr>
        <w:t>5.2 Optimization Pathway</w:t>
      </w:r>
    </w:p>
    <w:p>
      <w:pPr>
        <w:spacing w:line="360" w:lineRule="auto"/>
        <w:jc w:val="both"/>
      </w:pPr>
      <w:r>
        <w:rPr>
          <w:rFonts w:ascii="Times New Roman" w:hAnsi="Times New Roman" w:eastAsia="Times New Roman"/>
          <w:color w:val="000000"/>
          <w:sz w:val="24"/>
        </w:rPr>
        <w:t>- **Degradation too fast**:</w:t>
      </w:r>
    </w:p>
    <w:p>
      <w:pPr>
        <w:spacing w:line="360" w:lineRule="auto"/>
        <w:jc w:val="both"/>
      </w:pPr>
      <w:r>
        <w:rPr>
          <w:rFonts w:ascii="Times New Roman" w:hAnsi="Times New Roman" w:eastAsia="Times New Roman"/>
          <w:color w:val="000000"/>
          <w:sz w:val="24"/>
        </w:rPr>
        <w:t>- Increase shell thickness or crystallinity</w:t>
      </w:r>
    </w:p>
    <w:p>
      <w:pPr>
        <w:spacing w:line="360" w:lineRule="auto"/>
        <w:jc w:val="both"/>
      </w:pPr>
      <w:r>
        <w:rPr>
          <w:rFonts w:ascii="Times New Roman" w:hAnsi="Times New Roman" w:eastAsia="Times New Roman"/>
          <w:color w:val="000000"/>
          <w:sz w:val="24"/>
        </w:rPr>
        <w:t>- Add hydrophobic additives to shell</w:t>
      </w:r>
    </w:p>
    <w:p>
      <w:pPr>
        <w:spacing w:line="360" w:lineRule="auto"/>
        <w:jc w:val="both"/>
      </w:pPr>
      <w:r>
        <w:rPr>
          <w:rFonts w:ascii="Times New Roman" w:hAnsi="Times New Roman" w:eastAsia="Times New Roman"/>
          <w:color w:val="000000"/>
          <w:sz w:val="24"/>
        </w:rPr>
        <w:t>- **Stiffness too low**:</w:t>
      </w:r>
    </w:p>
    <w:p>
      <w:pPr>
        <w:spacing w:line="360" w:lineRule="auto"/>
        <w:jc w:val="both"/>
      </w:pPr>
      <w:r>
        <w:rPr>
          <w:rFonts w:ascii="Times New Roman" w:hAnsi="Times New Roman" w:eastAsia="Times New Roman"/>
          <w:color w:val="000000"/>
          <w:sz w:val="24"/>
        </w:rPr>
        <w:t>- Increase core fraction or molecular weight</w:t>
      </w:r>
    </w:p>
    <w:p>
      <w:pPr>
        <w:spacing w:line="360" w:lineRule="auto"/>
        <w:jc w:val="both"/>
      </w:pPr>
      <w:r>
        <w:rPr>
          <w:rFonts w:ascii="Times New Roman" w:hAnsi="Times New Roman" w:eastAsia="Times New Roman"/>
          <w:color w:val="000000"/>
          <w:sz w:val="24"/>
        </w:rPr>
        <w:t>- Use stiffer shell polymers (e.g., PLLA-grafted)</w:t>
      </w:r>
    </w:p>
    <w:p>
      <w:pPr>
        <w:spacing w:line="360" w:lineRule="auto"/>
        <w:jc w:val="both"/>
      </w:pPr>
      <w:r>
        <w:rPr>
          <w:rFonts w:ascii="Times New Roman" w:hAnsi="Times New Roman" w:eastAsia="Times New Roman"/>
          <w:color w:val="000000"/>
          <w:sz w:val="24"/>
        </w:rPr>
        <w:t>- **Toughness inadequate**:</w:t>
      </w:r>
    </w:p>
    <w:p>
      <w:pPr>
        <w:spacing w:line="360" w:lineRule="auto"/>
        <w:jc w:val="both"/>
      </w:pPr>
      <w:r>
        <w:rPr>
          <w:rFonts w:ascii="Times New Roman" w:hAnsi="Times New Roman" w:eastAsia="Times New Roman"/>
          <w:color w:val="000000"/>
          <w:sz w:val="24"/>
        </w:rPr>
        <w:t>- Optimize rubber core crosslink density [3]</w:t>
      </w:r>
    </w:p>
    <w:p>
      <w:pPr>
        <w:spacing w:line="360" w:lineRule="auto"/>
        <w:jc w:val="both"/>
      </w:pPr>
      <w:r>
        <w:rPr>
          <w:rFonts w:ascii="Times New Roman" w:hAnsi="Times New Roman" w:eastAsia="Times New Roman"/>
          <w:color w:val="000000"/>
          <w:sz w:val="24"/>
        </w:rPr>
        <w:t>- Introduce energy-dissipating moieties</w:t>
      </w:r>
    </w:p>
    <w:p>
      <w:pPr>
        <w:spacing w:line="360" w:lineRule="auto"/>
        <w:jc w:val="both"/>
      </w:pPr>
      <w:r>
        <w:rPr>
          <w:rFonts w:ascii="Times New Roman" w:hAnsi="Times New Roman" w:eastAsia="Times New Roman"/>
          <w:color w:val="000000"/>
          <w:sz w:val="24"/>
        </w:rPr>
        <w:t>- **Biocompatibility issues**:</w:t>
      </w:r>
    </w:p>
    <w:p>
      <w:pPr>
        <w:spacing w:line="360" w:lineRule="auto"/>
        <w:jc w:val="both"/>
      </w:pPr>
      <w:r>
        <w:rPr>
          <w:rFonts w:ascii="Times New Roman" w:hAnsi="Times New Roman" w:eastAsia="Times New Roman"/>
          <w:color w:val="000000"/>
          <w:sz w:val="24"/>
        </w:rPr>
        <w:t>- Surface-graft bioactive molecules</w:t>
      </w:r>
    </w:p>
    <w:p>
      <w:pPr>
        <w:spacing w:line="360" w:lineRule="auto"/>
        <w:jc w:val="both"/>
      </w:pPr>
      <w:r>
        <w:rPr>
          <w:rFonts w:ascii="Times New Roman" w:hAnsi="Times New Roman" w:eastAsia="Times New Roman"/>
          <w:color w:val="000000"/>
          <w:sz w:val="24"/>
        </w:rPr>
        <w:t>- Incorporate buffering agents</w:t>
      </w:r>
    </w:p>
    <w:p>
      <w:pPr>
        <w:pStyle w:val="Heading2"/>
      </w:pPr>
      <w:r>
        <w:rPr>
          <w:rFonts w:ascii="Times New Roman" w:hAnsi="Times New Roman" w:eastAsia="Times New Roman"/>
          <w:b/>
          <w:color w:val="000000"/>
          <w:sz w:val="30"/>
        </w:rPr>
        <w:t>6. Conclusion</w:t>
      </w:r>
    </w:p>
    <w:p>
      <w:pPr>
        <w:spacing w:line="360" w:lineRule="auto"/>
        <w:jc w:val="both"/>
      </w:pPr>
      <w:r>
        <w:rPr>
          <w:rFonts w:ascii="Times New Roman" w:hAnsi="Times New Roman" w:eastAsia="Times New Roman"/>
          <w:color w:val="000000"/>
          <w:sz w:val="24"/>
        </w:rPr>
        <w:t>The core-shell polyester blend concept demonstrates strong mechanistic plausibility for implant applications requiring controlled mechanical degradation. While literature confirms core-shell efficacy in toughness enhancement [2, 3] and degradation modulation [1, 8], direct evidence for strength retention during hydrolysis remains limited. The design warrants experimental validation, prioritizing interfacial optimization and degradation-coupled mechanical testing. The highest-priority experiment involves rheological monitoring of G'/G'' transitions during tensile loading in hydrolytic conditions [5]. With strategic material selection, this approach could significantly advance biodegradable implant performance.</w:t>
      </w:r>
    </w:p>
    <w:p>
      <w:pPr>
        <w:pStyle w:val="Heading2"/>
      </w:pPr>
      <w:r>
        <w:rPr>
          <w:rFonts w:ascii="Times New Roman" w:hAnsi="Times New Roman" w:eastAsia="Times New Roman"/>
          <w:b/>
          <w:color w:val="000000"/>
          <w:sz w:val="30"/>
        </w:rPr>
        <w:t>8. References</w:t>
      </w:r>
    </w:p>
    <w:p>
      <w:pPr>
        <w:spacing w:line="360" w:lineRule="auto"/>
        <w:jc w:val="both"/>
      </w:pPr>
      <w:r>
        <w:rPr>
          <w:rFonts w:ascii="Times New Roman" w:hAnsi="Times New Roman" w:eastAsia="Times New Roman"/>
          <w:color w:val="000000"/>
          <w:sz w:val="24"/>
        </w:rPr>
        <w:t>- [1] 101002_pol20210858</w:t>
      </w:r>
    </w:p>
    <w:p>
      <w:pPr>
        <w:spacing w:line="360" w:lineRule="auto"/>
        <w:jc w:val="both"/>
      </w:pPr>
      <w:r>
        <w:rPr>
          <w:rFonts w:ascii="Times New Roman" w:hAnsi="Times New Roman" w:eastAsia="Times New Roman"/>
          <w:color w:val="000000"/>
          <w:sz w:val="24"/>
        </w:rPr>
        <w:t>- [2] 101002_mame202100021</w:t>
      </w:r>
    </w:p>
    <w:p>
      <w:pPr>
        <w:spacing w:line="360" w:lineRule="auto"/>
        <w:jc w:val="both"/>
      </w:pPr>
      <w:r>
        <w:rPr>
          <w:rFonts w:ascii="Times New Roman" w:hAnsi="Times New Roman" w:eastAsia="Times New Roman"/>
          <w:color w:val="000000"/>
          <w:sz w:val="24"/>
        </w:rPr>
        <w:t>- [3] 101002_app42554</w:t>
      </w:r>
    </w:p>
    <w:p>
      <w:pPr>
        <w:spacing w:line="360" w:lineRule="auto"/>
        <w:jc w:val="both"/>
      </w:pPr>
      <w:r>
        <w:rPr>
          <w:rFonts w:ascii="Times New Roman" w:hAnsi="Times New Roman" w:eastAsia="Times New Roman"/>
          <w:color w:val="000000"/>
          <w:sz w:val="24"/>
        </w:rPr>
        <w:t>- [4] 101002_mame202000230</w:t>
      </w:r>
    </w:p>
    <w:p>
      <w:pPr>
        <w:spacing w:line="360" w:lineRule="auto"/>
        <w:jc w:val="both"/>
      </w:pPr>
      <w:r>
        <w:rPr>
          <w:rFonts w:ascii="Times New Roman" w:hAnsi="Times New Roman" w:eastAsia="Times New Roman"/>
          <w:color w:val="000000"/>
          <w:sz w:val="24"/>
        </w:rPr>
        <w:t>- [5] 101016_jpolymdegradstab2025111531</w:t>
      </w:r>
    </w:p>
    <w:p>
      <w:pPr>
        <w:spacing w:line="360" w:lineRule="auto"/>
        <w:jc w:val="both"/>
      </w:pPr>
      <w:r>
        <w:rPr>
          <w:rFonts w:ascii="Times New Roman" w:hAnsi="Times New Roman" w:eastAsia="Times New Roman"/>
          <w:color w:val="000000"/>
          <w:sz w:val="24"/>
        </w:rPr>
        <w:t>- [6] 101016_jcolsurfb201708056</w:t>
      </w:r>
    </w:p>
    <w:p>
      <w:pPr>
        <w:spacing w:line="360" w:lineRule="auto"/>
        <w:jc w:val="both"/>
      </w:pPr>
      <w:r>
        <w:rPr>
          <w:rFonts w:ascii="Times New Roman" w:hAnsi="Times New Roman" w:eastAsia="Times New Roman"/>
          <w:color w:val="000000"/>
          <w:sz w:val="24"/>
        </w:rPr>
        <w:t>- [7] 101039_b9py00226j</w:t>
      </w:r>
    </w:p>
    <w:p>
      <w:pPr>
        <w:spacing w:line="360" w:lineRule="auto"/>
        <w:jc w:val="both"/>
      </w:pPr>
      <w:r>
        <w:rPr>
          <w:rFonts w:ascii="Times New Roman" w:hAnsi="Times New Roman" w:eastAsia="Times New Roman"/>
          <w:color w:val="000000"/>
          <w:sz w:val="24"/>
        </w:rPr>
        <w:t>- [8] 101016_jpolymer2025128330</w:t>
      </w:r>
    </w:p>
    <w:p>
      <w:pPr>
        <w:spacing w:line="360" w:lineRule="auto"/>
        <w:jc w:val="both"/>
      </w:pPr>
      <w:r>
        <w:rPr>
          <w:rFonts w:ascii="Times New Roman" w:hAnsi="Times New Roman" w:eastAsia="Times New Roman"/>
          <w:color w:val="000000"/>
          <w:sz w:val="24"/>
        </w:rPr>
        <w:t>- [9] 101002_mabi202100177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