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color w:val="000000"/>
          <w:sz w:val="32"/>
        </w:rPr>
        <w:t>Design of Hydrolyzable Crosslinked Biodegradable Polyesters for Enhanced Thermal Stability with Controlled Degradation Kinetics</w:t>
      </w:r>
    </w:p>
    <w:p>
      <w:pPr>
        <w:pStyle w:val="Heading2"/>
      </w:pPr>
      <w:r>
        <w:rPr>
          <w:rFonts w:ascii="Times New Roman" w:hAnsi="Times New Roman" w:eastAsia="Times New Roman"/>
          <w:b/>
          <w:color w:val="000000"/>
          <w:sz w:val="30"/>
        </w:rPr>
        <w:t>Abstract</w:t>
      </w:r>
    </w:p>
    <w:p>
      <w:pPr>
        <w:spacing w:line="360" w:lineRule="auto"/>
        <w:jc w:val="both"/>
      </w:pPr>
      <w:r>
        <w:rPr>
          <w:rFonts w:ascii="Times New Roman" w:hAnsi="Times New Roman" w:eastAsia="Times New Roman"/>
          <w:color w:val="000000"/>
          <w:sz w:val="24"/>
        </w:rPr>
        <w:t>This study proposes a hydrolyzable crosslinking strategy to enhance the heat resistance of biodegradable polyesters while maintaining controlled degradation kinetics. The core hypothesis posits that strategically designed hydrolyzable crosslinks will elevate the glass transition temperature (Tg) by restricting chain mobility, while their selective hydrolysis preserves degradation rates. Literature evidence confirms crosslinking as an established method for tuning thermal properties and degradation in polyesters [1, 2, 3], though direct evidence for simultaneous Tg enhancement and degradation control remains limited. The experimental route involves synthesizing telechelic polyester oligomers with acrylate termini [2], crosslinking via Michael addition, and characterizing thermal/degradation responses. Key expected outcomes include ≥15°C Tg elevation with degradation rates within 70-130% of baseline. Major risks include excessive crosslink stability suppressing degradation and phase separation during network formation. Preliminary evidence suggests feasibility, but rigorous validation is required to balance these competing properties.</w:t>
      </w:r>
    </w:p>
    <w:p>
      <w:pPr>
        <w:pStyle w:val="Heading2"/>
      </w:pPr>
      <w:r>
        <w:rPr>
          <w:rFonts w:ascii="Times New Roman" w:hAnsi="Times New Roman" w:eastAsia="Times New Roman"/>
          <w:b/>
          <w:color w:val="000000"/>
          <w:sz w:val="30"/>
        </w:rPr>
        <w:t>Graphical Repeat-Unit Representation</w:t>
      </w:r>
    </w:p>
    <w:p>
      <w:pPr>
        <w:jc w:val="center"/>
      </w:pPr>
      <w:r>
        <w:drawing>
          <wp:inline xmlns:a="http://schemas.openxmlformats.org/drawingml/2006/main" xmlns:pic="http://schemas.openxmlformats.org/drawingml/2006/picture">
            <wp:extent cx="5303520" cy="3263705"/>
            <wp:docPr id="1" name="Picture 1"/>
            <wp:cNvGraphicFramePr>
              <a:graphicFrameLocks noChangeAspect="1"/>
            </wp:cNvGraphicFramePr>
            <a:graphic>
              <a:graphicData uri="http://schemas.openxmlformats.org/drawingml/2006/picture">
                <pic:pic>
                  <pic:nvPicPr>
                    <pic:cNvPr id="0" name="idea2_Hydrolyzable_Crosslinkers_repeat_unit.png"/>
                    <pic:cNvPicPr/>
                  </pic:nvPicPr>
                  <pic:blipFill>
                    <a:blip r:embed="rId9"/>
                    <a:stretch>
                      <a:fillRect/>
                    </a:stretch>
                  </pic:blipFill>
                  <pic:spPr>
                    <a:xfrm>
                      <a:off x="0" y="0"/>
                      <a:ext cx="5303520" cy="3263705"/>
                    </a:xfrm>
                    <a:prstGeom prst="rect"/>
                  </pic:spPr>
                </pic:pic>
              </a:graphicData>
            </a:graphic>
          </wp:inline>
        </w:drawing>
      </w:r>
    </w:p>
    <w:p>
      <w:pPr>
        <w:jc w:val="center"/>
      </w:pPr>
      <w:r>
        <w:rPr>
          <w:rFonts w:ascii="Times New Roman" w:hAnsi="Times New Roman" w:eastAsia="Times New Roman"/>
          <w:i/>
          <w:sz w:val="20"/>
        </w:rPr>
        <w:t>Representative repeat-unit schematic</w:t>
      </w:r>
    </w:p>
    <w:p>
      <w:pPr>
        <w:spacing w:line="360" w:lineRule="auto"/>
        <w:jc w:val="both"/>
      </w:pPr>
      <w:r>
        <w:rPr>
          <w:rFonts w:ascii="Times New Roman" w:hAnsi="Times New Roman" w:eastAsia="Times New Roman"/>
          <w:color w:val="000000"/>
          <w:sz w:val="24"/>
        </w:rPr>
        <w:t>**Figure.** Representative polymer-structure schematic of hydrolyzable crosslinked polycaprolactone network.</w:t>
      </w:r>
    </w:p>
    <w:p>
      <w:pPr>
        <w:spacing w:line="360" w:lineRule="auto"/>
        <w:jc w:val="both"/>
      </w:pPr>
      <w:r>
        <w:rPr>
          <w:rFonts w:ascii="Times New Roman" w:hAnsi="Times New Roman" w:eastAsia="Times New Roman"/>
          <w:color w:val="000000"/>
          <w:sz w:val="24"/>
        </w:rPr>
        <w:t>Structure confidence: high. Architecture: network. Composition note: network. Dictionary/RDKit validation: 1/1 mapped structure(s) validated.</w:t>
      </w:r>
    </w:p>
    <w:p>
      <w:pPr>
        <w:pStyle w:val="Heading2"/>
      </w:pPr>
      <w:r>
        <w:rPr>
          <w:rFonts w:ascii="Times New Roman" w:hAnsi="Times New Roman" w:eastAsia="Times New Roman"/>
          <w:b/>
          <w:color w:val="000000"/>
          <w:sz w:val="30"/>
        </w:rPr>
        <w:t>1. Introduction</w:t>
      </w:r>
    </w:p>
    <w:p>
      <w:pPr>
        <w:pStyle w:val="Heading3"/>
      </w:pPr>
      <w:r>
        <w:rPr>
          <w:rFonts w:ascii="Times New Roman" w:hAnsi="Times New Roman" w:eastAsia="Times New Roman"/>
          <w:b/>
          <w:color w:val="000000"/>
          <w:sz w:val="28"/>
        </w:rPr>
        <w:t>1.1 Scientific Background</w:t>
      </w:r>
    </w:p>
    <w:p>
      <w:pPr>
        <w:spacing w:line="360" w:lineRule="auto"/>
        <w:jc w:val="both"/>
      </w:pPr>
      <w:r>
        <w:rPr>
          <w:rFonts w:ascii="Times New Roman" w:hAnsi="Times New Roman" w:eastAsia="Times New Roman"/>
          <w:color w:val="000000"/>
          <w:sz w:val="24"/>
        </w:rPr>
        <w:t>Biodegradable polyesters face inherent limitations in heat resistance (e.g., PLA's Vicat softening temperature ≈60°C [4]), restricting applications requiring thermal stability. Conventional crosslinking improves thermal properties but often severely impedes degradation kinetics [3, 5]. The design goal targets enhanced heat resistance (quantified by Tg elevation) without compromising the degradation profile essential for environmental/biomedical functionality.</w:t>
      </w:r>
    </w:p>
    <w:p>
      <w:pPr>
        <w:pStyle w:val="Heading3"/>
      </w:pPr>
      <w:r>
        <w:rPr>
          <w:rFonts w:ascii="Times New Roman" w:hAnsi="Times New Roman" w:eastAsia="Times New Roman"/>
          <w:b/>
          <w:color w:val="000000"/>
          <w:sz w:val="28"/>
        </w:rPr>
        <w:t>1.2 Design Hypothesis</w:t>
      </w:r>
    </w:p>
    <w:p>
      <w:pPr>
        <w:spacing w:line="360" w:lineRule="auto"/>
        <w:jc w:val="both"/>
      </w:pPr>
      <w:r>
        <w:rPr>
          <w:rFonts w:ascii="Times New Roman" w:hAnsi="Times New Roman" w:eastAsia="Times New Roman"/>
          <w:color w:val="000000"/>
          <w:sz w:val="24"/>
        </w:rPr>
        <w:t>We hypothesize that incorporating hydrolytically labile crosslinks into polyester networks will simultaneously:</w:t>
      </w:r>
    </w:p>
    <w:p>
      <w:pPr>
        <w:spacing w:line="360" w:lineRule="auto"/>
        <w:jc w:val="both"/>
      </w:pPr>
      <w:r>
        <w:rPr>
          <w:rFonts w:ascii="Times New Roman" w:hAnsi="Times New Roman" w:eastAsia="Times New Roman"/>
          <w:color w:val="000000"/>
          <w:sz w:val="24"/>
        </w:rPr>
        <w:t>1) Increase Tg by restricting chain mobility through covalent junctions [3, 6]</w:t>
      </w:r>
    </w:p>
    <w:p>
      <w:pPr>
        <w:spacing w:line="360" w:lineRule="auto"/>
        <w:jc w:val="both"/>
      </w:pPr>
      <w:r>
        <w:rPr>
          <w:rFonts w:ascii="Times New Roman" w:hAnsi="Times New Roman" w:eastAsia="Times New Roman"/>
          <w:color w:val="000000"/>
          <w:sz w:val="24"/>
        </w:rPr>
        <w:t>2) Maintain degradation kinetics via selective cleavage of crosslinks under aqueous conditions [1, 7]</w:t>
      </w:r>
    </w:p>
    <w:p>
      <w:pPr>
        <w:spacing w:line="360" w:lineRule="auto"/>
        <w:jc w:val="both"/>
      </w:pPr>
      <w:r>
        <w:rPr>
          <w:rFonts w:ascii="Times New Roman" w:hAnsi="Times New Roman" w:eastAsia="Times New Roman"/>
          <w:color w:val="000000"/>
          <w:sz w:val="24"/>
        </w:rPr>
        <w:t>This approach is scientifically novel for its explicit decoupling of thermal enhancement from degradation suppression, potentially enabling new applications in sustainable packaging or biomedical devices.</w:t>
      </w:r>
    </w:p>
    <w:p>
      <w:pPr>
        <w:pStyle w:val="Heading3"/>
      </w:pPr>
      <w:r>
        <w:rPr>
          <w:rFonts w:ascii="Times New Roman" w:hAnsi="Times New Roman" w:eastAsia="Times New Roman"/>
          <w:b/>
          <w:color w:val="000000"/>
          <w:sz w:val="28"/>
        </w:rPr>
        <w:t>1.3 Scope of This Study</w:t>
      </w:r>
    </w:p>
    <w:p>
      <w:pPr>
        <w:spacing w:line="360" w:lineRule="auto"/>
        <w:jc w:val="both"/>
      </w:pPr>
      <w:r>
        <w:rPr>
          <w:rFonts w:ascii="Times New Roman" w:hAnsi="Times New Roman" w:eastAsia="Times New Roman"/>
          <w:color w:val="000000"/>
          <w:sz w:val="24"/>
        </w:rPr>
        <w:t>Direct evidence supports crosslinking for thermal modification [3, 6] and hydrolyzable bonds for degradation control [1, 7], but no literature directly demonstrates concurrent Tg elevation and degradation maintenance using hydrolyzable crosslinks. This study will experimentally validate this balance through controlled network synthesis and characterization.</w:t>
      </w:r>
    </w:p>
    <w:p>
      <w:pPr>
        <w:pStyle w:val="Heading2"/>
      </w:pPr>
      <w:r>
        <w:rPr>
          <w:rFonts w:ascii="Times New Roman" w:hAnsi="Times New Roman" w:eastAsia="Times New Roman"/>
          <w:b/>
          <w:color w:val="000000"/>
          <w:sz w:val="30"/>
        </w:rPr>
        <w:t>2. Mechanistic Rationale and Design Hypothesis</w:t>
      </w:r>
    </w:p>
    <w:p>
      <w:pPr>
        <w:pStyle w:val="Heading3"/>
      </w:pPr>
      <w:r>
        <w:rPr>
          <w:rFonts w:ascii="Times New Roman" w:hAnsi="Times New Roman" w:eastAsia="Times New Roman"/>
          <w:b/>
          <w:color w:val="000000"/>
          <w:sz w:val="28"/>
        </w:rPr>
        <w:t>2.1 Mechanistic Basis</w:t>
      </w:r>
    </w:p>
    <w:p>
      <w:pPr>
        <w:spacing w:line="360" w:lineRule="auto"/>
        <w:jc w:val="both"/>
      </w:pPr>
      <w:r>
        <w:rPr>
          <w:rFonts w:ascii="Times New Roman" w:hAnsi="Times New Roman" w:eastAsia="Times New Roman"/>
          <w:color w:val="000000"/>
          <w:sz w:val="24"/>
        </w:rPr>
        <w:t>Crosslinking restricts segmental chain mobility, increasing Tg by reducing free volume [3, 6]. Hydrolyzable crosslinks (e.g., ester-containing junctions) undergo chain scission in aqueous environments, enabling network disintegration without requiring backbone degradation [1, 7]. Evidence indicates degradation rates correlate with crosslink hydrophilicity and bond lability [8, 9], while Tg elevation depends on crosslink density and junction rigidity [3, 6].</w:t>
      </w:r>
    </w:p>
    <w:p>
      <w:pPr>
        <w:pStyle w:val="Heading3"/>
      </w:pPr>
      <w:r>
        <w:rPr>
          <w:rFonts w:ascii="Times New Roman" w:hAnsi="Times New Roman" w:eastAsia="Times New Roman"/>
          <w:b/>
          <w:color w:val="000000"/>
          <w:sz w:val="28"/>
        </w:rPr>
        <w:t>2.2 Evidence-Supported Design Rules</w:t>
      </w:r>
    </w:p>
    <w:p>
      <w:pPr>
        <w:spacing w:line="360" w:lineRule="auto"/>
        <w:jc w:val="both"/>
      </w:pPr>
      <w:r>
        <w:rPr>
          <w:rFonts w:ascii="Times New Roman" w:hAnsi="Times New Roman" w:eastAsia="Times New Roman"/>
          <w:color w:val="000000"/>
          <w:sz w:val="24"/>
        </w:rPr>
        <w:t>- **Thermal properties**: Crosslink density and junction rigidity primarily govern Tg elevation [3, 6]</w:t>
      </w:r>
    </w:p>
    <w:p>
      <w:pPr>
        <w:spacing w:line="360" w:lineRule="auto"/>
        <w:jc w:val="both"/>
      </w:pPr>
      <w:r>
        <w:rPr>
          <w:rFonts w:ascii="Times New Roman" w:hAnsi="Times New Roman" w:eastAsia="Times New Roman"/>
          <w:color w:val="000000"/>
          <w:sz w:val="24"/>
        </w:rPr>
        <w:t>- **Degradation**: Hydrolyzable group chemistry (e.g., ester vs. anhydride) and crosslink density control degradation rate [1, 7]</w:t>
      </w:r>
    </w:p>
    <w:p>
      <w:pPr>
        <w:spacing w:line="360" w:lineRule="auto"/>
        <w:jc w:val="both"/>
      </w:pPr>
      <w:r>
        <w:rPr>
          <w:rFonts w:ascii="Times New Roman" w:hAnsi="Times New Roman" w:eastAsia="Times New Roman"/>
          <w:color w:val="000000"/>
          <w:sz w:val="24"/>
        </w:rPr>
        <w:t>- **Mechanical properties**: Crosslinking typically increases modulus but may reduce elongation [3]</w:t>
      </w:r>
    </w:p>
    <w:p>
      <w:pPr>
        <w:spacing w:line="360" w:lineRule="auto"/>
        <w:jc w:val="both"/>
      </w:pPr>
      <w:r>
        <w:rPr>
          <w:rFonts w:ascii="Times New Roman" w:hAnsi="Times New Roman" w:eastAsia="Times New Roman"/>
          <w:color w:val="000000"/>
          <w:sz w:val="24"/>
        </w:rPr>
        <w:t>- **Biocompatibility**: Insufficient direct evidence; requires experimental validation</w:t>
      </w:r>
    </w:p>
    <w:p>
      <w:pPr>
        <w:spacing w:line="360" w:lineRule="auto"/>
        <w:jc w:val="both"/>
      </w:pPr>
      <w:r>
        <w:rPr>
          <w:rFonts w:ascii="Times New Roman" w:hAnsi="Times New Roman" w:eastAsia="Times New Roman"/>
          <w:color w:val="000000"/>
          <w:sz w:val="24"/>
        </w:rPr>
        <w:t>*Evidence gap: Quantitative relationships between crosslink hydrolysis rates and Tg elevation remain unestablished.*</w:t>
      </w:r>
    </w:p>
    <w:p>
      <w:pPr>
        <w:pStyle w:val="Heading3"/>
      </w:pPr>
      <w:r>
        <w:rPr>
          <w:rFonts w:ascii="Times New Roman" w:hAnsi="Times New Roman" w:eastAsia="Times New Roman"/>
          <w:b/>
          <w:color w:val="000000"/>
          <w:sz w:val="28"/>
        </w:rPr>
        <w:t>2.3 Trade-Offs and Constraints</w:t>
      </w:r>
    </w:p>
    <w:p>
      <w:pPr>
        <w:spacing w:line="360" w:lineRule="auto"/>
        <w:jc w:val="both"/>
      </w:pPr>
      <w:r>
        <w:rPr>
          <w:rFonts w:ascii="Times New Roman" w:hAnsi="Times New Roman" w:eastAsia="Times New Roman"/>
          <w:color w:val="000000"/>
          <w:sz w:val="24"/>
        </w:rPr>
        <w:t>- **Stiffness-degradation trade-off**: Higher crosslink density increases Tg/modulus but risks slowing degradation excessively [3, 5]</w:t>
      </w:r>
    </w:p>
    <w:p>
      <w:pPr>
        <w:spacing w:line="360" w:lineRule="auto"/>
        <w:jc w:val="both"/>
      </w:pPr>
      <w:r>
        <w:rPr>
          <w:rFonts w:ascii="Times New Roman" w:hAnsi="Times New Roman" w:eastAsia="Times New Roman"/>
          <w:color w:val="000000"/>
          <w:sz w:val="24"/>
        </w:rPr>
        <w:t>- **Hydrophilicity balance**: Increased hydrophilicity accelerates degradation but may reduce thermal stability [7, 10]</w:t>
      </w:r>
    </w:p>
    <w:p>
      <w:pPr>
        <w:spacing w:line="360" w:lineRule="auto"/>
        <w:jc w:val="both"/>
      </w:pPr>
      <w:r>
        <w:rPr>
          <w:rFonts w:ascii="Times New Roman" w:hAnsi="Times New Roman" w:eastAsia="Times New Roman"/>
          <w:color w:val="000000"/>
          <w:sz w:val="24"/>
        </w:rPr>
        <w:t>- **Processing constraints**: Network formation must avoid premature hydrolysis during synthesis [7]</w:t>
      </w:r>
    </w:p>
    <w:p>
      <w:pPr>
        <w:pStyle w:val="Heading2"/>
      </w:pPr>
      <w:r>
        <w:rPr>
          <w:rFonts w:ascii="Times New Roman" w:hAnsi="Times New Roman" w:eastAsia="Times New Roman"/>
          <w:b/>
          <w:color w:val="000000"/>
          <w:sz w:val="30"/>
        </w:rPr>
        <w:t>3. Materials and Methods</w:t>
      </w:r>
    </w:p>
    <w:p>
      <w:pPr>
        <w:pStyle w:val="Heading3"/>
      </w:pPr>
      <w:r>
        <w:rPr>
          <w:rFonts w:ascii="Times New Roman" w:hAnsi="Times New Roman" w:eastAsia="Times New Roman"/>
          <w:b/>
          <w:color w:val="000000"/>
          <w:sz w:val="28"/>
        </w:rPr>
        <w:t>3.1 Material System and Variable Definition</w:t>
      </w:r>
    </w:p>
    <w:p>
      <w:pPr>
        <w:spacing w:line="360" w:lineRule="auto"/>
        <w:jc w:val="both"/>
      </w:pPr>
      <w:r>
        <w:rPr>
          <w:rFonts w:ascii="Times New Roman" w:hAnsi="Times New Roman" w:eastAsia="Times New Roman"/>
          <w:color w:val="000000"/>
          <w:sz w:val="24"/>
        </w:rPr>
        <w:t>- **Base oligomer**: Telechelic poly(ε-caprolactone) diol (fixed *Mₙ* = 2,000 g/mol) [2]</w:t>
      </w:r>
    </w:p>
    <w:p>
      <w:pPr>
        <w:spacing w:line="360" w:lineRule="auto"/>
        <w:jc w:val="both"/>
      </w:pPr>
      <w:r>
        <w:rPr>
          <w:rFonts w:ascii="Times New Roman" w:hAnsi="Times New Roman" w:eastAsia="Times New Roman"/>
          <w:color w:val="000000"/>
          <w:sz w:val="24"/>
        </w:rPr>
        <w:t>- **Crosslinker**: Cysteine-based trifunctional thiol (hydrolyzable ester groups) [2]</w:t>
      </w:r>
    </w:p>
    <w:p>
      <w:pPr>
        <w:spacing w:line="360" w:lineRule="auto"/>
        <w:jc w:val="both"/>
      </w:pPr>
      <w:r>
        <w:rPr>
          <w:rFonts w:ascii="Times New Roman" w:hAnsi="Times New Roman" w:eastAsia="Times New Roman"/>
          <w:color w:val="000000"/>
          <w:sz w:val="24"/>
        </w:rPr>
        <w:t>- **Variables**:</w:t>
      </w:r>
    </w:p>
    <w:p>
      <w:pPr>
        <w:spacing w:line="360" w:lineRule="auto"/>
        <w:jc w:val="both"/>
      </w:pPr>
      <w:r>
        <w:rPr>
          <w:rFonts w:ascii="Times New Roman" w:hAnsi="Times New Roman" w:eastAsia="Times New Roman"/>
          <w:color w:val="000000"/>
          <w:sz w:val="24"/>
        </w:rPr>
        <w:t>- Crosslink density (varied via [acrylate]:[thiol] stoichiometry: 1:0.8, 1:1, 1:1.2)</w:t>
      </w:r>
    </w:p>
    <w:p>
      <w:pPr>
        <w:spacing w:line="360" w:lineRule="auto"/>
        <w:jc w:val="both"/>
      </w:pPr>
      <w:r>
        <w:rPr>
          <w:rFonts w:ascii="Times New Roman" w:hAnsi="Times New Roman" w:eastAsia="Times New Roman"/>
          <w:color w:val="000000"/>
          <w:sz w:val="24"/>
        </w:rPr>
        <w:t>- Hydrolysis sensitivity (TBD: ester vs. anhydride crosslinks in Phase 2)</w:t>
      </w:r>
    </w:p>
    <w:p>
      <w:pPr>
        <w:spacing w:line="360" w:lineRule="auto"/>
        <w:jc w:val="both"/>
      </w:pPr>
      <w:r>
        <w:rPr>
          <w:rFonts w:ascii="Times New Roman" w:hAnsi="Times New Roman" w:eastAsia="Times New Roman"/>
          <w:color w:val="000000"/>
          <w:sz w:val="24"/>
        </w:rPr>
        <w:t>- **Controls**: Uncrosslinked PCL, Conventionally crosslinked polyester (non-hydrolyzable crosslinks)</w:t>
      </w:r>
    </w:p>
    <w:p>
      <w:pPr>
        <w:pStyle w:val="Heading3"/>
      </w:pPr>
      <w:r>
        <w:rPr>
          <w:rFonts w:ascii="Times New Roman" w:hAnsi="Times New Roman" w:eastAsia="Times New Roman"/>
          <w:b/>
          <w:color w:val="000000"/>
          <w:sz w:val="28"/>
        </w:rPr>
        <w:t>3.2 Formulation / Sample Matrix Design</w:t>
      </w:r>
    </w:p>
    <w:p>
      <w:pPr>
        <w:spacing w:line="360" w:lineRule="auto"/>
        <w:jc w:val="both"/>
      </w:pPr>
      <w:r>
        <w:rPr>
          <w:rFonts w:ascii="Times New Roman" w:hAnsi="Times New Roman" w:eastAsia="Times New Roman"/>
          <w:color w:val="000000"/>
          <w:sz w:val="24"/>
        </w:rPr>
        <w:t>| Group | Acrylate:Thiol | Crosslink Type | Tg Target | Degradation Target |</w:t>
      </w:r>
    </w:p>
    <w:p>
      <w:pPr>
        <w:spacing w:line="360" w:lineRule="auto"/>
        <w:jc w:val="both"/>
      </w:pPr>
      <w:r>
        <w:rPr>
          <w:rFonts w:ascii="Times New Roman" w:hAnsi="Times New Roman" w:eastAsia="Times New Roman"/>
          <w:color w:val="000000"/>
          <w:sz w:val="24"/>
        </w:rPr>
        <w:t>|-------|----------------|----------------|-----------|---------------------|</w:t>
      </w:r>
    </w:p>
    <w:p>
      <w:pPr>
        <w:spacing w:line="360" w:lineRule="auto"/>
        <w:jc w:val="both"/>
      </w:pPr>
      <w:r>
        <w:rPr>
          <w:rFonts w:ascii="Times New Roman" w:hAnsi="Times New Roman" w:eastAsia="Times New Roman"/>
          <w:color w:val="000000"/>
          <w:sz w:val="24"/>
        </w:rPr>
        <w:t>| C1    | -              | None (PCL control) | Baseline  | Baseline           |</w:t>
      </w:r>
    </w:p>
    <w:p>
      <w:pPr>
        <w:spacing w:line="360" w:lineRule="auto"/>
        <w:jc w:val="both"/>
      </w:pPr>
      <w:r>
        <w:rPr>
          <w:rFonts w:ascii="Times New Roman" w:hAnsi="Times New Roman" w:eastAsia="Times New Roman"/>
          <w:color w:val="000000"/>
          <w:sz w:val="24"/>
        </w:rPr>
        <w:t>| E1    | 1:0.8          | Hydrolyzable ester | +10°C     | ≥85% of C1         |</w:t>
      </w:r>
    </w:p>
    <w:p>
      <w:pPr>
        <w:spacing w:line="360" w:lineRule="auto"/>
        <w:jc w:val="both"/>
      </w:pPr>
      <w:r>
        <w:rPr>
          <w:rFonts w:ascii="Times New Roman" w:hAnsi="Times New Roman" w:eastAsia="Times New Roman"/>
          <w:color w:val="000000"/>
          <w:sz w:val="24"/>
        </w:rPr>
        <w:t>| E2    | 1:1            | Hydrolyzable ester | +15°C     | 70-130% of C1      |</w:t>
      </w:r>
    </w:p>
    <w:p>
      <w:pPr>
        <w:spacing w:line="360" w:lineRule="auto"/>
        <w:jc w:val="both"/>
      </w:pPr>
      <w:r>
        <w:rPr>
          <w:rFonts w:ascii="Times New Roman" w:hAnsi="Times New Roman" w:eastAsia="Times New Roman"/>
          <w:color w:val="000000"/>
          <w:sz w:val="24"/>
        </w:rPr>
        <w:t>| E3    | 1:1.2          | Hydrolyzable ester | +20°C     | ≤115% of C1        |</w:t>
      </w:r>
    </w:p>
    <w:p>
      <w:pPr>
        <w:spacing w:line="360" w:lineRule="auto"/>
        <w:jc w:val="both"/>
      </w:pPr>
      <w:r>
        <w:rPr>
          <w:rFonts w:ascii="Times New Roman" w:hAnsi="Times New Roman" w:eastAsia="Times New Roman"/>
          <w:color w:val="000000"/>
          <w:sz w:val="24"/>
        </w:rPr>
        <w:t>| N1    | 1:1            | Non-hydrolyzable   | +15°C     | ≤50% of C1         |</w:t>
      </w:r>
    </w:p>
    <w:p>
      <w:pPr>
        <w:pStyle w:val="Heading3"/>
      </w:pPr>
      <w:r>
        <w:rPr>
          <w:rFonts w:ascii="Times New Roman" w:hAnsi="Times New Roman" w:eastAsia="Times New Roman"/>
          <w:b/>
          <w:color w:val="000000"/>
          <w:sz w:val="28"/>
        </w:rPr>
        <w:t>3.3 Sample Preparation / Fabrication Procedure</w:t>
      </w:r>
    </w:p>
    <w:p>
      <w:pPr>
        <w:spacing w:line="360" w:lineRule="auto"/>
        <w:jc w:val="both"/>
      </w:pPr>
      <w:r>
        <w:rPr>
          <w:rFonts w:ascii="Times New Roman" w:hAnsi="Times New Roman" w:eastAsia="Times New Roman"/>
          <w:color w:val="000000"/>
          <w:sz w:val="24"/>
        </w:rPr>
        <w:t>1. **Oligomer synthesis**: Prepare telechelic PCL diacrylates via anionic ROP using tetrafunctional initiator and acrylate end-capping [2]</w:t>
      </w:r>
    </w:p>
    <w:p>
      <w:pPr>
        <w:spacing w:line="360" w:lineRule="auto"/>
        <w:jc w:val="both"/>
      </w:pPr>
      <w:r>
        <w:rPr>
          <w:rFonts w:ascii="Times New Roman" w:hAnsi="Times New Roman" w:eastAsia="Times New Roman"/>
          <w:color w:val="000000"/>
          <w:sz w:val="24"/>
        </w:rPr>
        <w:t>2. **Crosslinking**: React acrylate-terminated oligomers with trifunctional thiol crosslinker (cysteine derivative) via Michael addition:</w:t>
      </w:r>
    </w:p>
    <w:p>
      <w:pPr>
        <w:spacing w:line="360" w:lineRule="auto"/>
        <w:jc w:val="both"/>
      </w:pPr>
      <w:r>
        <w:rPr>
          <w:rFonts w:ascii="Times New Roman" w:hAnsi="Times New Roman" w:eastAsia="Times New Roman"/>
          <w:color w:val="000000"/>
          <w:sz w:val="24"/>
        </w:rPr>
        <w:t>- Solvent: Anhydrous DMF (water content &lt;50 ppm)</w:t>
      </w:r>
    </w:p>
    <w:p>
      <w:pPr>
        <w:spacing w:line="360" w:lineRule="auto"/>
        <w:jc w:val="both"/>
      </w:pPr>
      <w:r>
        <w:rPr>
          <w:rFonts w:ascii="Times New Roman" w:hAnsi="Times New Roman" w:eastAsia="Times New Roman"/>
          <w:color w:val="000000"/>
          <w:sz w:val="24"/>
        </w:rPr>
        <w:t>- Conditions: 60°C, N₂ atmosphere, 24 hr [2]</w:t>
      </w:r>
    </w:p>
    <w:p>
      <w:pPr>
        <w:spacing w:line="360" w:lineRule="auto"/>
        <w:jc w:val="both"/>
      </w:pPr>
      <w:r>
        <w:rPr>
          <w:rFonts w:ascii="Times New Roman" w:hAnsi="Times New Roman" w:eastAsia="Times New Roman"/>
          <w:color w:val="000000"/>
          <w:sz w:val="24"/>
        </w:rPr>
        <w:t>3. **Film formation**: Solution-cast in PTFE molds (200 μm thickness), vacuum-dry (40°C, 48 hr)</w:t>
      </w:r>
    </w:p>
    <w:p>
      <w:pPr>
        <w:spacing w:line="360" w:lineRule="auto"/>
        <w:jc w:val="both"/>
      </w:pPr>
      <w:r>
        <w:rPr>
          <w:rFonts w:ascii="Times New Roman" w:hAnsi="Times New Roman" w:eastAsia="Times New Roman"/>
          <w:color w:val="000000"/>
          <w:sz w:val="24"/>
        </w:rPr>
        <w:t>4. **Critical controls**: Monitor gel fraction (&gt;95% required); verify complete solvent removal (TGA-IR)</w:t>
      </w:r>
    </w:p>
    <w:p>
      <w:pPr>
        <w:pStyle w:val="Heading3"/>
      </w:pPr>
      <w:r>
        <w:rPr>
          <w:rFonts w:ascii="Times New Roman" w:hAnsi="Times New Roman" w:eastAsia="Times New Roman"/>
          <w:b/>
          <w:color w:val="000000"/>
          <w:sz w:val="28"/>
        </w:rPr>
        <w:t>3.4 Structural and Physicochemical Characterization</w:t>
      </w:r>
    </w:p>
    <w:p>
      <w:pPr>
        <w:spacing w:line="360" w:lineRule="auto"/>
        <w:jc w:val="both"/>
      </w:pPr>
      <w:r>
        <w:rPr>
          <w:rFonts w:ascii="Times New Roman" w:hAnsi="Times New Roman" w:eastAsia="Times New Roman"/>
          <w:color w:val="000000"/>
          <w:sz w:val="24"/>
        </w:rPr>
        <w:t>- **FTIR**: Verify crosslinking (acrylate peak disappearance at 1635 cm⁻¹) [2]</w:t>
      </w:r>
    </w:p>
    <w:p>
      <w:pPr>
        <w:spacing w:line="360" w:lineRule="auto"/>
        <w:jc w:val="both"/>
      </w:pPr>
      <w:r>
        <w:rPr>
          <w:rFonts w:ascii="Times New Roman" w:hAnsi="Times New Roman" w:eastAsia="Times New Roman"/>
          <w:color w:val="000000"/>
          <w:sz w:val="24"/>
        </w:rPr>
        <w:t>- **DSC**: Measure Tg (heating rate 10°C/min, N₂ atmosphere) - *primary thermal readout* [6]</w:t>
      </w:r>
    </w:p>
    <w:p>
      <w:pPr>
        <w:spacing w:line="360" w:lineRule="auto"/>
        <w:jc w:val="both"/>
      </w:pPr>
      <w:r>
        <w:rPr>
          <w:rFonts w:ascii="Times New Roman" w:hAnsi="Times New Roman" w:eastAsia="Times New Roman"/>
          <w:color w:val="000000"/>
          <w:sz w:val="24"/>
        </w:rPr>
        <w:t>- **TGA**: Determine decomposition onset (5% weight loss) and *Tₘₐₓ* [11]</w:t>
      </w:r>
    </w:p>
    <w:p>
      <w:pPr>
        <w:spacing w:line="360" w:lineRule="auto"/>
        <w:jc w:val="both"/>
      </w:pPr>
      <w:r>
        <w:rPr>
          <w:rFonts w:ascii="Times New Roman" w:hAnsi="Times New Roman" w:eastAsia="Times New Roman"/>
          <w:color w:val="000000"/>
          <w:sz w:val="24"/>
        </w:rPr>
        <w:t>- **Swelling ratio**: Equilibrium swelling in THF (indirect crosslink density measure)</w:t>
      </w:r>
    </w:p>
    <w:p>
      <w:pPr>
        <w:spacing w:line="360" w:lineRule="auto"/>
        <w:jc w:val="both"/>
      </w:pPr>
      <w:r>
        <w:rPr>
          <w:rFonts w:ascii="Times New Roman" w:hAnsi="Times New Roman" w:eastAsia="Times New Roman"/>
          <w:color w:val="000000"/>
          <w:sz w:val="24"/>
        </w:rPr>
        <w:t>- **XRD**: Crystallinity analysis (links to degradation heterogeneity) [6]</w:t>
      </w:r>
    </w:p>
    <w:p>
      <w:pPr>
        <w:pStyle w:val="Heading3"/>
      </w:pPr>
      <w:r>
        <w:rPr>
          <w:rFonts w:ascii="Times New Roman" w:hAnsi="Times New Roman" w:eastAsia="Times New Roman"/>
          <w:b/>
          <w:color w:val="000000"/>
          <w:sz w:val="28"/>
        </w:rPr>
        <w:t>3.5 Mechanical Testing Protocol</w:t>
      </w:r>
    </w:p>
    <w:p>
      <w:pPr>
        <w:spacing w:line="360" w:lineRule="auto"/>
        <w:jc w:val="both"/>
      </w:pPr>
      <w:r>
        <w:rPr>
          <w:rFonts w:ascii="Times New Roman" w:hAnsi="Times New Roman" w:eastAsia="Times New Roman"/>
          <w:color w:val="000000"/>
          <w:sz w:val="24"/>
        </w:rPr>
        <w:t>- **Tensile properties** (ASTM D638): Modulus, strength, elongation at break (dry state)</w:t>
      </w:r>
    </w:p>
    <w:p>
      <w:pPr>
        <w:spacing w:line="360" w:lineRule="auto"/>
        <w:jc w:val="both"/>
      </w:pPr>
      <w:r>
        <w:rPr>
          <w:rFonts w:ascii="Times New Roman" w:hAnsi="Times New Roman" w:eastAsia="Times New Roman"/>
          <w:color w:val="000000"/>
          <w:sz w:val="24"/>
        </w:rPr>
        <w:t>- **Prioritized comparison**: E2 vs. C1 and N1 at equivalent crosslink density</w:t>
      </w:r>
    </w:p>
    <w:p>
      <w:pPr>
        <w:spacing w:line="360" w:lineRule="auto"/>
        <w:jc w:val="both"/>
      </w:pPr>
      <w:r>
        <w:rPr>
          <w:rFonts w:ascii="Times New Roman" w:hAnsi="Times New Roman" w:eastAsia="Times New Roman"/>
          <w:color w:val="000000"/>
          <w:sz w:val="24"/>
        </w:rPr>
        <w:t>- **Wet-state testing**: After 7-day PBS immersion (37°C) to assess hydration effects</w:t>
      </w:r>
    </w:p>
    <w:p>
      <w:pPr>
        <w:pStyle w:val="Heading3"/>
      </w:pPr>
      <w:r>
        <w:rPr>
          <w:rFonts w:ascii="Times New Roman" w:hAnsi="Times New Roman" w:eastAsia="Times New Roman"/>
          <w:b/>
          <w:color w:val="000000"/>
          <w:sz w:val="28"/>
        </w:rPr>
        <w:t>3.6 Degradation Evaluation Protocol</w:t>
      </w:r>
    </w:p>
    <w:p>
      <w:pPr>
        <w:spacing w:line="360" w:lineRule="auto"/>
        <w:jc w:val="both"/>
      </w:pPr>
      <w:r>
        <w:rPr>
          <w:rFonts w:ascii="Times New Roman" w:hAnsi="Times New Roman" w:eastAsia="Times New Roman"/>
          <w:color w:val="000000"/>
          <w:sz w:val="24"/>
        </w:rPr>
        <w:t>- **Accelerated hydrolysis**: PBS (pH 7.4, 37°C) + 0.1M NaOH (pH 12, 50°C for screening)</w:t>
      </w:r>
    </w:p>
    <w:p>
      <w:pPr>
        <w:spacing w:line="360" w:lineRule="auto"/>
        <w:jc w:val="both"/>
      </w:pPr>
      <w:r>
        <w:rPr>
          <w:rFonts w:ascii="Times New Roman" w:hAnsi="Times New Roman" w:eastAsia="Times New Roman"/>
          <w:color w:val="000000"/>
          <w:sz w:val="24"/>
        </w:rPr>
        <w:t>- **Monitoring**:</w:t>
      </w:r>
    </w:p>
    <w:p>
      <w:pPr>
        <w:spacing w:line="360" w:lineRule="auto"/>
        <w:jc w:val="both"/>
      </w:pPr>
      <w:r>
        <w:rPr>
          <w:rFonts w:ascii="Times New Roman" w:hAnsi="Times New Roman" w:eastAsia="Times New Roman"/>
          <w:color w:val="000000"/>
          <w:sz w:val="24"/>
        </w:rPr>
        <w:t>- Mass loss (weekly; primary degradation readout)</w:t>
      </w:r>
    </w:p>
    <w:p>
      <w:pPr>
        <w:spacing w:line="360" w:lineRule="auto"/>
        <w:jc w:val="both"/>
      </w:pPr>
      <w:r>
        <w:rPr>
          <w:rFonts w:ascii="Times New Roman" w:hAnsi="Times New Roman" w:eastAsia="Times New Roman"/>
          <w:color w:val="000000"/>
          <w:sz w:val="24"/>
        </w:rPr>
        <w:t>- GPC: Molecular weight decline</w:t>
      </w:r>
    </w:p>
    <w:p>
      <w:pPr>
        <w:spacing w:line="360" w:lineRule="auto"/>
        <w:jc w:val="both"/>
      </w:pPr>
      <w:r>
        <w:rPr>
          <w:rFonts w:ascii="Times New Roman" w:hAnsi="Times New Roman" w:eastAsia="Times New Roman"/>
          <w:color w:val="000000"/>
          <w:sz w:val="24"/>
        </w:rPr>
        <w:t>- SEM: Surface morphology changes (erosion patterns)</w:t>
      </w:r>
    </w:p>
    <w:p>
      <w:pPr>
        <w:spacing w:line="360" w:lineRule="auto"/>
        <w:jc w:val="both"/>
      </w:pPr>
      <w:r>
        <w:rPr>
          <w:rFonts w:ascii="Times New Roman" w:hAnsi="Times New Roman" w:eastAsia="Times New Roman"/>
          <w:color w:val="000000"/>
          <w:sz w:val="24"/>
        </w:rPr>
        <w:t>- pH tracking: Detect autocatalytic effects [7]</w:t>
      </w:r>
    </w:p>
    <w:p>
      <w:pPr>
        <w:spacing w:line="360" w:lineRule="auto"/>
        <w:jc w:val="both"/>
      </w:pPr>
      <w:r>
        <w:rPr>
          <w:rFonts w:ascii="Times New Roman" w:hAnsi="Times New Roman" w:eastAsia="Times New Roman"/>
          <w:color w:val="000000"/>
          <w:sz w:val="24"/>
        </w:rPr>
        <w:t>- **Termination criteria**: &gt;50% mass loss or loss of structural integrity</w:t>
      </w:r>
    </w:p>
    <w:p>
      <w:pPr>
        <w:pStyle w:val="Heading3"/>
      </w:pPr>
      <w:r>
        <w:rPr>
          <w:rFonts w:ascii="Times New Roman" w:hAnsi="Times New Roman" w:eastAsia="Times New Roman"/>
          <w:b/>
          <w:color w:val="000000"/>
          <w:sz w:val="28"/>
        </w:rPr>
        <w:t>3.7 Biocompatibility / Biofunction Evaluation</w:t>
      </w:r>
    </w:p>
    <w:p>
      <w:pPr>
        <w:spacing w:line="360" w:lineRule="auto"/>
        <w:jc w:val="both"/>
      </w:pPr>
      <w:r>
        <w:rPr>
          <w:rFonts w:ascii="Times New Roman" w:hAnsi="Times New Roman" w:eastAsia="Times New Roman"/>
          <w:color w:val="000000"/>
          <w:sz w:val="24"/>
        </w:rPr>
        <w:t>*Provisional protocol pending thermal/degradation validation:*</w:t>
      </w:r>
    </w:p>
    <w:p>
      <w:pPr>
        <w:spacing w:line="360" w:lineRule="auto"/>
        <w:jc w:val="both"/>
      </w:pPr>
      <w:r>
        <w:rPr>
          <w:rFonts w:ascii="Times New Roman" w:hAnsi="Times New Roman" w:eastAsia="Times New Roman"/>
          <w:color w:val="000000"/>
          <w:sz w:val="24"/>
        </w:rPr>
        <w:t>- Cytotoxicity: ISO 10993-5 elution test with L929 fibroblasts</w:t>
      </w:r>
    </w:p>
    <w:p>
      <w:pPr>
        <w:spacing w:line="360" w:lineRule="auto"/>
        <w:jc w:val="both"/>
      </w:pPr>
      <w:r>
        <w:rPr>
          <w:rFonts w:ascii="Times New Roman" w:hAnsi="Times New Roman" w:eastAsia="Times New Roman"/>
          <w:color w:val="000000"/>
          <w:sz w:val="24"/>
        </w:rPr>
        <w:t>- In vitro degradation: Macrophage response to degradation byproducts</w:t>
      </w:r>
    </w:p>
    <w:p>
      <w:pPr>
        <w:pStyle w:val="Heading3"/>
      </w:pPr>
      <w:r>
        <w:rPr>
          <w:rFonts w:ascii="Times New Roman" w:hAnsi="Times New Roman" w:eastAsia="Times New Roman"/>
          <w:b/>
          <w:color w:val="000000"/>
          <w:sz w:val="28"/>
        </w:rPr>
        <w:t>3.8 Controls, Decision Criteria, and Statistical Comparison</w:t>
      </w:r>
    </w:p>
    <w:p>
      <w:pPr>
        <w:spacing w:line="360" w:lineRule="auto"/>
        <w:jc w:val="both"/>
      </w:pPr>
      <w:r>
        <w:rPr>
          <w:rFonts w:ascii="Times New Roman" w:hAnsi="Times New Roman" w:eastAsia="Times New Roman"/>
          <w:color w:val="000000"/>
          <w:sz w:val="24"/>
        </w:rPr>
        <w:t>- **Primary success criteria**:</w:t>
      </w:r>
    </w:p>
    <w:p>
      <w:pPr>
        <w:spacing w:line="360" w:lineRule="auto"/>
        <w:jc w:val="both"/>
      </w:pPr>
      <w:r>
        <w:rPr>
          <w:rFonts w:ascii="Times New Roman" w:hAnsi="Times New Roman" w:eastAsia="Times New Roman"/>
          <w:color w:val="000000"/>
          <w:sz w:val="24"/>
        </w:rPr>
        <w:t>- Tg(E2) ≥ Tg(C1) + 15°C</w:t>
      </w:r>
    </w:p>
    <w:p>
      <w:pPr>
        <w:spacing w:line="360" w:lineRule="auto"/>
        <w:jc w:val="both"/>
      </w:pPr>
      <w:r>
        <w:rPr>
          <w:rFonts w:ascii="Times New Roman" w:hAnsi="Times New Roman" w:eastAsia="Times New Roman"/>
          <w:color w:val="000000"/>
          <w:sz w:val="24"/>
        </w:rPr>
        <w:t>- Degradation rate(E2) = 70-130% of C1 at 28 days</w:t>
      </w:r>
    </w:p>
    <w:p>
      <w:pPr>
        <w:spacing w:line="360" w:lineRule="auto"/>
        <w:jc w:val="both"/>
      </w:pPr>
      <w:r>
        <w:rPr>
          <w:rFonts w:ascii="Times New Roman" w:hAnsi="Times New Roman" w:eastAsia="Times New Roman"/>
          <w:color w:val="000000"/>
          <w:sz w:val="24"/>
        </w:rPr>
        <w:t>- **Statistical design**: n=5 per group; ANOVA with Tukey post-hoc (α=0.05)</w:t>
      </w:r>
    </w:p>
    <w:p>
      <w:pPr>
        <w:spacing w:line="360" w:lineRule="auto"/>
        <w:jc w:val="both"/>
      </w:pPr>
      <w:r>
        <w:rPr>
          <w:rFonts w:ascii="Times New Roman" w:hAnsi="Times New Roman" w:eastAsia="Times New Roman"/>
          <w:color w:val="000000"/>
          <w:sz w:val="24"/>
        </w:rPr>
        <w:t>- **Failure thresholds**:</w:t>
      </w:r>
    </w:p>
    <w:p>
      <w:pPr>
        <w:spacing w:line="360" w:lineRule="auto"/>
        <w:jc w:val="both"/>
      </w:pPr>
      <w:r>
        <w:rPr>
          <w:rFonts w:ascii="Times New Roman" w:hAnsi="Times New Roman" w:eastAsia="Times New Roman"/>
          <w:color w:val="000000"/>
          <w:sz w:val="24"/>
        </w:rPr>
        <w:t>- Degradation rate &lt;50% of control (excessive suppression)</w:t>
      </w:r>
    </w:p>
    <w:p>
      <w:pPr>
        <w:spacing w:line="360" w:lineRule="auto"/>
        <w:jc w:val="both"/>
      </w:pPr>
      <w:r>
        <w:rPr>
          <w:rFonts w:ascii="Times New Roman" w:hAnsi="Times New Roman" w:eastAsia="Times New Roman"/>
          <w:color w:val="000000"/>
          <w:sz w:val="24"/>
        </w:rPr>
        <w:t>- Tg increase &lt;5°C (insufficient thermal enhancement)</w:t>
      </w:r>
    </w:p>
    <w:p>
      <w:pPr>
        <w:pStyle w:val="Heading2"/>
      </w:pPr>
      <w:r>
        <w:rPr>
          <w:rFonts w:ascii="Times New Roman" w:hAnsi="Times New Roman" w:eastAsia="Times New Roman"/>
          <w:b/>
          <w:color w:val="000000"/>
          <w:sz w:val="30"/>
        </w:rPr>
        <w:t>4. Results and Evidence-Based Discussion</w:t>
      </w:r>
    </w:p>
    <w:p>
      <w:pPr>
        <w:pStyle w:val="Heading3"/>
      </w:pPr>
      <w:r>
        <w:rPr>
          <w:rFonts w:ascii="Times New Roman" w:hAnsi="Times New Roman" w:eastAsia="Times New Roman"/>
          <w:b/>
          <w:color w:val="000000"/>
          <w:sz w:val="28"/>
        </w:rPr>
        <w:t>4.1 Directly Supported Expectations</w:t>
      </w:r>
    </w:p>
    <w:p>
      <w:pPr>
        <w:spacing w:line="360" w:lineRule="auto"/>
        <w:jc w:val="both"/>
      </w:pPr>
      <w:r>
        <w:rPr>
          <w:rFonts w:ascii="Times New Roman" w:hAnsi="Times New Roman" w:eastAsia="Times New Roman"/>
          <w:color w:val="000000"/>
          <w:sz w:val="24"/>
        </w:rPr>
        <w:t>- Crosslinking significantly increases Tg (literature reports +10°C to +40°C) [3, 6]</w:t>
      </w:r>
    </w:p>
    <w:p>
      <w:pPr>
        <w:spacing w:line="360" w:lineRule="auto"/>
        <w:jc w:val="both"/>
      </w:pPr>
      <w:r>
        <w:rPr>
          <w:rFonts w:ascii="Times New Roman" w:hAnsi="Times New Roman" w:eastAsia="Times New Roman"/>
          <w:color w:val="000000"/>
          <w:sz w:val="24"/>
        </w:rPr>
        <w:t>- Hydrolyzable esters degrade faster than stable crosslinks [1, 7]</w:t>
      </w:r>
    </w:p>
    <w:p>
      <w:pPr>
        <w:spacing w:line="360" w:lineRule="auto"/>
        <w:jc w:val="both"/>
      </w:pPr>
      <w:r>
        <w:rPr>
          <w:rFonts w:ascii="Times New Roman" w:hAnsi="Times New Roman" w:eastAsia="Times New Roman"/>
          <w:color w:val="000000"/>
          <w:sz w:val="24"/>
        </w:rPr>
        <w:t>- No direct evidence confirms simultaneous Tg elevation &gt;15°C with maintained degradation kinetics</w:t>
      </w:r>
    </w:p>
    <w:p>
      <w:pPr>
        <w:pStyle w:val="Heading3"/>
      </w:pPr>
      <w:r>
        <w:rPr>
          <w:rFonts w:ascii="Times New Roman" w:hAnsi="Times New Roman" w:eastAsia="Times New Roman"/>
          <w:b/>
          <w:color w:val="000000"/>
          <w:sz w:val="28"/>
        </w:rPr>
        <w:t>4.2 Mechanistically Inferred Expectations</w:t>
      </w:r>
    </w:p>
    <w:p>
      <w:pPr>
        <w:spacing w:line="360" w:lineRule="auto"/>
        <w:jc w:val="both"/>
      </w:pPr>
      <w:r>
        <w:rPr>
          <w:rFonts w:ascii="Times New Roman" w:hAnsi="Times New Roman" w:eastAsia="Times New Roman"/>
          <w:color w:val="000000"/>
          <w:sz w:val="24"/>
        </w:rPr>
        <w:t>- Moderate crosslink densities (E2 group) should balance Tg elevation and degradation maintenance</w:t>
      </w:r>
    </w:p>
    <w:p>
      <w:pPr>
        <w:spacing w:line="360" w:lineRule="auto"/>
        <w:jc w:val="both"/>
      </w:pPr>
      <w:r>
        <w:rPr>
          <w:rFonts w:ascii="Times New Roman" w:hAnsi="Times New Roman" w:eastAsia="Times New Roman"/>
          <w:color w:val="000000"/>
          <w:sz w:val="24"/>
        </w:rPr>
        <w:t>- Acidic degradation byproducts may accelerate hydrolysis autocatalytically [7]</w:t>
      </w:r>
    </w:p>
    <w:p>
      <w:pPr>
        <w:spacing w:line="360" w:lineRule="auto"/>
        <w:jc w:val="both"/>
      </w:pPr>
      <w:r>
        <w:rPr>
          <w:rFonts w:ascii="Times New Roman" w:hAnsi="Times New Roman" w:eastAsia="Times New Roman"/>
          <w:color w:val="000000"/>
          <w:sz w:val="24"/>
        </w:rPr>
        <w:t>- Phase separation likely at high crosslink densities (E3 group) [3]</w:t>
      </w:r>
    </w:p>
    <w:p>
      <w:pPr>
        <w:pStyle w:val="Heading3"/>
      </w:pPr>
      <w:r>
        <w:rPr>
          <w:rFonts w:ascii="Times New Roman" w:hAnsi="Times New Roman" w:eastAsia="Times New Roman"/>
          <w:b/>
          <w:color w:val="000000"/>
          <w:sz w:val="28"/>
        </w:rPr>
        <w:t>4.3 Evidence Gaps and Uncertainty</w:t>
      </w:r>
    </w:p>
    <w:p>
      <w:pPr>
        <w:spacing w:line="360" w:lineRule="auto"/>
        <w:jc w:val="both"/>
      </w:pPr>
      <w:r>
        <w:rPr>
          <w:rFonts w:ascii="Times New Roman" w:hAnsi="Times New Roman" w:eastAsia="Times New Roman"/>
          <w:color w:val="000000"/>
          <w:sz w:val="24"/>
        </w:rPr>
        <w:t>- **Critical gaps**:</w:t>
      </w:r>
    </w:p>
    <w:p>
      <w:pPr>
        <w:spacing w:line="360" w:lineRule="auto"/>
        <w:jc w:val="both"/>
      </w:pPr>
      <w:r>
        <w:rPr>
          <w:rFonts w:ascii="Times New Roman" w:hAnsi="Times New Roman" w:eastAsia="Times New Roman"/>
          <w:color w:val="000000"/>
          <w:sz w:val="24"/>
        </w:rPr>
        <w:t>- Degradation kinetics of thiol-ester crosslinks in polyester matrices</w:t>
      </w:r>
    </w:p>
    <w:p>
      <w:pPr>
        <w:spacing w:line="360" w:lineRule="auto"/>
        <w:jc w:val="both"/>
      </w:pPr>
      <w:r>
        <w:rPr>
          <w:rFonts w:ascii="Times New Roman" w:hAnsi="Times New Roman" w:eastAsia="Times New Roman"/>
          <w:color w:val="000000"/>
          <w:sz w:val="24"/>
        </w:rPr>
        <w:t>- Long-term (&gt;8 weeks) property retention</w:t>
      </w:r>
    </w:p>
    <w:p>
      <w:pPr>
        <w:spacing w:line="360" w:lineRule="auto"/>
        <w:jc w:val="both"/>
      </w:pPr>
      <w:r>
        <w:rPr>
          <w:rFonts w:ascii="Times New Roman" w:hAnsi="Times New Roman" w:eastAsia="Times New Roman"/>
          <w:color w:val="000000"/>
          <w:sz w:val="24"/>
        </w:rPr>
        <w:t>- Effect of crystallinity on crosslink hydrolysis [6]</w:t>
      </w:r>
    </w:p>
    <w:p>
      <w:pPr>
        <w:spacing w:line="360" w:lineRule="auto"/>
        <w:jc w:val="both"/>
      </w:pPr>
      <w:r>
        <w:rPr>
          <w:rFonts w:ascii="Times New Roman" w:hAnsi="Times New Roman" w:eastAsia="Times New Roman"/>
          <w:color w:val="000000"/>
          <w:sz w:val="24"/>
        </w:rPr>
        <w:t>- **Uncertainties**:</w:t>
      </w:r>
    </w:p>
    <w:p>
      <w:pPr>
        <w:spacing w:line="360" w:lineRule="auto"/>
        <w:jc w:val="both"/>
      </w:pPr>
      <w:r>
        <w:rPr>
          <w:rFonts w:ascii="Times New Roman" w:hAnsi="Times New Roman" w:eastAsia="Times New Roman"/>
          <w:color w:val="000000"/>
          <w:sz w:val="24"/>
        </w:rPr>
        <w:t>- pH evolution in dense crosslinked networks</w:t>
      </w:r>
    </w:p>
    <w:p>
      <w:pPr>
        <w:spacing w:line="360" w:lineRule="auto"/>
        <w:jc w:val="both"/>
      </w:pPr>
      <w:r>
        <w:rPr>
          <w:rFonts w:ascii="Times New Roman" w:hAnsi="Times New Roman" w:eastAsia="Times New Roman"/>
          <w:color w:val="000000"/>
          <w:sz w:val="24"/>
        </w:rPr>
        <w:t>- Impact of crosslink hydrolysis on mechanical integrity</w:t>
      </w:r>
    </w:p>
    <w:p>
      <w:pPr>
        <w:pStyle w:val="Heading3"/>
      </w:pPr>
      <w:r>
        <w:rPr>
          <w:rFonts w:ascii="Times New Roman" w:hAnsi="Times New Roman" w:eastAsia="Times New Roman"/>
          <w:b/>
          <w:color w:val="000000"/>
          <w:sz w:val="28"/>
        </w:rPr>
        <w:t>4.4 Comparison with Prior Systems</w:t>
      </w:r>
    </w:p>
    <w:p>
      <w:pPr>
        <w:spacing w:line="360" w:lineRule="auto"/>
        <w:jc w:val="both"/>
      </w:pPr>
      <w:r>
        <w:rPr>
          <w:rFonts w:ascii="Times New Roman" w:hAnsi="Times New Roman" w:eastAsia="Times New Roman"/>
          <w:color w:val="000000"/>
          <w:sz w:val="24"/>
        </w:rPr>
        <w:t>Conventional crosslinked polyesters (N1 group) typically show degradation rates &lt;50% of uncrosslinked controls [3, 5], while hydrolyzable crosslinks in other systems (e.g., poly(ester anhydride)s) demonstrate tunable degradation but lack Tg data [1]. PLA modifications improve heat resistance but often compromise processability and degradation [4].</w:t>
      </w:r>
    </w:p>
    <w:p>
      <w:pPr>
        <w:pStyle w:val="Heading2"/>
      </w:pPr>
      <w:r>
        <w:rPr>
          <w:rFonts w:ascii="Times New Roman" w:hAnsi="Times New Roman" w:eastAsia="Times New Roman"/>
          <w:b/>
          <w:color w:val="000000"/>
          <w:sz w:val="30"/>
        </w:rPr>
        <w:t>5. Risk Analysis and Optimization Path</w:t>
      </w:r>
    </w:p>
    <w:p>
      <w:pPr>
        <w:pStyle w:val="Heading3"/>
      </w:pPr>
      <w:r>
        <w:rPr>
          <w:rFonts w:ascii="Times New Roman" w:hAnsi="Times New Roman" w:eastAsia="Times New Roman"/>
          <w:b/>
          <w:color w:val="000000"/>
          <w:sz w:val="28"/>
        </w:rPr>
        <w:t>5.1 Major Failure Modes</w:t>
      </w:r>
    </w:p>
    <w:p>
      <w:pPr>
        <w:spacing w:line="360" w:lineRule="auto"/>
        <w:jc w:val="both"/>
      </w:pPr>
      <w:r>
        <w:rPr>
          <w:rFonts w:ascii="Times New Roman" w:hAnsi="Times New Roman" w:eastAsia="Times New Roman"/>
          <w:color w:val="000000"/>
          <w:sz w:val="24"/>
        </w:rPr>
        <w:t>1. Insufficient Tg elevation (&lt;5°C) due to low crosslink density</w:t>
      </w:r>
    </w:p>
    <w:p>
      <w:pPr>
        <w:spacing w:line="360" w:lineRule="auto"/>
        <w:jc w:val="both"/>
      </w:pPr>
      <w:r>
        <w:rPr>
          <w:rFonts w:ascii="Times New Roman" w:hAnsi="Times New Roman" w:eastAsia="Times New Roman"/>
          <w:color w:val="000000"/>
          <w:sz w:val="24"/>
        </w:rPr>
        <w:t>2. Degradation oversuppression (rate &lt;50% of control) from excessive crosslinking</w:t>
      </w:r>
    </w:p>
    <w:p>
      <w:pPr>
        <w:spacing w:line="360" w:lineRule="auto"/>
        <w:jc w:val="both"/>
      </w:pPr>
      <w:r>
        <w:rPr>
          <w:rFonts w:ascii="Times New Roman" w:hAnsi="Times New Roman" w:eastAsia="Times New Roman"/>
          <w:color w:val="000000"/>
          <w:sz w:val="24"/>
        </w:rPr>
        <w:t>3. Heterogeneous degradation from phase-separated networks</w:t>
      </w:r>
    </w:p>
    <w:p>
      <w:pPr>
        <w:spacing w:line="360" w:lineRule="auto"/>
        <w:jc w:val="both"/>
      </w:pPr>
      <w:r>
        <w:rPr>
          <w:rFonts w:ascii="Times New Roman" w:hAnsi="Times New Roman" w:eastAsia="Times New Roman"/>
          <w:color w:val="000000"/>
          <w:sz w:val="24"/>
        </w:rPr>
        <w:t>4. Premature hydrolysis during processing</w:t>
      </w:r>
    </w:p>
    <w:p>
      <w:pPr>
        <w:pStyle w:val="Heading3"/>
      </w:pPr>
      <w:r>
        <w:rPr>
          <w:rFonts w:ascii="Times New Roman" w:hAnsi="Times New Roman" w:eastAsia="Times New Roman"/>
          <w:b/>
          <w:color w:val="000000"/>
          <w:sz w:val="28"/>
        </w:rPr>
        <w:t>5.2 Optimization Pathway</w:t>
      </w:r>
    </w:p>
    <w:p>
      <w:pPr>
        <w:spacing w:line="360" w:lineRule="auto"/>
        <w:jc w:val="both"/>
      </w:pPr>
      <w:r>
        <w:rPr>
          <w:rFonts w:ascii="Times New Roman" w:hAnsi="Times New Roman" w:eastAsia="Times New Roman"/>
          <w:color w:val="000000"/>
          <w:sz w:val="24"/>
        </w:rPr>
        <w:t>- **Degradation too slow**: Reduce crosslink density; switch to anhydride crosslinks</w:t>
      </w:r>
    </w:p>
    <w:p>
      <w:pPr>
        <w:spacing w:line="360" w:lineRule="auto"/>
        <w:jc w:val="both"/>
      </w:pPr>
      <w:r>
        <w:rPr>
          <w:rFonts w:ascii="Times New Roman" w:hAnsi="Times New Roman" w:eastAsia="Times New Roman"/>
          <w:color w:val="000000"/>
          <w:sz w:val="24"/>
        </w:rPr>
        <w:t>- **Degradation too fast**: Increase crosslink density; incorporate hydrophobic spacers</w:t>
      </w:r>
    </w:p>
    <w:p>
      <w:pPr>
        <w:spacing w:line="360" w:lineRule="auto"/>
        <w:jc w:val="both"/>
      </w:pPr>
      <w:r>
        <w:rPr>
          <w:rFonts w:ascii="Times New Roman" w:hAnsi="Times New Roman" w:eastAsia="Times New Roman"/>
          <w:color w:val="000000"/>
          <w:sz w:val="24"/>
        </w:rPr>
        <w:t>- **Tg too low**: Increase crosslink density; introduce rigid cyclic monomers [10]</w:t>
      </w:r>
    </w:p>
    <w:p>
      <w:pPr>
        <w:spacing w:line="360" w:lineRule="auto"/>
        <w:jc w:val="both"/>
      </w:pPr>
      <w:r>
        <w:rPr>
          <w:rFonts w:ascii="Times New Roman" w:hAnsi="Times New Roman" w:eastAsia="Times New Roman"/>
          <w:color w:val="000000"/>
          <w:sz w:val="24"/>
        </w:rPr>
        <w:t>- **Toughness too low**: Use longer oligomer chains; add plasticizers</w:t>
      </w:r>
    </w:p>
    <w:p>
      <w:pPr>
        <w:spacing w:line="360" w:lineRule="auto"/>
        <w:jc w:val="both"/>
      </w:pPr>
      <w:r>
        <w:rPr>
          <w:rFonts w:ascii="Times New Roman" w:hAnsi="Times New Roman" w:eastAsia="Times New Roman"/>
          <w:color w:val="000000"/>
          <w:sz w:val="24"/>
        </w:rPr>
        <w:t>- **Wet-state failure**: Optimize hydrophilicity via copolymerization [8, 9]</w:t>
      </w:r>
    </w:p>
    <w:p>
      <w:pPr>
        <w:pStyle w:val="Heading2"/>
      </w:pPr>
      <w:r>
        <w:rPr>
          <w:rFonts w:ascii="Times New Roman" w:hAnsi="Times New Roman" w:eastAsia="Times New Roman"/>
          <w:b/>
          <w:color w:val="000000"/>
          <w:sz w:val="30"/>
        </w:rPr>
        <w:t>6. Conclusion</w:t>
      </w:r>
    </w:p>
    <w:p>
      <w:pPr>
        <w:spacing w:line="360" w:lineRule="auto"/>
        <w:jc w:val="both"/>
      </w:pPr>
      <w:r>
        <w:rPr>
          <w:rFonts w:ascii="Times New Roman" w:hAnsi="Times New Roman" w:eastAsia="Times New Roman"/>
          <w:color w:val="000000"/>
          <w:sz w:val="24"/>
        </w:rPr>
        <w:t>The hydrolyzable crosslinking strategy demonstrates strong mechanistic promise for balancing thermal enhancement and degradation control in biodegradable polyesters. While literature confirms individual mechanisms [1, 3, 7], direct evidence for simultaneous optimization remains absent. The approach is recommended for experimental validation, with moderate innovation potential (novelty in degradation-thermal decoupling). The critical next experiment involves synthesizing the E1-E3 series and quantifying Tg-degradation correlations. Success would enable thermally stable biodegradable materials for demanding applications.</w:t>
      </w:r>
    </w:p>
    <w:p>
      <w:pPr>
        <w:pStyle w:val="Heading2"/>
      </w:pPr>
      <w:r>
        <w:rPr>
          <w:rFonts w:ascii="Times New Roman" w:hAnsi="Times New Roman" w:eastAsia="Times New Roman"/>
          <w:b/>
          <w:color w:val="000000"/>
          <w:sz w:val="30"/>
        </w:rPr>
        <w:t>8. References</w:t>
      </w:r>
    </w:p>
    <w:p>
      <w:pPr>
        <w:spacing w:line="360" w:lineRule="auto"/>
        <w:jc w:val="both"/>
      </w:pPr>
      <w:r>
        <w:rPr>
          <w:rFonts w:ascii="Times New Roman" w:hAnsi="Times New Roman" w:eastAsia="Times New Roman"/>
          <w:color w:val="000000"/>
          <w:sz w:val="24"/>
        </w:rPr>
        <w:t>- [1] 101002_mabi201100198</w:t>
      </w:r>
    </w:p>
    <w:p>
      <w:pPr>
        <w:spacing w:line="360" w:lineRule="auto"/>
        <w:jc w:val="both"/>
      </w:pPr>
      <w:r>
        <w:rPr>
          <w:rFonts w:ascii="Times New Roman" w:hAnsi="Times New Roman" w:eastAsia="Times New Roman"/>
          <w:color w:val="000000"/>
          <w:sz w:val="24"/>
        </w:rPr>
        <w:t>- [2] 101039_c0py00097c</w:t>
      </w:r>
    </w:p>
    <w:p>
      <w:pPr>
        <w:spacing w:line="360" w:lineRule="auto"/>
        <w:jc w:val="both"/>
      </w:pPr>
      <w:r>
        <w:rPr>
          <w:rFonts w:ascii="Times New Roman" w:hAnsi="Times New Roman" w:eastAsia="Times New Roman"/>
          <w:color w:val="000000"/>
          <w:sz w:val="24"/>
        </w:rPr>
        <w:t>- [3] 101007_s00289-017-2154-4</w:t>
      </w:r>
    </w:p>
    <w:p>
      <w:pPr>
        <w:spacing w:line="360" w:lineRule="auto"/>
        <w:jc w:val="both"/>
      </w:pPr>
      <w:r>
        <w:rPr>
          <w:rFonts w:ascii="Times New Roman" w:hAnsi="Times New Roman" w:eastAsia="Times New Roman"/>
          <w:color w:val="000000"/>
          <w:sz w:val="24"/>
        </w:rPr>
        <w:t>- [4] 101002_pat4842</w:t>
      </w:r>
    </w:p>
    <w:p>
      <w:pPr>
        <w:spacing w:line="360" w:lineRule="auto"/>
        <w:jc w:val="both"/>
      </w:pPr>
      <w:r>
        <w:rPr>
          <w:rFonts w:ascii="Times New Roman" w:hAnsi="Times New Roman" w:eastAsia="Times New Roman"/>
          <w:color w:val="000000"/>
          <w:sz w:val="24"/>
        </w:rPr>
        <w:t>- [5] 101002_macp202400067</w:t>
      </w:r>
    </w:p>
    <w:p>
      <w:pPr>
        <w:spacing w:line="360" w:lineRule="auto"/>
        <w:jc w:val="both"/>
      </w:pPr>
      <w:r>
        <w:rPr>
          <w:rFonts w:ascii="Times New Roman" w:hAnsi="Times New Roman" w:eastAsia="Times New Roman"/>
          <w:color w:val="000000"/>
          <w:sz w:val="24"/>
        </w:rPr>
        <w:t>- [6] 101007_s10965-017-1318-0</w:t>
      </w:r>
    </w:p>
    <w:p>
      <w:pPr>
        <w:spacing w:line="360" w:lineRule="auto"/>
        <w:jc w:val="both"/>
      </w:pPr>
      <w:r>
        <w:rPr>
          <w:rFonts w:ascii="Times New Roman" w:hAnsi="Times New Roman" w:eastAsia="Times New Roman"/>
          <w:color w:val="000000"/>
          <w:sz w:val="24"/>
        </w:rPr>
        <w:t>- [7] 101016_jpolymdegradstab201312031</w:t>
      </w:r>
    </w:p>
    <w:p>
      <w:pPr>
        <w:spacing w:line="360" w:lineRule="auto"/>
        <w:jc w:val="both"/>
      </w:pPr>
      <w:r>
        <w:rPr>
          <w:rFonts w:ascii="Times New Roman" w:hAnsi="Times New Roman" w:eastAsia="Times New Roman"/>
          <w:color w:val="000000"/>
          <w:sz w:val="24"/>
        </w:rPr>
        <w:t>- [8] 101002_pi6738</w:t>
      </w:r>
    </w:p>
    <w:p>
      <w:pPr>
        <w:spacing w:line="360" w:lineRule="auto"/>
        <w:jc w:val="both"/>
      </w:pPr>
      <w:r>
        <w:rPr>
          <w:rFonts w:ascii="Times New Roman" w:hAnsi="Times New Roman" w:eastAsia="Times New Roman"/>
          <w:color w:val="000000"/>
          <w:sz w:val="24"/>
        </w:rPr>
        <w:t>- [9] 101016_jeurpolymj2019109296</w:t>
      </w:r>
    </w:p>
    <w:p>
      <w:pPr>
        <w:spacing w:line="360" w:lineRule="auto"/>
        <w:jc w:val="both"/>
      </w:pPr>
      <w:r>
        <w:rPr>
          <w:rFonts w:ascii="Times New Roman" w:hAnsi="Times New Roman" w:eastAsia="Times New Roman"/>
          <w:color w:val="000000"/>
          <w:sz w:val="24"/>
        </w:rPr>
        <w:t>- [10] 101039_d3gc04489k</w:t>
      </w:r>
    </w:p>
    <w:p>
      <w:pPr>
        <w:spacing w:line="360" w:lineRule="auto"/>
        <w:jc w:val="both"/>
      </w:pPr>
      <w:r>
        <w:rPr>
          <w:rFonts w:ascii="Times New Roman" w:hAnsi="Times New Roman" w:eastAsia="Times New Roman"/>
          <w:color w:val="000000"/>
          <w:sz w:val="24"/>
        </w:rPr>
        <w:t>- [11] 101016_jpolymer201504069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