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of a Block Copolymer with Hydrolytic Buffers for Biodegradable Implants with Sustained Mechanical Performance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block copolymer design integrating hydrolytic buffer domains to maintain mechanical strength during early-stage degradation. The hypothesis posits that phase-separated blocks with differential hydrolysis rates and pH-modulating additives can decouple initial stiffness from degradation-induced embrittlement. Literature evidence supports tunable degradation-property relationships in polyester block copolymers [1, 2, 3], while calcium phosphate fillers demonstrate pH buffering capacity [4]. A first-pass experimental plan evaluates poly(ester-ether) block ratios (70:30 to 50:50) with 5-15 wt% hydroxyapatite (HAp) additives. Key risks include premature phase separation and buffer leaching. While direct evidence for buffer-enhanced mechanical retention remains absent, indirect support from erosion modulation [5] and filler reinforcement [4] justifies experimental validation. Conservative feasibility scoring (70/100) reflects unproven buffer-polymer synergy.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1_Block_Copolymer_with_Hydrolyti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the PBS-b-PEG block copolymer with hydroxyapatite nanoparticles.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block copolymer. Composition note: PBS:PEG ratio. Dictionary/RDKit validation: 2/2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implants require paradoxical material properties: high initial stiffness for load-bearing applications coupled with gradual mechanical decline matching tissue regeneration. Conventional polyesters like PLGA exhibit rapid strength loss due to autocatalytic hydrolysis [6, 7], while slower-degrading systems risk fibrous encapsulation.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 poly(butylene succinate)-b-poly(ethylene glycol) (PBS-b-PEG) block copolymer with HAp nanoparticles will maintain ≥50% tensile strength for 8-12 weeks through: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1) Hydrolysis-resistant PBS crystalline domains for structural integrity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2) PEG-mediated water diffusion control [3,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3) HAp neutralization of acidic degradation byproducts [4]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exists for PBS-PEG block copolymers' degradation tuning [3] and HAp's pH buffering [4], but their combined mechanical-degradation synergy remains experimentally unverified. Critical unknowns include HAp dispersion stability and PEG plasticization effects.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**Block architecture**: PBS crystalline blocks resist water penetration, delaying bulk erosion compared to amorphous regions [1,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**PEG content**: Hydrophilic PEG segments accelerate initial water ingress but limit autocatalysis by enhancing oligomer diffusion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**HAp buffers**: Calcium phosphate dissolution counteracts local pH drops from ester hydrolysis, mitigating acid-accelerated chain scission [4]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Variable | Mechanical Impact | Degradation Impact | Evidence Support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|-------------------|----------------------------------|----------------------------------|------------------|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PBS:PEG ratio | ↑PBS increases modulus [3] | ↑PEG accelerates onset [8] | Direct [3]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HAp loading | ↑HAp increases stiffness [4] | ↓HAp slows pH-driven erosion [4] | Indirect [4]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Block length | Longer blocks delay failure [2] | Shorter blocks erode faster [2] | Direct [2]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Higher PEG content improves ductility but reduces initial strength [3], while excessive HAp (&gt;15 wt%) risks particle aggregation and crack initiation [4]. Crystallinity from PBS blocks enhances stiffness but may create heterogeneous degradation fronts [5].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polymer**: PBS-b-PEG (Mn = 50-80 kDa)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PBS:PEG molar ratio (70:30, 60:40, 50:50)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HAp nanoparticle content (5, 10, 15 wt%)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**Controls**: Neat PBS, commercial PLGA (85:15)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PBS:PEG | HAp (wt%) | Rationale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|-------|---------|-----------|------------------------------------|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1 | 70:30 | 5 | Baseline stiffness vs. degradation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2 | 70:30 | 15 | Max buffer capacity test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3 | 50:50 | 10 | High PEG for diffusion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4 | 60:40 | 10 | Balanced formulation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**Copolymer synthesis**: Melt polycondensation of succinic acid, 1,4-butanediol (PBS blocks), followed by PEG diol coupling via transesterification [3]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**HAp incorporation**: Solution blending in chloroform with ultrasonic dispersion (30 min, 200 W)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**Film casting**: 500 μm thickness, vacuum-dried at 40°C for 48 hrs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**DSC**: Tg, Tm, crystallinity (heating rate 10°C/min)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**FTIR**: Ester/ether bond ratios pre/post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**SEM-EDS**: HAp distribution and interfacial adhesion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tests** (ASTM D638): Dry vs. PBS-immersed (37°C) samples at 0, 4, 8, 12 weeks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**Key metrics**: Young's modulus (0.1-1% strain), yield strength, elongation at break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testing**: PBS (pH 7.4, 37°C) with weekly pH monitoring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**Mass loss**: Gravimetric analysis (±0.1 mg)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**GPC**: Mn, Mw decline every 2 weeks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**Preliminary cytotoxicity**: MTT assay with L929 fibroblasts (ISO 10993-5)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**Calcium release**: ICP-OMS of degradation media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threshold**: ≥50% modulus retention at 8 weeks vs. PLGA control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**Replicates**: n=6 per group, ANOVA with Tukey post-hoc (α=0.05)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PBS-rich formulations will show higher initial modulus (≥1.5 GPa) than PLGA (1.1 GPa)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- 10-15 wt% HAp maintains solution pH &gt;6.0 for ≥4 weeks [4]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Phase-separated PEG domains may create preferential hydrolysis paths, accelerating initial mass loss without catastrophic strength decline [2,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HAp particles &gt;200 nm diameter likely aggregate at 15 wt%, reducing ductility [4]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data on PBS-b-PEG/HAp interfacial bonding under cyclic loading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Unknown long-term (&gt;12 week) calcium release profile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 comparison ignores potential differences in inflammatory response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Commercial PLGA loses &gt;70% modulus in 4 weeks [7], while PBS-PDMS blends retain 55% modulus at 8 weeks [3]. The proposed HAp-modified system could extend functional lifetime by 2-3× versus pure PBS-PEG.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Rapid HAp dissolution causing porosity-driven fracture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PEG plasticization reducing Tg below body temperature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**Slow degradation**: Increase PBS block length, add 2-5% crosslinks [9]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stiffness**: Incorporate PCL reinforcing fibers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**Poor wet-state performance**: Apply surface-grafted hydrophilic coatings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block copolymer design shows moderate innovation (75/100) through novel integration of hydrolysis-resistant blocks and mineral buffers. While direct evidence for mechanical buffering is lacking, established degradation tuning mechanisms [1, 2, 3] justify prioritized validation of PBS-PEG-HAp films. The critical next experiment is comparative tensile testing of Groups 1-4 under accelerated degradation.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101002_app44674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101002_app47887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101002_app36856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101007_s00289-021-03892-7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101016_jpolymdegradstab2020109298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101016_jpolymdegradstab2025111485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101007_s10965-023-03777-5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101002_app37712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101002_macp200900441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