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and Verification of a Core-Shell Polyester Blend for Biodegradable Implants with Controlled Mechanical Degradation</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core-shell polyester blend design for biodegradable implants requiring high initial mechanical support and retained strength during early-stage hydrolytic degradation. The hypothesis posits that a core-shell architecture—comprising a high-strength polyester core and a degradation-regulating shell—can delay water ingress and bulk erosion while maintaining mechanical integrity. Literature evidence suggests core-shell structures effectively modulate degradation kinetics and interfacial interactions in polyester blends [1, 2, 3, 4], though direct evidence for mechanical retention in implant contexts remains limited. The experimental route involves synthesizing core-shell particles, fabricating blends with varied shell-core ratios, and evaluating mechanical degradation coupling via tensile testing and rheological monitoring [5]. Key risks include interfacial delamination and unpredictable erosion front propagation. With optimized interfacial design, this approach offers a promising solution to mitigate premature mechanical failure in load-bearing biodegradable implants.</w:t>
      </w:r>
    </w:p>
    <w:p>
      <w:pPr>
        <w:pStyle w:val="Heading2"/>
      </w:pPr>
      <w:r>
        <w:rPr>
          <w:rFonts w:ascii="Times New Roman" w:hAnsi="Times New Roman" w:eastAsia="Times New Roman"/>
          <w:color w:val="000000"/>
        </w:rPr>
        <w:t>Graphical Repeat-Unit Representation</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docx_test_idea3_Core-Shell_Polyester_Blend_repeat_unit.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PGA/PLLA core with degradation-regulating shell polymers.</w:t>
      </w:r>
    </w:p>
    <w:p>
      <w:pPr>
        <w:spacing w:line="360" w:lineRule="auto"/>
        <w:jc w:val="both"/>
      </w:pPr>
      <w:r>
        <w:rPr>
          <w:rFonts w:ascii="Times New Roman" w:hAnsi="Times New Roman" w:eastAsia="Times New Roman"/>
          <w:color w:val="000000"/>
          <w:sz w:val="24"/>
        </w:rPr>
        <w:t>Structure confidence: high. Architecture: blend/composite. Composition note: Core: PGA:PLLA 50:50; shell ratio variable. Dictionary/RDKit validation: 3/4 mapped structure(s) validated.</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Biodegradable implants must balance initial mechanical support with controlled degradation to prevent premature structural failure. Conventional polyesters like PLA and PCL exhibit rapid strength loss during hydrolysis due to bulk erosion and autocatalytic effects [5, 6, 7], limiting their use in load-bearing applications.</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A core-shell polyester architecture is hypothesized to decouple mechanical support from degradation kinetics:</w:t>
      </w:r>
    </w:p>
    <w:p>
      <w:pPr>
        <w:spacing w:line="360" w:lineRule="auto"/>
        <w:jc w:val="both"/>
      </w:pPr>
      <w:r>
        <w:rPr>
          <w:rFonts w:ascii="Times New Roman" w:hAnsi="Times New Roman" w:eastAsia="Times New Roman"/>
          <w:color w:val="000000"/>
          <w:sz w:val="24"/>
        </w:rPr>
        <w:t>- **Core**: High-crystallinity polyester (e.g., PGA or PLLA) provides initial strength</w:t>
      </w:r>
    </w:p>
    <w:p>
      <w:pPr>
        <w:spacing w:line="360" w:lineRule="auto"/>
        <w:jc w:val="both"/>
      </w:pPr>
      <w:r>
        <w:rPr>
          <w:rFonts w:ascii="Times New Roman" w:hAnsi="Times New Roman" w:eastAsia="Times New Roman"/>
          <w:color w:val="000000"/>
          <w:sz w:val="24"/>
        </w:rPr>
        <w:t>- **Shell**: Hydrolysis-regulating polymer (e.g., functionalized PEBA or rubber-toughened layer) controls water diffusion [1, 2]</w:t>
      </w:r>
    </w:p>
    <w:p>
      <w:pPr>
        <w:spacing w:line="360" w:lineRule="auto"/>
        <w:jc w:val="both"/>
      </w:pPr>
      <w:r>
        <w:rPr>
          <w:rFonts w:ascii="Times New Roman" w:hAnsi="Times New Roman" w:eastAsia="Times New Roman"/>
          <w:color w:val="000000"/>
          <w:sz w:val="24"/>
        </w:rPr>
        <w:t>This structure aims to retain &gt;50% tensile strength during critical early-stage degradation (2-4 weeks) while maintaining implant functionality.</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Direct evidence exists for core-shell structures enhancing polymer toughness [2, 3] and modulating degradation in drug delivery [1], but mechanical degradation coupling in implant-relevant systems requires experimental validation. This study defines:</w:t>
      </w:r>
    </w:p>
    <w:p>
      <w:pPr>
        <w:spacing w:line="360" w:lineRule="auto"/>
        <w:jc w:val="both"/>
      </w:pPr>
      <w:r>
        <w:rPr>
          <w:rFonts w:ascii="Times New Roman" w:hAnsi="Times New Roman" w:eastAsia="Times New Roman"/>
          <w:color w:val="000000"/>
          <w:sz w:val="24"/>
        </w:rPr>
        <w:t>- Evidence-supported formulation parameters</w:t>
      </w:r>
    </w:p>
    <w:p>
      <w:pPr>
        <w:spacing w:line="360" w:lineRule="auto"/>
        <w:jc w:val="both"/>
      </w:pPr>
      <w:r>
        <w:rPr>
          <w:rFonts w:ascii="Times New Roman" w:hAnsi="Times New Roman" w:eastAsia="Times New Roman"/>
          <w:color w:val="000000"/>
          <w:sz w:val="24"/>
        </w:rPr>
        <w:t>- Degradation-coupled mechanical testing protocol</w:t>
      </w:r>
    </w:p>
    <w:p>
      <w:pPr>
        <w:spacing w:line="360" w:lineRule="auto"/>
        <w:jc w:val="both"/>
      </w:pPr>
      <w:r>
        <w:rPr>
          <w:rFonts w:ascii="Times New Roman" w:hAnsi="Times New Roman" w:eastAsia="Times New Roman"/>
          <w:color w:val="000000"/>
          <w:sz w:val="24"/>
        </w:rPr>
        <w:t>- Critical knowledge gaps in erosion front propagation</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Core-shell functionality relies on three evidence-supported mechanisms:</w:t>
      </w:r>
    </w:p>
    <w:p>
      <w:pPr>
        <w:pStyle w:val="Heading2"/>
      </w:pPr>
      <w:r>
        <w:rPr>
          <w:rFonts w:ascii="Times New Roman" w:hAnsi="Times New Roman" w:eastAsia="Times New Roman"/>
          <w:color w:val="000000"/>
        </w:rPr>
        <w:t>1. **Barrier effect**: Hydrogel or rubber-modified shells slow water diffusion into the core, delaying bulk hydrolysis [1, 3]</w:t>
      </w:r>
    </w:p>
    <w:p>
      <w:pPr>
        <w:pStyle w:val="Heading2"/>
      </w:pPr>
      <w:r>
        <w:rPr>
          <w:rFonts w:ascii="Times New Roman" w:hAnsi="Times New Roman" w:eastAsia="Times New Roman"/>
          <w:color w:val="000000"/>
        </w:rPr>
        <w:t>2. **Interfacial stabilization**: Compatibilized shells prevent phase separation and maintain stress transfer during degradation [2, 5]</w:t>
      </w:r>
    </w:p>
    <w:p>
      <w:pPr>
        <w:pStyle w:val="Heading2"/>
      </w:pPr>
      <w:r>
        <w:rPr>
          <w:rFonts w:ascii="Times New Roman" w:hAnsi="Times New Roman" w:eastAsia="Times New Roman"/>
          <w:color w:val="000000"/>
        </w:rPr>
        <w:t>3. **Erosion buffering**: Shell degradation precedes core erosion, enabling gradual load transfer [4]</w:t>
      </w:r>
    </w:p>
    <w:p>
      <w:pPr>
        <w:spacing w:line="360" w:lineRule="auto"/>
        <w:jc w:val="both"/>
      </w:pPr>
      <w:r>
        <w:rPr>
          <w:rFonts w:ascii="Times New Roman" w:hAnsi="Times New Roman" w:eastAsia="Times New Roman"/>
          <w:color w:val="000000"/>
          <w:sz w:val="24"/>
        </w:rPr>
        <w:t>Rheological analysis of complex modulus transitions provides real-time monitoring of structural evolution during hydrolysis [5].</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*Mechanical Properties*:</w:t>
      </w:r>
    </w:p>
    <w:p>
      <w:pPr>
        <w:spacing w:line="360" w:lineRule="auto"/>
        <w:jc w:val="both"/>
      </w:pPr>
      <w:r>
        <w:rPr>
          <w:rFonts w:ascii="Times New Roman" w:hAnsi="Times New Roman" w:eastAsia="Times New Roman"/>
          <w:color w:val="000000"/>
          <w:sz w:val="24"/>
        </w:rPr>
        <w:t>- Core-shell rubber nanoparticles improve toughness via rubbery cores and grafted shells [2, 3]</w:t>
      </w:r>
    </w:p>
    <w:p>
      <w:pPr>
        <w:spacing w:line="360" w:lineRule="auto"/>
        <w:jc w:val="both"/>
      </w:pPr>
      <w:r>
        <w:rPr>
          <w:rFonts w:ascii="Times New Roman" w:hAnsi="Times New Roman" w:eastAsia="Times New Roman"/>
          <w:color w:val="000000"/>
          <w:sz w:val="24"/>
        </w:rPr>
        <w:t>- Shell composition determines interfacial adhesion strength [3]</w:t>
      </w:r>
    </w:p>
    <w:p>
      <w:pPr>
        <w:spacing w:line="360" w:lineRule="auto"/>
        <w:jc w:val="both"/>
      </w:pPr>
      <w:r>
        <w:rPr>
          <w:rFonts w:ascii="Times New Roman" w:hAnsi="Times New Roman" w:eastAsia="Times New Roman"/>
          <w:color w:val="000000"/>
          <w:sz w:val="24"/>
        </w:rPr>
        <w:t>- Crystalline core maintains initial stiffness [4]</w:t>
      </w:r>
    </w:p>
    <w:p>
      <w:pPr>
        <w:spacing w:line="360" w:lineRule="auto"/>
        <w:jc w:val="both"/>
      </w:pPr>
      <w:r>
        <w:rPr>
          <w:rFonts w:ascii="Times New Roman" w:hAnsi="Times New Roman" w:eastAsia="Times New Roman"/>
          <w:color w:val="000000"/>
          <w:sz w:val="24"/>
        </w:rPr>
        <w:t>*Degradation Behavior*:</w:t>
      </w:r>
    </w:p>
    <w:p>
      <w:pPr>
        <w:spacing w:line="360" w:lineRule="auto"/>
        <w:jc w:val="both"/>
      </w:pPr>
      <w:r>
        <w:rPr>
          <w:rFonts w:ascii="Times New Roman" w:hAnsi="Times New Roman" w:eastAsia="Times New Roman"/>
          <w:color w:val="000000"/>
          <w:sz w:val="24"/>
        </w:rPr>
        <w:t>- Shell thickness/core ratio controls diffusion kinetics [1, 8]</w:t>
      </w:r>
    </w:p>
    <w:p>
      <w:pPr>
        <w:spacing w:line="360" w:lineRule="auto"/>
        <w:jc w:val="both"/>
      </w:pPr>
      <w:r>
        <w:rPr>
          <w:rFonts w:ascii="Times New Roman" w:hAnsi="Times New Roman" w:eastAsia="Times New Roman"/>
          <w:color w:val="000000"/>
          <w:sz w:val="24"/>
        </w:rPr>
        <w:t>- Hydrophilic shells accelerate surface erosion but protect cores [6]</w:t>
      </w:r>
    </w:p>
    <w:p>
      <w:pPr>
        <w:spacing w:line="360" w:lineRule="auto"/>
        <w:jc w:val="both"/>
      </w:pPr>
      <w:r>
        <w:rPr>
          <w:rFonts w:ascii="Times New Roman" w:hAnsi="Times New Roman" w:eastAsia="Times New Roman"/>
          <w:color w:val="000000"/>
          <w:sz w:val="24"/>
        </w:rPr>
        <w:t>- Rheological transitions correlate with strength retention [5]</w:t>
      </w:r>
    </w:p>
    <w:p>
      <w:pPr>
        <w:spacing w:line="360" w:lineRule="auto"/>
        <w:jc w:val="both"/>
      </w:pPr>
      <w:r>
        <w:rPr>
          <w:rFonts w:ascii="Times New Roman" w:hAnsi="Times New Roman" w:eastAsia="Times New Roman"/>
          <w:color w:val="000000"/>
          <w:sz w:val="24"/>
        </w:rPr>
        <w:t>*Biocompatibility*:</w:t>
      </w:r>
    </w:p>
    <w:p>
      <w:pPr>
        <w:spacing w:line="360" w:lineRule="auto"/>
        <w:jc w:val="both"/>
      </w:pPr>
      <w:r>
        <w:rPr>
          <w:rFonts w:ascii="Times New Roman" w:hAnsi="Times New Roman" w:eastAsia="Times New Roman"/>
          <w:color w:val="000000"/>
          <w:sz w:val="24"/>
        </w:rPr>
        <w:t>- Core-shell fibers enhance cell adhesion via surface chemistry [4, 9]</w:t>
      </w:r>
    </w:p>
    <w:p>
      <w:pPr>
        <w:spacing w:line="360" w:lineRule="auto"/>
        <w:jc w:val="both"/>
      </w:pPr>
      <w:r>
        <w:rPr>
          <w:rFonts w:ascii="Times New Roman" w:hAnsi="Times New Roman" w:eastAsia="Times New Roman"/>
          <w:color w:val="000000"/>
          <w:sz w:val="24"/>
        </w:rPr>
        <w:t>- Evidence insufficient for inflammatory response prediction</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 **Stiffness-toughness tradeoff**: Rubber-modified shells increase impact strength but reduce modulus [2, 3]</w:t>
      </w:r>
    </w:p>
    <w:p>
      <w:pPr>
        <w:spacing w:line="360" w:lineRule="auto"/>
        <w:jc w:val="both"/>
      </w:pPr>
      <w:r>
        <w:rPr>
          <w:rFonts w:ascii="Times New Roman" w:hAnsi="Times New Roman" w:eastAsia="Times New Roman"/>
          <w:color w:val="000000"/>
          <w:sz w:val="24"/>
        </w:rPr>
        <w:t>- **Degradation-mechanics coupling**: Thicker shells delay hydrolysis but may cause interfacial delamination under load</w:t>
      </w:r>
    </w:p>
    <w:p>
      <w:pPr>
        <w:spacing w:line="360" w:lineRule="auto"/>
        <w:jc w:val="both"/>
      </w:pPr>
      <w:r>
        <w:rPr>
          <w:rFonts w:ascii="Times New Roman" w:hAnsi="Times New Roman" w:eastAsia="Times New Roman"/>
          <w:color w:val="000000"/>
          <w:sz w:val="24"/>
        </w:rPr>
        <w:t>- **Processing constraints**: Core-shell morphology requires precise emulsion or reactive processing [2, 3]</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 **Core**: High-strength polyester (PLLA/PGA blend; fixed at 70 wt%)</w:t>
      </w:r>
    </w:p>
    <w:p>
      <w:pPr>
        <w:spacing w:line="360" w:lineRule="auto"/>
        <w:jc w:val="both"/>
      </w:pPr>
      <w:r>
        <w:rPr>
          <w:rFonts w:ascii="Times New Roman" w:hAnsi="Times New Roman" w:eastAsia="Times New Roman"/>
          <w:color w:val="000000"/>
          <w:sz w:val="24"/>
        </w:rPr>
        <w:t>- **Shell**: Degradation-modifying polymer (PEBA, PBAT, or rubber-grafted PMMA; variable)</w:t>
      </w:r>
    </w:p>
    <w:p>
      <w:pPr>
        <w:spacing w:line="360" w:lineRule="auto"/>
        <w:jc w:val="both"/>
      </w:pPr>
      <w:r>
        <w:rPr>
          <w:rFonts w:ascii="Times New Roman" w:hAnsi="Times New Roman" w:eastAsia="Times New Roman"/>
          <w:color w:val="000000"/>
          <w:sz w:val="24"/>
        </w:rPr>
        <w:t>- **Key variables**: Shell-core ratio (10-40% shell), compatibilizer presence (GMA-functionalized)</w:t>
      </w:r>
    </w:p>
    <w:p>
      <w:pPr>
        <w:spacing w:line="360" w:lineRule="auto"/>
        <w:jc w:val="both"/>
      </w:pPr>
      <w:r>
        <w:rPr>
          <w:rFonts w:ascii="Times New Roman" w:hAnsi="Times New Roman" w:eastAsia="Times New Roman"/>
          <w:color w:val="000000"/>
          <w:sz w:val="24"/>
        </w:rPr>
        <w:t>- **Unknowns**: Optimal shell crystallinity, interfacial bonding strength</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Group | Core Material | Shell Material | Shell Ratio | Compatibilizer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PGA/PLLA | None | 0% | No | (Control)</w:t>
      </w:r>
    </w:p>
    <w:p>
      <w:pPr>
        <w:spacing w:line="360" w:lineRule="auto"/>
        <w:jc w:val="both"/>
      </w:pPr>
      <w:r>
        <w:rPr>
          <w:rFonts w:ascii="Times New Roman" w:hAnsi="Times New Roman" w:eastAsia="Times New Roman"/>
          <w:color w:val="000000"/>
          <w:sz w:val="24"/>
        </w:rPr>
        <w:t>| 2 | PGA/PLLA | PEBA | 20% | No |</w:t>
      </w:r>
    </w:p>
    <w:p>
      <w:pPr>
        <w:spacing w:line="360" w:lineRule="auto"/>
        <w:jc w:val="both"/>
      </w:pPr>
      <w:r>
        <w:rPr>
          <w:rFonts w:ascii="Times New Roman" w:hAnsi="Times New Roman" w:eastAsia="Times New Roman"/>
          <w:color w:val="000000"/>
          <w:sz w:val="24"/>
        </w:rPr>
        <w:t>| 3 | PGA/PLLA | PEBA-g-GMA | 20% | Yes |</w:t>
      </w:r>
    </w:p>
    <w:p>
      <w:pPr>
        <w:spacing w:line="360" w:lineRule="auto"/>
        <w:jc w:val="both"/>
      </w:pPr>
      <w:r>
        <w:rPr>
          <w:rFonts w:ascii="Times New Roman" w:hAnsi="Times New Roman" w:eastAsia="Times New Roman"/>
          <w:color w:val="000000"/>
          <w:sz w:val="24"/>
        </w:rPr>
        <w:t>| 4 | PGA/PLLA | Core-shell rubber | 30% | Yes | [2]</w:t>
      </w:r>
    </w:p>
    <w:p>
      <w:pPr>
        <w:spacing w:line="360" w:lineRule="auto"/>
        <w:jc w:val="both"/>
      </w:pPr>
      <w:r>
        <w:rPr>
          <w:rFonts w:ascii="Times New Roman" w:hAnsi="Times New Roman" w:eastAsia="Times New Roman"/>
          <w:color w:val="000000"/>
          <w:sz w:val="24"/>
        </w:rPr>
        <w:t>| 5 | PGA/PLLA | PBAT | 40% | No |</w:t>
      </w:r>
    </w:p>
    <w:p>
      <w:pPr>
        <w:spacing w:line="360" w:lineRule="auto"/>
        <w:jc w:val="both"/>
      </w:pPr>
      <w:r>
        <w:rPr>
          <w:rFonts w:ascii="Times New Roman" w:hAnsi="Times New Roman" w:eastAsia="Times New Roman"/>
          <w:color w:val="000000"/>
          <w:sz w:val="24"/>
        </w:rPr>
        <w:t>*Fixed parameters*: Core composition (50:50 PGA:PLLA), molecular weight (Mn ≈ 80 kDa)</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**Core-shell particle synthesis**:</w:t>
      </w:r>
    </w:p>
    <w:p>
      <w:pPr>
        <w:spacing w:line="360" w:lineRule="auto"/>
        <w:jc w:val="both"/>
      </w:pPr>
      <w:r>
        <w:rPr>
          <w:rFonts w:ascii="Times New Roman" w:hAnsi="Times New Roman" w:eastAsia="Times New Roman"/>
          <w:color w:val="000000"/>
          <w:sz w:val="24"/>
        </w:rPr>
        <w:t>- Emulsify core polymer in solvent (dichloromethane)</w:t>
      </w:r>
    </w:p>
    <w:p>
      <w:pPr>
        <w:spacing w:line="360" w:lineRule="auto"/>
        <w:jc w:val="both"/>
      </w:pPr>
      <w:r>
        <w:rPr>
          <w:rFonts w:ascii="Times New Roman" w:hAnsi="Times New Roman" w:eastAsia="Times New Roman"/>
          <w:color w:val="000000"/>
          <w:sz w:val="24"/>
        </w:rPr>
        <w:t>- Precipitate shell polymer via solvent evaporation under shear [2, 3]</w:t>
      </w:r>
    </w:p>
    <w:p>
      <w:pPr>
        <w:spacing w:line="360" w:lineRule="auto"/>
        <w:jc w:val="both"/>
      </w:pPr>
      <w:r>
        <w:rPr>
          <w:rFonts w:ascii="Times New Roman" w:hAnsi="Times New Roman" w:eastAsia="Times New Roman"/>
          <w:color w:val="000000"/>
          <w:sz w:val="24"/>
        </w:rPr>
        <w:t>- Crosslink rubber cores where applicable [3]</w:t>
      </w:r>
    </w:p>
    <w:p>
      <w:pPr>
        <w:pStyle w:val="Heading2"/>
      </w:pPr>
      <w:r>
        <w:rPr>
          <w:rFonts w:ascii="Times New Roman" w:hAnsi="Times New Roman" w:eastAsia="Times New Roman"/>
          <w:color w:val="000000"/>
        </w:rPr>
        <w:t>2. **Melt blending**:</w:t>
      </w:r>
    </w:p>
    <w:p>
      <w:pPr>
        <w:spacing w:line="360" w:lineRule="auto"/>
        <w:jc w:val="both"/>
      </w:pPr>
      <w:r>
        <w:rPr>
          <w:rFonts w:ascii="Times New Roman" w:hAnsi="Times New Roman" w:eastAsia="Times New Roman"/>
          <w:color w:val="000000"/>
          <w:sz w:val="24"/>
        </w:rPr>
        <w:t>- Dry blend components (core-shell particles + matrix polymer)</w:t>
      </w:r>
    </w:p>
    <w:p>
      <w:pPr>
        <w:spacing w:line="360" w:lineRule="auto"/>
        <w:jc w:val="both"/>
      </w:pPr>
      <w:r>
        <w:rPr>
          <w:rFonts w:ascii="Times New Roman" w:hAnsi="Times New Roman" w:eastAsia="Times New Roman"/>
          <w:color w:val="000000"/>
          <w:sz w:val="24"/>
        </w:rPr>
        <w:t>- Compound in twin-screw extruder (T = Tm + 20°C; shear rate: 100 s⁻¹)</w:t>
      </w:r>
    </w:p>
    <w:p>
      <w:pPr>
        <w:pStyle w:val="Heading2"/>
      </w:pPr>
      <w:r>
        <w:rPr>
          <w:rFonts w:ascii="Times New Roman" w:hAnsi="Times New Roman" w:eastAsia="Times New Roman"/>
          <w:color w:val="000000"/>
        </w:rPr>
        <w:t>3. **Compression molding**:</w:t>
      </w:r>
    </w:p>
    <w:p>
      <w:pPr>
        <w:spacing w:line="360" w:lineRule="auto"/>
        <w:jc w:val="both"/>
      </w:pPr>
      <w:r>
        <w:rPr>
          <w:rFonts w:ascii="Times New Roman" w:hAnsi="Times New Roman" w:eastAsia="Times New Roman"/>
          <w:color w:val="000000"/>
          <w:sz w:val="24"/>
        </w:rPr>
        <w:t>- Form ISO 527 tensile bars (2 mm thickness)</w:t>
      </w:r>
    </w:p>
    <w:p>
      <w:pPr>
        <w:spacing w:line="360" w:lineRule="auto"/>
        <w:jc w:val="both"/>
      </w:pPr>
      <w:r>
        <w:rPr>
          <w:rFonts w:ascii="Times New Roman" w:hAnsi="Times New Roman" w:eastAsia="Times New Roman"/>
          <w:color w:val="000000"/>
          <w:sz w:val="24"/>
        </w:rPr>
        <w:t>- Anneal at Tg + 10°C for crystallization control</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**Morphology**: SEM/TEM of microtomed sections (core-shell distribution)</w:t>
      </w:r>
    </w:p>
    <w:p>
      <w:pPr>
        <w:spacing w:line="360" w:lineRule="auto"/>
        <w:jc w:val="both"/>
      </w:pPr>
      <w:r>
        <w:rPr>
          <w:rFonts w:ascii="Times New Roman" w:hAnsi="Times New Roman" w:eastAsia="Times New Roman"/>
          <w:color w:val="000000"/>
          <w:sz w:val="24"/>
        </w:rPr>
        <w:t>- **Thermal analysis**: DSC (Tg, Tm, crystallinity)</w:t>
      </w:r>
    </w:p>
    <w:p>
      <w:pPr>
        <w:spacing w:line="360" w:lineRule="auto"/>
        <w:jc w:val="both"/>
      </w:pPr>
      <w:r>
        <w:rPr>
          <w:rFonts w:ascii="Times New Roman" w:hAnsi="Times New Roman" w:eastAsia="Times New Roman"/>
          <w:color w:val="000000"/>
          <w:sz w:val="24"/>
        </w:rPr>
        <w:t>- **Interfacial chemistry**: FTIR of grafted shells [3]</w:t>
      </w:r>
    </w:p>
    <w:p>
      <w:pPr>
        <w:spacing w:line="360" w:lineRule="auto"/>
        <w:jc w:val="both"/>
      </w:pPr>
      <w:r>
        <w:rPr>
          <w:rFonts w:ascii="Times New Roman" w:hAnsi="Times New Roman" w:eastAsia="Times New Roman"/>
          <w:color w:val="000000"/>
          <w:sz w:val="24"/>
        </w:rPr>
        <w:t>- **Molecular weight**: GPC pre-/post-degradation</w:t>
      </w:r>
    </w:p>
    <w:p>
      <w:pPr>
        <w:spacing w:line="360" w:lineRule="auto"/>
        <w:jc w:val="both"/>
      </w:pPr>
      <w:r>
        <w:rPr>
          <w:rFonts w:ascii="Times New Roman" w:hAnsi="Times New Roman" w:eastAsia="Times New Roman"/>
          <w:color w:val="000000"/>
          <w:sz w:val="24"/>
        </w:rPr>
        <w:t>*Rationale*: Confirms core-shell integrity and baseline properties</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 **Initial properties**: Tensile tests (ISO 527; n=10) measuring:</w:t>
      </w:r>
    </w:p>
    <w:p>
      <w:pPr>
        <w:spacing w:line="360" w:lineRule="auto"/>
        <w:jc w:val="both"/>
      </w:pPr>
      <w:r>
        <w:rPr>
          <w:rFonts w:ascii="Times New Roman" w:hAnsi="Times New Roman" w:eastAsia="Times New Roman"/>
          <w:color w:val="000000"/>
          <w:sz w:val="24"/>
        </w:rPr>
        <w:t>- Young's modulus (1% strain)</w:t>
      </w:r>
    </w:p>
    <w:p>
      <w:pPr>
        <w:spacing w:line="360" w:lineRule="auto"/>
        <w:jc w:val="both"/>
      </w:pPr>
      <w:r>
        <w:rPr>
          <w:rFonts w:ascii="Times New Roman" w:hAnsi="Times New Roman" w:eastAsia="Times New Roman"/>
          <w:color w:val="000000"/>
          <w:sz w:val="24"/>
        </w:rPr>
        <w:t>- Tensile strength at yield</w:t>
      </w:r>
    </w:p>
    <w:p>
      <w:pPr>
        <w:spacing w:line="360" w:lineRule="auto"/>
        <w:jc w:val="both"/>
      </w:pPr>
      <w:r>
        <w:rPr>
          <w:rFonts w:ascii="Times New Roman" w:hAnsi="Times New Roman" w:eastAsia="Times New Roman"/>
          <w:color w:val="000000"/>
          <w:sz w:val="24"/>
        </w:rPr>
        <w:t>- Elongation at break</w:t>
      </w:r>
    </w:p>
    <w:p>
      <w:pPr>
        <w:spacing w:line="360" w:lineRule="auto"/>
        <w:jc w:val="both"/>
      </w:pPr>
      <w:r>
        <w:rPr>
          <w:rFonts w:ascii="Times New Roman" w:hAnsi="Times New Roman" w:eastAsia="Times New Roman"/>
          <w:color w:val="000000"/>
          <w:sz w:val="24"/>
        </w:rPr>
        <w:t>- **Degradation-coupled testing**:</w:t>
      </w:r>
    </w:p>
    <w:p>
      <w:pPr>
        <w:spacing w:line="360" w:lineRule="auto"/>
        <w:jc w:val="both"/>
      </w:pPr>
      <w:r>
        <w:rPr>
          <w:rFonts w:ascii="Times New Roman" w:hAnsi="Times New Roman" w:eastAsia="Times New Roman"/>
          <w:color w:val="000000"/>
          <w:sz w:val="24"/>
        </w:rPr>
        <w:t>- Submerge in PBS (pH 7.4, 37°C)</w:t>
      </w:r>
    </w:p>
    <w:p>
      <w:pPr>
        <w:spacing w:line="360" w:lineRule="auto"/>
        <w:jc w:val="both"/>
      </w:pPr>
      <w:r>
        <w:rPr>
          <w:rFonts w:ascii="Times New Roman" w:hAnsi="Times New Roman" w:eastAsia="Times New Roman"/>
          <w:color w:val="000000"/>
          <w:sz w:val="24"/>
        </w:rPr>
        <w:t>- Test tensile properties at 7, 14, 28 days (wet state)</w:t>
      </w:r>
    </w:p>
    <w:p>
      <w:pPr>
        <w:spacing w:line="360" w:lineRule="auto"/>
        <w:jc w:val="both"/>
      </w:pPr>
      <w:r>
        <w:rPr>
          <w:rFonts w:ascii="Times New Roman" w:hAnsi="Times New Roman" w:eastAsia="Times New Roman"/>
          <w:color w:val="000000"/>
          <w:sz w:val="24"/>
        </w:rPr>
        <w:t>- Calculate strength retention: σ(t)/σ(0)</w:t>
      </w:r>
    </w:p>
    <w:p>
      <w:pPr>
        <w:spacing w:line="360" w:lineRule="auto"/>
        <w:jc w:val="both"/>
      </w:pPr>
      <w:r>
        <w:rPr>
          <w:rFonts w:ascii="Times New Roman" w:hAnsi="Times New Roman" w:eastAsia="Times New Roman"/>
          <w:color w:val="000000"/>
          <w:sz w:val="24"/>
        </w:rPr>
        <w:t>- **Failure analysis**: SEM of fracture surfaces post-degradation</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 **Mass loss**: Weekly gravimetry (n=5)</w:t>
      </w:r>
    </w:p>
    <w:p>
      <w:pPr>
        <w:spacing w:line="360" w:lineRule="auto"/>
        <w:jc w:val="both"/>
      </w:pPr>
      <w:r>
        <w:rPr>
          <w:rFonts w:ascii="Times New Roman" w:hAnsi="Times New Roman" w:eastAsia="Times New Roman"/>
          <w:color w:val="000000"/>
          <w:sz w:val="24"/>
        </w:rPr>
        <w:t>- **Molecular degradation**: GPC every 14 days</w:t>
      </w:r>
    </w:p>
    <w:p>
      <w:pPr>
        <w:spacing w:line="360" w:lineRule="auto"/>
        <w:jc w:val="both"/>
      </w:pPr>
      <w:r>
        <w:rPr>
          <w:rFonts w:ascii="Times New Roman" w:hAnsi="Times New Roman" w:eastAsia="Times New Roman"/>
          <w:color w:val="000000"/>
          <w:sz w:val="24"/>
        </w:rPr>
        <w:t>- **Morphological evolution**: SEM surface/cross-section imaging at 28 days</w:t>
      </w:r>
    </w:p>
    <w:p>
      <w:pPr>
        <w:spacing w:line="360" w:lineRule="auto"/>
        <w:jc w:val="both"/>
      </w:pPr>
      <w:r>
        <w:rPr>
          <w:rFonts w:ascii="Times New Roman" w:hAnsi="Times New Roman" w:eastAsia="Times New Roman"/>
          <w:color w:val="000000"/>
          <w:sz w:val="24"/>
        </w:rPr>
        <w:t>- **Rheological monitoring**:</w:t>
      </w:r>
    </w:p>
    <w:p>
      <w:pPr>
        <w:spacing w:line="360" w:lineRule="auto"/>
        <w:jc w:val="both"/>
      </w:pPr>
      <w:r>
        <w:rPr>
          <w:rFonts w:ascii="Times New Roman" w:hAnsi="Times New Roman" w:eastAsia="Times New Roman"/>
          <w:color w:val="000000"/>
          <w:sz w:val="24"/>
        </w:rPr>
        <w:t>- Time-sweep oscillatory shear (1 Hz, 37°C in PBS) [5]</w:t>
      </w:r>
    </w:p>
    <w:p>
      <w:pPr>
        <w:spacing w:line="360" w:lineRule="auto"/>
        <w:jc w:val="both"/>
      </w:pPr>
      <w:r>
        <w:rPr>
          <w:rFonts w:ascii="Times New Roman" w:hAnsi="Times New Roman" w:eastAsia="Times New Roman"/>
          <w:color w:val="000000"/>
          <w:sz w:val="24"/>
        </w:rPr>
        <w:t>- Track G'/G'' crossover points as degradation markers</w:t>
      </w:r>
    </w:p>
    <w:p>
      <w:pPr>
        <w:spacing w:line="360" w:lineRule="auto"/>
        <w:jc w:val="both"/>
      </w:pPr>
      <w:r>
        <w:rPr>
          <w:rFonts w:ascii="Times New Roman" w:hAnsi="Times New Roman" w:eastAsia="Times New Roman"/>
          <w:color w:val="000000"/>
          <w:sz w:val="24"/>
        </w:rPr>
        <w:t>- **pH tracking**: Degradation medium pH changes (autocatalysis indicator)</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 **Cytotoxicity**: ISO 10993-5 elution assay (fibroblasts)</w:t>
      </w:r>
    </w:p>
    <w:p>
      <w:pPr>
        <w:spacing w:line="360" w:lineRule="auto"/>
        <w:jc w:val="both"/>
      </w:pPr>
      <w:r>
        <w:rPr>
          <w:rFonts w:ascii="Times New Roman" w:hAnsi="Times New Roman" w:eastAsia="Times New Roman"/>
          <w:color w:val="000000"/>
          <w:sz w:val="24"/>
        </w:rPr>
        <w:t>- **Cell adhesion**: SEM of MC3T3 osteoblasts on surfaces (72h)</w:t>
      </w:r>
    </w:p>
    <w:p>
      <w:pPr>
        <w:spacing w:line="360" w:lineRule="auto"/>
        <w:jc w:val="both"/>
      </w:pPr>
      <w:r>
        <w:rPr>
          <w:rFonts w:ascii="Times New Roman" w:hAnsi="Times New Roman" w:eastAsia="Times New Roman"/>
          <w:color w:val="000000"/>
          <w:sz w:val="24"/>
        </w:rPr>
        <w:t>*Note: In vivo evaluation deferred to later stage*</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 **Controls**: Unmodified blend (Group 1), commercial PLLA implant</w:t>
      </w:r>
    </w:p>
    <w:p>
      <w:pPr>
        <w:spacing w:line="360" w:lineRule="auto"/>
        <w:jc w:val="both"/>
      </w:pPr>
      <w:r>
        <w:rPr>
          <w:rFonts w:ascii="Times New Roman" w:hAnsi="Times New Roman" w:eastAsia="Times New Roman"/>
          <w:color w:val="000000"/>
          <w:sz w:val="24"/>
        </w:rPr>
        <w:t>- **Success criteria**:</w:t>
      </w:r>
    </w:p>
    <w:p>
      <w:pPr>
        <w:spacing w:line="360" w:lineRule="auto"/>
        <w:jc w:val="both"/>
      </w:pPr>
      <w:r>
        <w:rPr>
          <w:rFonts w:ascii="Times New Roman" w:hAnsi="Times New Roman" w:eastAsia="Times New Roman"/>
          <w:color w:val="000000"/>
          <w:sz w:val="24"/>
        </w:rPr>
        <w:t>- Initial E-modulus &gt; 2 GPa</w:t>
      </w:r>
    </w:p>
    <w:p>
      <w:pPr>
        <w:spacing w:line="360" w:lineRule="auto"/>
        <w:jc w:val="both"/>
      </w:pPr>
      <w:r>
        <w:rPr>
          <w:rFonts w:ascii="Times New Roman" w:hAnsi="Times New Roman" w:eastAsia="Times New Roman"/>
          <w:color w:val="000000"/>
          <w:sz w:val="24"/>
        </w:rPr>
        <w:t>- Strength retention &gt; 60% at 28 days (vs Group 1 baseline)</w:t>
      </w:r>
    </w:p>
    <w:p>
      <w:pPr>
        <w:spacing w:line="360" w:lineRule="auto"/>
        <w:jc w:val="both"/>
      </w:pPr>
      <w:r>
        <w:rPr>
          <w:rFonts w:ascii="Times New Roman" w:hAnsi="Times New Roman" w:eastAsia="Times New Roman"/>
          <w:color w:val="000000"/>
          <w:sz w:val="24"/>
        </w:rPr>
        <w:t>- **Statistical analysis**:</w:t>
      </w:r>
    </w:p>
    <w:p>
      <w:pPr>
        <w:spacing w:line="360" w:lineRule="auto"/>
        <w:jc w:val="both"/>
      </w:pPr>
      <w:r>
        <w:rPr>
          <w:rFonts w:ascii="Times New Roman" w:hAnsi="Times New Roman" w:eastAsia="Times New Roman"/>
          <w:color w:val="000000"/>
          <w:sz w:val="24"/>
        </w:rPr>
        <w:t>- Two-way ANOVA (material × degradation time)</w:t>
      </w:r>
    </w:p>
    <w:p>
      <w:pPr>
        <w:spacing w:line="360" w:lineRule="auto"/>
        <w:jc w:val="both"/>
      </w:pPr>
      <w:r>
        <w:rPr>
          <w:rFonts w:ascii="Times New Roman" w:hAnsi="Times New Roman" w:eastAsia="Times New Roman"/>
          <w:color w:val="000000"/>
          <w:sz w:val="24"/>
        </w:rPr>
        <w:t>- Tukey post-hoc (α=0.05) for group comparisons</w:t>
      </w:r>
    </w:p>
    <w:p>
      <w:pPr>
        <w:spacing w:line="360" w:lineRule="auto"/>
        <w:jc w:val="both"/>
      </w:pPr>
      <w:r>
        <w:rPr>
          <w:rFonts w:ascii="Times New Roman" w:hAnsi="Times New Roman" w:eastAsia="Times New Roman"/>
          <w:color w:val="000000"/>
          <w:sz w:val="24"/>
        </w:rPr>
        <w:t>- **Termination criteria**: &gt;40% mass loss or catastrophic fragmentation</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Core-shell rubber nanoparticles significantly improve impact toughness in PLLA [2, 3]</w:t>
      </w:r>
    </w:p>
    <w:p>
      <w:pPr>
        <w:spacing w:line="360" w:lineRule="auto"/>
        <w:jc w:val="both"/>
      </w:pPr>
      <w:r>
        <w:rPr>
          <w:rFonts w:ascii="Times New Roman" w:hAnsi="Times New Roman" w:eastAsia="Times New Roman"/>
          <w:color w:val="000000"/>
          <w:sz w:val="24"/>
        </w:rPr>
        <w:t>- PEBA/PBAT shells regulate enzymatic degradation rates in PLA blends [8]</w:t>
      </w:r>
    </w:p>
    <w:p>
      <w:pPr>
        <w:spacing w:line="360" w:lineRule="auto"/>
        <w:jc w:val="both"/>
      </w:pPr>
      <w:r>
        <w:rPr>
          <w:rFonts w:ascii="Times New Roman" w:hAnsi="Times New Roman" w:eastAsia="Times New Roman"/>
          <w:color w:val="000000"/>
          <w:sz w:val="24"/>
        </w:rPr>
        <w:t>- Rheological transitions correlate with tensile strength loss during hydrolysis [5]</w:t>
      </w:r>
    </w:p>
    <w:p>
      <w:pPr>
        <w:pStyle w:val="Heading3"/>
      </w:pPr>
      <w:r>
        <w:rPr>
          <w:rFonts w:ascii="Times New Roman" w:hAnsi="Times New Roman" w:eastAsia="Times New Roman"/>
          <w:color w:val="000000"/>
        </w:rPr>
        <w:t>4.2 Mechanistically Inferred Expectations</w:t>
      </w:r>
    </w:p>
    <w:p>
      <w:pPr>
        <w:spacing w:line="360" w:lineRule="auto"/>
        <w:jc w:val="both"/>
      </w:pPr>
      <w:r>
        <w:rPr>
          <w:rFonts w:ascii="Times New Roman" w:hAnsi="Times New Roman" w:eastAsia="Times New Roman"/>
          <w:color w:val="000000"/>
          <w:sz w:val="24"/>
        </w:rPr>
        <w:t>- GMA-compatibilized interfaces should maintain stress transfer during early degradation [3, 5]</w:t>
      </w:r>
    </w:p>
    <w:p>
      <w:pPr>
        <w:spacing w:line="360" w:lineRule="auto"/>
        <w:jc w:val="both"/>
      </w:pPr>
      <w:r>
        <w:rPr>
          <w:rFonts w:ascii="Times New Roman" w:hAnsi="Times New Roman" w:eastAsia="Times New Roman"/>
          <w:color w:val="000000"/>
          <w:sz w:val="24"/>
        </w:rPr>
        <w:t>- Thicker shells (30-40%) may delay core erosion but risk interfacial delamination</w:t>
      </w:r>
    </w:p>
    <w:p>
      <w:pPr>
        <w:spacing w:line="360" w:lineRule="auto"/>
        <w:jc w:val="both"/>
      </w:pPr>
      <w:r>
        <w:rPr>
          <w:rFonts w:ascii="Times New Roman" w:hAnsi="Times New Roman" w:eastAsia="Times New Roman"/>
          <w:color w:val="000000"/>
          <w:sz w:val="24"/>
        </w:rPr>
        <w:t>- Acidic byproducts from PGA cores could accelerate shell degradation [6]</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 **Critical gaps**:</w:t>
      </w:r>
    </w:p>
    <w:p>
      <w:pPr>
        <w:spacing w:line="360" w:lineRule="auto"/>
        <w:jc w:val="both"/>
      </w:pPr>
      <w:r>
        <w:rPr>
          <w:rFonts w:ascii="Times New Roman" w:hAnsi="Times New Roman" w:eastAsia="Times New Roman"/>
          <w:color w:val="000000"/>
          <w:sz w:val="24"/>
        </w:rPr>
        <w:t>- No data on erosion front progression in core-shell blends</w:t>
      </w:r>
    </w:p>
    <w:p>
      <w:pPr>
        <w:spacing w:line="360" w:lineRule="auto"/>
        <w:jc w:val="both"/>
      </w:pPr>
      <w:r>
        <w:rPr>
          <w:rFonts w:ascii="Times New Roman" w:hAnsi="Times New Roman" w:eastAsia="Times New Roman"/>
          <w:color w:val="000000"/>
          <w:sz w:val="24"/>
        </w:rPr>
        <w:t>- Unknown pH evolution in confined core regions</w:t>
      </w:r>
    </w:p>
    <w:p>
      <w:pPr>
        <w:spacing w:line="360" w:lineRule="auto"/>
        <w:jc w:val="both"/>
      </w:pPr>
      <w:r>
        <w:rPr>
          <w:rFonts w:ascii="Times New Roman" w:hAnsi="Times New Roman" w:eastAsia="Times New Roman"/>
          <w:color w:val="000000"/>
          <w:sz w:val="24"/>
        </w:rPr>
        <w:t>- Limited evidence for wet-state mechanical retention beyond 4 weeks</w:t>
      </w:r>
    </w:p>
    <w:p>
      <w:pPr>
        <w:spacing w:line="360" w:lineRule="auto"/>
        <w:jc w:val="both"/>
      </w:pPr>
      <w:r>
        <w:rPr>
          <w:rFonts w:ascii="Times New Roman" w:hAnsi="Times New Roman" w:eastAsia="Times New Roman"/>
          <w:color w:val="000000"/>
          <w:sz w:val="24"/>
        </w:rPr>
        <w:t>- **Uncertainties**:</w:t>
      </w:r>
    </w:p>
    <w:p>
      <w:pPr>
        <w:spacing w:line="360" w:lineRule="auto"/>
        <w:jc w:val="both"/>
      </w:pPr>
      <w:r>
        <w:rPr>
          <w:rFonts w:ascii="Times New Roman" w:hAnsi="Times New Roman" w:eastAsia="Times New Roman"/>
          <w:color w:val="000000"/>
          <w:sz w:val="24"/>
        </w:rPr>
        <w:t>- Shell thickness threshold for effective diffusion barrier</w:t>
      </w:r>
    </w:p>
    <w:p>
      <w:pPr>
        <w:spacing w:line="360" w:lineRule="auto"/>
        <w:jc w:val="both"/>
      </w:pPr>
      <w:r>
        <w:rPr>
          <w:rFonts w:ascii="Times New Roman" w:hAnsi="Times New Roman" w:eastAsia="Times New Roman"/>
          <w:color w:val="000000"/>
          <w:sz w:val="24"/>
        </w:rPr>
        <w:t>- Long-term biocompatibility of degradation byproducts</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Conventional polyester blends show rapid strength loss (50-70% in 2 weeks) due to bulk erosion [5, 7]. Core-shell designs offer:</w:t>
      </w:r>
    </w:p>
    <w:p>
      <w:pPr>
        <w:spacing w:line="360" w:lineRule="auto"/>
        <w:jc w:val="both"/>
      </w:pPr>
      <w:r>
        <w:rPr>
          <w:rFonts w:ascii="Times New Roman" w:hAnsi="Times New Roman" w:eastAsia="Times New Roman"/>
          <w:color w:val="000000"/>
          <w:sz w:val="24"/>
        </w:rPr>
        <w:t>- 66.7% longer strength retention in compatibilized blends [5]</w:t>
      </w:r>
    </w:p>
    <w:p>
      <w:pPr>
        <w:spacing w:line="360" w:lineRule="auto"/>
        <w:jc w:val="both"/>
      </w:pPr>
      <w:r>
        <w:rPr>
          <w:rFonts w:ascii="Times New Roman" w:hAnsi="Times New Roman" w:eastAsia="Times New Roman"/>
          <w:color w:val="000000"/>
          <w:sz w:val="24"/>
        </w:rPr>
        <w:t>- Tunable degradation profiles via shell chemistry [1, 8]</w:t>
      </w:r>
    </w:p>
    <w:p>
      <w:pPr>
        <w:spacing w:line="360" w:lineRule="auto"/>
        <w:jc w:val="both"/>
      </w:pPr>
      <w:r>
        <w:rPr>
          <w:rFonts w:ascii="Times New Roman" w:hAnsi="Times New Roman" w:eastAsia="Times New Roman"/>
          <w:color w:val="000000"/>
          <w:sz w:val="24"/>
        </w:rPr>
        <w:t>- Superior toughness vs. homogeneous blends [2, 3]</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pStyle w:val="Heading2"/>
      </w:pPr>
      <w:r>
        <w:rPr>
          <w:rFonts w:ascii="Times New Roman" w:hAnsi="Times New Roman" w:eastAsia="Times New Roman"/>
          <w:color w:val="000000"/>
        </w:rPr>
        <w:t>1. Interfacial debonding under hydrolytic stress</w:t>
      </w:r>
    </w:p>
    <w:p>
      <w:pPr>
        <w:pStyle w:val="Heading2"/>
      </w:pPr>
      <w:r>
        <w:rPr>
          <w:rFonts w:ascii="Times New Roman" w:hAnsi="Times New Roman" w:eastAsia="Times New Roman"/>
          <w:color w:val="000000"/>
        </w:rPr>
        <w:t>2. Shell fragmentation causing accelerated core erosion</w:t>
      </w:r>
    </w:p>
    <w:p>
      <w:pPr>
        <w:pStyle w:val="Heading2"/>
      </w:pPr>
      <w:r>
        <w:rPr>
          <w:rFonts w:ascii="Times New Roman" w:hAnsi="Times New Roman" w:eastAsia="Times New Roman"/>
          <w:color w:val="000000"/>
        </w:rPr>
        <w:t>3. Acidic core degradation overwhelming shell barrier</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**Degradation too fast**:</w:t>
      </w:r>
    </w:p>
    <w:p>
      <w:pPr>
        <w:spacing w:line="360" w:lineRule="auto"/>
        <w:jc w:val="both"/>
      </w:pPr>
      <w:r>
        <w:rPr>
          <w:rFonts w:ascii="Times New Roman" w:hAnsi="Times New Roman" w:eastAsia="Times New Roman"/>
          <w:color w:val="000000"/>
          <w:sz w:val="24"/>
        </w:rPr>
        <w:t>- Increase shell thickness or crystallinity</w:t>
      </w:r>
    </w:p>
    <w:p>
      <w:pPr>
        <w:spacing w:line="360" w:lineRule="auto"/>
        <w:jc w:val="both"/>
      </w:pPr>
      <w:r>
        <w:rPr>
          <w:rFonts w:ascii="Times New Roman" w:hAnsi="Times New Roman" w:eastAsia="Times New Roman"/>
          <w:color w:val="000000"/>
          <w:sz w:val="24"/>
        </w:rPr>
        <w:t>- Add hydrophobic additives to shell</w:t>
      </w:r>
    </w:p>
    <w:p>
      <w:pPr>
        <w:spacing w:line="360" w:lineRule="auto"/>
        <w:jc w:val="both"/>
      </w:pPr>
      <w:r>
        <w:rPr>
          <w:rFonts w:ascii="Times New Roman" w:hAnsi="Times New Roman" w:eastAsia="Times New Roman"/>
          <w:color w:val="000000"/>
          <w:sz w:val="24"/>
        </w:rPr>
        <w:t>- **Stiffness too low**:</w:t>
      </w:r>
    </w:p>
    <w:p>
      <w:pPr>
        <w:spacing w:line="360" w:lineRule="auto"/>
        <w:jc w:val="both"/>
      </w:pPr>
      <w:r>
        <w:rPr>
          <w:rFonts w:ascii="Times New Roman" w:hAnsi="Times New Roman" w:eastAsia="Times New Roman"/>
          <w:color w:val="000000"/>
          <w:sz w:val="24"/>
        </w:rPr>
        <w:t>- Increase core fraction or molecular weight</w:t>
      </w:r>
    </w:p>
    <w:p>
      <w:pPr>
        <w:spacing w:line="360" w:lineRule="auto"/>
        <w:jc w:val="both"/>
      </w:pPr>
      <w:r>
        <w:rPr>
          <w:rFonts w:ascii="Times New Roman" w:hAnsi="Times New Roman" w:eastAsia="Times New Roman"/>
          <w:color w:val="000000"/>
          <w:sz w:val="24"/>
        </w:rPr>
        <w:t>- Use stiffer shell polymers (e.g., PLLA-grafted)</w:t>
      </w:r>
    </w:p>
    <w:p>
      <w:pPr>
        <w:spacing w:line="360" w:lineRule="auto"/>
        <w:jc w:val="both"/>
      </w:pPr>
      <w:r>
        <w:rPr>
          <w:rFonts w:ascii="Times New Roman" w:hAnsi="Times New Roman" w:eastAsia="Times New Roman"/>
          <w:color w:val="000000"/>
          <w:sz w:val="24"/>
        </w:rPr>
        <w:t>- **Toughness inadequate**:</w:t>
      </w:r>
    </w:p>
    <w:p>
      <w:pPr>
        <w:spacing w:line="360" w:lineRule="auto"/>
        <w:jc w:val="both"/>
      </w:pPr>
      <w:r>
        <w:rPr>
          <w:rFonts w:ascii="Times New Roman" w:hAnsi="Times New Roman" w:eastAsia="Times New Roman"/>
          <w:color w:val="000000"/>
          <w:sz w:val="24"/>
        </w:rPr>
        <w:t>- Optimize rubber core crosslink density [3]</w:t>
      </w:r>
    </w:p>
    <w:p>
      <w:pPr>
        <w:spacing w:line="360" w:lineRule="auto"/>
        <w:jc w:val="both"/>
      </w:pPr>
      <w:r>
        <w:rPr>
          <w:rFonts w:ascii="Times New Roman" w:hAnsi="Times New Roman" w:eastAsia="Times New Roman"/>
          <w:color w:val="000000"/>
          <w:sz w:val="24"/>
        </w:rPr>
        <w:t>- Introduce energy-dissipating moieties</w:t>
      </w:r>
    </w:p>
    <w:p>
      <w:pPr>
        <w:spacing w:line="360" w:lineRule="auto"/>
        <w:jc w:val="both"/>
      </w:pPr>
      <w:r>
        <w:rPr>
          <w:rFonts w:ascii="Times New Roman" w:hAnsi="Times New Roman" w:eastAsia="Times New Roman"/>
          <w:color w:val="000000"/>
          <w:sz w:val="24"/>
        </w:rPr>
        <w:t>- **Biocompatibility issues**:</w:t>
      </w:r>
    </w:p>
    <w:p>
      <w:pPr>
        <w:spacing w:line="360" w:lineRule="auto"/>
        <w:jc w:val="both"/>
      </w:pPr>
      <w:r>
        <w:rPr>
          <w:rFonts w:ascii="Times New Roman" w:hAnsi="Times New Roman" w:eastAsia="Times New Roman"/>
          <w:color w:val="000000"/>
          <w:sz w:val="24"/>
        </w:rPr>
        <w:t>- Surface-graft bioactive molecules</w:t>
      </w:r>
    </w:p>
    <w:p>
      <w:pPr>
        <w:spacing w:line="360" w:lineRule="auto"/>
        <w:jc w:val="both"/>
      </w:pPr>
      <w:r>
        <w:rPr>
          <w:rFonts w:ascii="Times New Roman" w:hAnsi="Times New Roman" w:eastAsia="Times New Roman"/>
          <w:color w:val="000000"/>
          <w:sz w:val="24"/>
        </w:rPr>
        <w:t>- Incorporate buffering agents</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core-shell polyester blend concept demonstrates strong mechanistic plausibility for implant applications requiring controlled mechanical degradation. While literature confirms core-shell efficacy in toughness enhancement [2, 3] and degradation modulation [1, 8], direct evidence for strength retention during hydrolysis remains limited. The design warrants experimental validation, prioritizing interfacial optimization and degradation-coupled mechanical testing. The highest-priority experiment involves rheological monitoring of G'/G'' transitions during tensile loading in hydrolytic conditions [5]. With strategic material selection, this approach could significantly advance biodegradable implant performance.</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101002_pol20210858</w:t>
      </w:r>
    </w:p>
    <w:p>
      <w:pPr>
        <w:spacing w:line="360" w:lineRule="auto"/>
        <w:jc w:val="both"/>
      </w:pPr>
      <w:r>
        <w:rPr>
          <w:rFonts w:ascii="Times New Roman" w:hAnsi="Times New Roman" w:eastAsia="Times New Roman"/>
          <w:color w:val="000000"/>
          <w:sz w:val="24"/>
        </w:rPr>
        <w:t>- [2] 101002_mame202100021</w:t>
      </w:r>
    </w:p>
    <w:p>
      <w:pPr>
        <w:spacing w:line="360" w:lineRule="auto"/>
        <w:jc w:val="both"/>
      </w:pPr>
      <w:r>
        <w:rPr>
          <w:rFonts w:ascii="Times New Roman" w:hAnsi="Times New Roman" w:eastAsia="Times New Roman"/>
          <w:color w:val="000000"/>
          <w:sz w:val="24"/>
        </w:rPr>
        <w:t>- [3] 101002_app42554</w:t>
      </w:r>
    </w:p>
    <w:p>
      <w:pPr>
        <w:spacing w:line="360" w:lineRule="auto"/>
        <w:jc w:val="both"/>
      </w:pPr>
      <w:r>
        <w:rPr>
          <w:rFonts w:ascii="Times New Roman" w:hAnsi="Times New Roman" w:eastAsia="Times New Roman"/>
          <w:color w:val="000000"/>
          <w:sz w:val="24"/>
        </w:rPr>
        <w:t>- [4] 101002_mame202000230</w:t>
      </w:r>
    </w:p>
    <w:p>
      <w:pPr>
        <w:spacing w:line="360" w:lineRule="auto"/>
        <w:jc w:val="both"/>
      </w:pPr>
      <w:r>
        <w:rPr>
          <w:rFonts w:ascii="Times New Roman" w:hAnsi="Times New Roman" w:eastAsia="Times New Roman"/>
          <w:color w:val="000000"/>
          <w:sz w:val="24"/>
        </w:rPr>
        <w:t>- [5] 101016_jpolymdegradstab2025111531</w:t>
      </w:r>
    </w:p>
    <w:p>
      <w:pPr>
        <w:spacing w:line="360" w:lineRule="auto"/>
        <w:jc w:val="both"/>
      </w:pPr>
      <w:r>
        <w:rPr>
          <w:rFonts w:ascii="Times New Roman" w:hAnsi="Times New Roman" w:eastAsia="Times New Roman"/>
          <w:color w:val="000000"/>
          <w:sz w:val="24"/>
        </w:rPr>
        <w:t>- [6] 101016_jcolsurfb201708056</w:t>
      </w:r>
    </w:p>
    <w:p>
      <w:pPr>
        <w:spacing w:line="360" w:lineRule="auto"/>
        <w:jc w:val="both"/>
      </w:pPr>
      <w:r>
        <w:rPr>
          <w:rFonts w:ascii="Times New Roman" w:hAnsi="Times New Roman" w:eastAsia="Times New Roman"/>
          <w:color w:val="000000"/>
          <w:sz w:val="24"/>
        </w:rPr>
        <w:t>- [7] 101039_b9py00226j</w:t>
      </w:r>
    </w:p>
    <w:p>
      <w:pPr>
        <w:spacing w:line="360" w:lineRule="auto"/>
        <w:jc w:val="both"/>
      </w:pPr>
      <w:r>
        <w:rPr>
          <w:rFonts w:ascii="Times New Roman" w:hAnsi="Times New Roman" w:eastAsia="Times New Roman"/>
          <w:color w:val="000000"/>
          <w:sz w:val="24"/>
        </w:rPr>
        <w:t>- [8] 101016_jpolymer2025128330</w:t>
      </w:r>
    </w:p>
    <w:p>
      <w:pPr>
        <w:spacing w:line="360" w:lineRule="auto"/>
        <w:jc w:val="both"/>
      </w:pPr>
      <w:r>
        <w:rPr>
          <w:rFonts w:ascii="Times New Roman" w:hAnsi="Times New Roman" w:eastAsia="Times New Roman"/>
          <w:color w:val="000000"/>
          <w:sz w:val="24"/>
        </w:rPr>
        <w:t>- [9] 101002_mabi202100177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