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olor w:val="000000"/>
        </w:rPr>
        <w:t>Design of Sterically Hindered Monomer-Incorporated Biodegradable Polyesters for Enhanced Thermal Resistance without Compromised Degradation Kinetics</w:t>
      </w:r>
    </w:p>
    <w:p>
      <w:pPr>
        <w:pStyle w:val="Heading2"/>
      </w:pPr>
      <w:r>
        <w:rPr>
          <w:rFonts w:ascii="Times New Roman" w:hAnsi="Times New Roman" w:eastAsia="Times New Roman"/>
          <w:color w:val="000000"/>
        </w:rPr>
        <w:t>Abstract</w:t>
      </w:r>
    </w:p>
    <w:p>
      <w:pPr>
        <w:spacing w:line="360" w:lineRule="auto"/>
        <w:jc w:val="both"/>
      </w:pPr>
      <w:r>
        <w:rPr>
          <w:rFonts w:ascii="Times New Roman" w:hAnsi="Times New Roman" w:eastAsia="Times New Roman"/>
          <w:color w:val="000000"/>
          <w:sz w:val="24"/>
        </w:rPr>
        <w:t>This study proposes a biodegradable polyester design incorporating sterically hindered monomers to elevate glass transition temperature (Tg) while preserving degradation kinetics. Mechanistic evidence indicates that rigid bicyclic structures (e.g., isosorbide) restrict chain mobility, increasing Tg by 40-100°C in aliphatic polyesters [1, 2, 3]. However, literature reveals an inherent trade-off: Tg elevation suppresses enzymatic hydrolysis rates due to reduced chain mobility in amorphous domains [4, 5]. The experimental route involves synthesizing poly(butylene succinate-co-isosorbide succinate) copolymers with 0-40 mol% isosorbide, characterizing thermal/structural properties, and evaluating degradation under enzymatic/hydrolytic conditions. Key risks include suppressed degradation at high isosorbide loadings and molecular weight limitations [3]. Preliminary evidence suggests optimal performance may occur at intermediate compositions (10-20 mol% isosorbide), balancing thermal and degradation requirements.</w:t>
      </w:r>
    </w:p>
    <w:p>
      <w:pPr>
        <w:pStyle w:val="Heading2"/>
      </w:pPr>
      <w:r>
        <w:rPr>
          <w:rFonts w:ascii="Times New Roman" w:hAnsi="Times New Roman" w:eastAsia="Times New Roman"/>
          <w:color w:val="000000"/>
        </w:rPr>
        <w:t>Graphical Repeat-Unit Representation</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docx_test_idea3_Sterically_Hindered_Monomers_repeat_unit.png"/>
                    <pic:cNvPicPr/>
                  </pic:nvPicPr>
                  <pic:blipFill>
                    <a:blip r:embed="rId9"/>
                    <a:stretch>
                      <a:fillRect/>
                    </a:stretch>
                  </pic:blipFill>
                  <pic:spPr>
                    <a:xfrm>
                      <a:off x="0" y="0"/>
                      <a:ext cx="5303520" cy="3182112"/>
                    </a:xfrm>
                    <a:prstGeom prst="rect"/>
                  </pic:spPr>
                </pic:pic>
              </a:graphicData>
            </a:graphic>
          </wp:inline>
        </w:drawing>
      </w:r>
    </w:p>
    <w:p>
      <w:pPr>
        <w:jc w:val="center"/>
      </w:pPr>
      <w:r>
        <w:rPr>
          <w:rFonts w:ascii="Times New Roman" w:hAnsi="Times New Roman" w:eastAsia="Times New Roman"/>
          <w:i/>
          <w:sz w:val="20"/>
        </w:rPr>
        <w:t>Representative repeat-unit schematic</w:t>
      </w:r>
    </w:p>
    <w:p>
      <w:pPr>
        <w:spacing w:line="360" w:lineRule="auto"/>
        <w:jc w:val="both"/>
      </w:pPr>
      <w:r>
        <w:rPr>
          <w:rFonts w:ascii="Times New Roman" w:hAnsi="Times New Roman" w:eastAsia="Times New Roman"/>
          <w:color w:val="000000"/>
          <w:sz w:val="24"/>
        </w:rPr>
        <w:t>**Figure.** Representative polymer-structure schematic of poly(butylene succinate-co-isosorbide succinate) with variable isosorbide content.</w:t>
      </w:r>
    </w:p>
    <w:p>
      <w:pPr>
        <w:spacing w:line="360" w:lineRule="auto"/>
        <w:jc w:val="both"/>
      </w:pPr>
      <w:r>
        <w:rPr>
          <w:rFonts w:ascii="Times New Roman" w:hAnsi="Times New Roman" w:eastAsia="Times New Roman"/>
          <w:color w:val="000000"/>
          <w:sz w:val="24"/>
        </w:rPr>
        <w:t>Structure confidence: high. Architecture: random copolymer. Composition note: isosorbide mol%: TBD. Dictionary/RDKit validation: 1/1 mapped structure(s) validated.</w:t>
      </w:r>
    </w:p>
    <w:p>
      <w:pPr>
        <w:pStyle w:val="Heading2"/>
      </w:pPr>
      <w:r>
        <w:rPr>
          <w:rFonts w:ascii="Times New Roman" w:hAnsi="Times New Roman" w:eastAsia="Times New Roman"/>
          <w:color w:val="000000"/>
        </w:rPr>
        <w:t>1. Introduction</w:t>
      </w:r>
    </w:p>
    <w:p>
      <w:pPr>
        <w:pStyle w:val="Heading3"/>
      </w:pPr>
      <w:r>
        <w:rPr>
          <w:rFonts w:ascii="Times New Roman" w:hAnsi="Times New Roman" w:eastAsia="Times New Roman"/>
          <w:color w:val="000000"/>
        </w:rPr>
        <w:t>1.1 Scientific Background</w:t>
      </w:r>
    </w:p>
    <w:p>
      <w:pPr>
        <w:spacing w:line="360" w:lineRule="auto"/>
        <w:jc w:val="both"/>
      </w:pPr>
      <w:r>
        <w:rPr>
          <w:rFonts w:ascii="Times New Roman" w:hAnsi="Times New Roman" w:eastAsia="Times New Roman"/>
          <w:color w:val="000000"/>
          <w:sz w:val="24"/>
        </w:rPr>
        <w:t>Biodegradable polyesters like poly(butylene succinate) (PBS) face limitations in high-temperature applications due to low Tg (-30°C to 0°C) [1, 6]. Enhancing heat resistance typically suppresses degradation kinetics through increased crystallinity or reduced chain mobility [4, 5], creating a fundamental design challenge.</w:t>
      </w:r>
    </w:p>
    <w:p>
      <w:pPr>
        <w:pStyle w:val="Heading3"/>
      </w:pPr>
      <w:r>
        <w:rPr>
          <w:rFonts w:ascii="Times New Roman" w:hAnsi="Times New Roman" w:eastAsia="Times New Roman"/>
          <w:color w:val="000000"/>
        </w:rPr>
        <w:t>1.2 Design Hypothesis</w:t>
      </w:r>
    </w:p>
    <w:p>
      <w:pPr>
        <w:spacing w:line="360" w:lineRule="auto"/>
        <w:jc w:val="both"/>
      </w:pPr>
      <w:r>
        <w:rPr>
          <w:rFonts w:ascii="Times New Roman" w:hAnsi="Times New Roman" w:eastAsia="Times New Roman"/>
          <w:color w:val="000000"/>
          <w:sz w:val="24"/>
        </w:rPr>
        <w:t>Incorporating sterically hindered monomers (e.g., isosorbide) will increase Tg via restricted chain mobility while maintaining biodegradability through hydrolytically labile ester bonds. The rigidity-degradation trade-off can be mitigated by optimizing monomer stoichiometry to avoid excessive crystallinity.</w:t>
      </w:r>
    </w:p>
    <w:p>
      <w:pPr>
        <w:pStyle w:val="Heading3"/>
      </w:pPr>
      <w:r>
        <w:rPr>
          <w:rFonts w:ascii="Times New Roman" w:hAnsi="Times New Roman" w:eastAsia="Times New Roman"/>
          <w:color w:val="000000"/>
        </w:rPr>
        <w:t>1.3 Scope of This Study</w:t>
      </w:r>
    </w:p>
    <w:p>
      <w:pPr>
        <w:spacing w:line="360" w:lineRule="auto"/>
        <w:jc w:val="both"/>
      </w:pPr>
      <w:r>
        <w:rPr>
          <w:rFonts w:ascii="Times New Roman" w:hAnsi="Times New Roman" w:eastAsia="Times New Roman"/>
          <w:color w:val="000000"/>
          <w:sz w:val="24"/>
        </w:rPr>
        <w:t>Direct evidence supports Tg elevation using isosorbide [1, 2, 3] and degradation suppression by high Tg/T_m [4, 5]. Experimental validation is required for: 1) Copolymer degradation kinetics, 2) Optimal isosorbide content balancing Tg and degradation, and 3) Melt-processability of high-Tg compositions.</w:t>
      </w:r>
    </w:p>
    <w:p>
      <w:pPr>
        <w:pStyle w:val="Heading2"/>
      </w:pPr>
      <w:r>
        <w:rPr>
          <w:rFonts w:ascii="Times New Roman" w:hAnsi="Times New Roman" w:eastAsia="Times New Roman"/>
          <w:color w:val="000000"/>
        </w:rPr>
        <w:t>2. Mechanistic Rationale and Design Hypothesis</w:t>
      </w:r>
    </w:p>
    <w:p>
      <w:pPr>
        <w:pStyle w:val="Heading3"/>
      </w:pPr>
      <w:r>
        <w:rPr>
          <w:rFonts w:ascii="Times New Roman" w:hAnsi="Times New Roman" w:eastAsia="Times New Roman"/>
          <w:color w:val="000000"/>
        </w:rPr>
        <w:t>2.1 Mechanistic Basis</w:t>
      </w:r>
    </w:p>
    <w:p>
      <w:pPr>
        <w:spacing w:line="360" w:lineRule="auto"/>
        <w:jc w:val="both"/>
      </w:pPr>
      <w:r>
        <w:rPr>
          <w:rFonts w:ascii="Times New Roman" w:hAnsi="Times New Roman" w:eastAsia="Times New Roman"/>
          <w:color w:val="000000"/>
          <w:sz w:val="24"/>
        </w:rPr>
        <w:t>Sterically hindered monomers like isosorbide introduce conformational rigidity, restricting segmental motion and elevating Tg by 40-100°C in aliphatic polyesters [1, 2, 3]. Isosorbide-based polyesters achieve Tg up to 146°C while remaining biodegradable [3]. Degradation occurs preferentially in amorphous regions via enzyme-mediated hydrolysis, with kinetics inversely correlated to Tg due to reduced chain mobility limiting enzyme-substrate complex formation [4, 5].</w:t>
      </w:r>
    </w:p>
    <w:p>
      <w:pPr>
        <w:pStyle w:val="Heading3"/>
      </w:pPr>
      <w:r>
        <w:rPr>
          <w:rFonts w:ascii="Times New Roman" w:hAnsi="Times New Roman" w:eastAsia="Times New Roman"/>
          <w:color w:val="000000"/>
        </w:rPr>
        <w:t>2.2 Evidence-Supported Design Rules</w:t>
      </w:r>
    </w:p>
    <w:p>
      <w:pPr>
        <w:spacing w:line="360" w:lineRule="auto"/>
        <w:jc w:val="both"/>
      </w:pPr>
      <w:r>
        <w:rPr>
          <w:rFonts w:ascii="Times New Roman" w:hAnsi="Times New Roman" w:eastAsia="Times New Roman"/>
          <w:color w:val="000000"/>
          <w:sz w:val="24"/>
        </w:rPr>
        <w:t>- **Thermal Properties**: Tg increases linearly with isosorbide content [1, 2, 3]</w:t>
      </w:r>
    </w:p>
    <w:p>
      <w:pPr>
        <w:spacing w:line="360" w:lineRule="auto"/>
        <w:jc w:val="both"/>
      </w:pPr>
      <w:r>
        <w:rPr>
          <w:rFonts w:ascii="Times New Roman" w:hAnsi="Times New Roman" w:eastAsia="Times New Roman"/>
          <w:color w:val="000000"/>
          <w:sz w:val="24"/>
        </w:rPr>
        <w:t>- **Degradation**: Hydrolysis rate decreases exponentially with Tg elevation [4, 5]</w:t>
      </w:r>
    </w:p>
    <w:p>
      <w:pPr>
        <w:spacing w:line="360" w:lineRule="auto"/>
        <w:jc w:val="both"/>
      </w:pPr>
      <w:r>
        <w:rPr>
          <w:rFonts w:ascii="Times New Roman" w:hAnsi="Times New Roman" w:eastAsia="Times New Roman"/>
          <w:color w:val="000000"/>
          <w:sz w:val="24"/>
        </w:rPr>
        <w:t>- **Biocompatibility**: No direct evidence; requires experimental validation</w:t>
      </w:r>
    </w:p>
    <w:p>
      <w:pPr>
        <w:spacing w:line="360" w:lineRule="auto"/>
        <w:jc w:val="both"/>
      </w:pPr>
      <w:r>
        <w:rPr>
          <w:rFonts w:ascii="Times New Roman" w:hAnsi="Times New Roman" w:eastAsia="Times New Roman"/>
          <w:color w:val="000000"/>
          <w:sz w:val="24"/>
        </w:rPr>
        <w:t>- **Structural Control**: Crystallinity modulation via copolymerization critical for degradation kinetics [5, 6]</w:t>
      </w:r>
    </w:p>
    <w:p>
      <w:pPr>
        <w:pStyle w:val="Heading3"/>
      </w:pPr>
      <w:r>
        <w:rPr>
          <w:rFonts w:ascii="Times New Roman" w:hAnsi="Times New Roman" w:eastAsia="Times New Roman"/>
          <w:color w:val="000000"/>
        </w:rPr>
        <w:t>2.3 Trade-Offs and Constraints</w:t>
      </w:r>
    </w:p>
    <w:p>
      <w:pPr>
        <w:spacing w:line="360" w:lineRule="auto"/>
        <w:jc w:val="both"/>
      </w:pPr>
      <w:r>
        <w:rPr>
          <w:rFonts w:ascii="Times New Roman" w:hAnsi="Times New Roman" w:eastAsia="Times New Roman"/>
          <w:color w:val="000000"/>
          <w:sz w:val="24"/>
        </w:rPr>
        <w:t>High isosorbide content (&gt;30 mol%) elevates Tg but may: 1) Reduce molecular weight during synthesis [3], 2) Increase crystallinity, slowing degradation [4], and 3) Narrow melt-processing windows. Optimal compositions likely balance rigidity with sufficient chain mobility for enzymatic access.</w:t>
      </w:r>
    </w:p>
    <w:p>
      <w:pPr>
        <w:pStyle w:val="Heading2"/>
      </w:pPr>
      <w:r>
        <w:rPr>
          <w:rFonts w:ascii="Times New Roman" w:hAnsi="Times New Roman" w:eastAsia="Times New Roman"/>
          <w:color w:val="000000"/>
        </w:rPr>
        <w:t>3. Materials and Methods</w:t>
      </w:r>
    </w:p>
    <w:p>
      <w:pPr>
        <w:pStyle w:val="Heading3"/>
      </w:pPr>
      <w:r>
        <w:rPr>
          <w:rFonts w:ascii="Times New Roman" w:hAnsi="Times New Roman" w:eastAsia="Times New Roman"/>
          <w:color w:val="000000"/>
        </w:rPr>
        <w:t>3.1 Material System and Variable Definition</w:t>
      </w:r>
    </w:p>
    <w:p>
      <w:pPr>
        <w:spacing w:line="360" w:lineRule="auto"/>
        <w:jc w:val="both"/>
      </w:pPr>
      <w:r>
        <w:rPr>
          <w:rFonts w:ascii="Times New Roman" w:hAnsi="Times New Roman" w:eastAsia="Times New Roman"/>
          <w:color w:val="000000"/>
          <w:sz w:val="24"/>
        </w:rPr>
        <w:t>- **Base System**: Poly(butylene succinate-co-isosorbide succinate)</w:t>
      </w:r>
    </w:p>
    <w:p>
      <w:pPr>
        <w:spacing w:line="360" w:lineRule="auto"/>
        <w:jc w:val="both"/>
      </w:pPr>
      <w:r>
        <w:rPr>
          <w:rFonts w:ascii="Times New Roman" w:hAnsi="Times New Roman" w:eastAsia="Times New Roman"/>
          <w:color w:val="000000"/>
          <w:sz w:val="24"/>
        </w:rPr>
        <w:t>- **Primary Variable**: Isosorbide molar fraction in diol component (0, 10, 20, 30, 40%)</w:t>
      </w:r>
    </w:p>
    <w:p>
      <w:pPr>
        <w:spacing w:line="360" w:lineRule="auto"/>
        <w:jc w:val="both"/>
      </w:pPr>
      <w:r>
        <w:rPr>
          <w:rFonts w:ascii="Times New Roman" w:hAnsi="Times New Roman" w:eastAsia="Times New Roman"/>
          <w:color w:val="000000"/>
          <w:sz w:val="24"/>
        </w:rPr>
        <w:t>- **Fixed Components**: Succinic acid (100 mol%), catalyst (titanium butoxide)</w:t>
      </w:r>
    </w:p>
    <w:p>
      <w:pPr>
        <w:spacing w:line="360" w:lineRule="auto"/>
        <w:jc w:val="both"/>
      </w:pPr>
      <w:r>
        <w:rPr>
          <w:rFonts w:ascii="Times New Roman" w:hAnsi="Times New Roman" w:eastAsia="Times New Roman"/>
          <w:color w:val="000000"/>
          <w:sz w:val="24"/>
        </w:rPr>
        <w:t>- **Unknowns**: Optimal copolymer sequence distribution, crystallization kinetics</w:t>
      </w:r>
    </w:p>
    <w:p>
      <w:pPr>
        <w:pStyle w:val="Heading3"/>
      </w:pPr>
      <w:r>
        <w:rPr>
          <w:rFonts w:ascii="Times New Roman" w:hAnsi="Times New Roman" w:eastAsia="Times New Roman"/>
          <w:color w:val="000000"/>
        </w:rPr>
        <w:t>3.2 Formulation / Sample Matrix Design</w:t>
      </w:r>
    </w:p>
    <w:p>
      <w:pPr>
        <w:spacing w:line="360" w:lineRule="auto"/>
        <w:jc w:val="both"/>
      </w:pPr>
      <w:r>
        <w:rPr>
          <w:rFonts w:ascii="Times New Roman" w:hAnsi="Times New Roman" w:eastAsia="Times New Roman"/>
          <w:color w:val="000000"/>
          <w:sz w:val="24"/>
        </w:rPr>
        <w:t>| Sample | Isosorbide (mol%) | Butanediol (mol%) | Purpose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PBS | 0 | 100 | Baseline control |</w:t>
      </w:r>
    </w:p>
    <w:p>
      <w:pPr>
        <w:spacing w:line="360" w:lineRule="auto"/>
        <w:jc w:val="both"/>
      </w:pPr>
      <w:r>
        <w:rPr>
          <w:rFonts w:ascii="Times New Roman" w:hAnsi="Times New Roman" w:eastAsia="Times New Roman"/>
          <w:color w:val="000000"/>
          <w:sz w:val="24"/>
        </w:rPr>
        <w:t>| PIS10 | 10 | 90 | Low-hindrance test |</w:t>
      </w:r>
    </w:p>
    <w:p>
      <w:pPr>
        <w:spacing w:line="360" w:lineRule="auto"/>
        <w:jc w:val="both"/>
      </w:pPr>
      <w:r>
        <w:rPr>
          <w:rFonts w:ascii="Times New Roman" w:hAnsi="Times New Roman" w:eastAsia="Times New Roman"/>
          <w:color w:val="000000"/>
          <w:sz w:val="24"/>
        </w:rPr>
        <w:t>| PIS20 | 20 | 80 | Target balance zone |</w:t>
      </w:r>
    </w:p>
    <w:p>
      <w:pPr>
        <w:spacing w:line="360" w:lineRule="auto"/>
        <w:jc w:val="both"/>
      </w:pPr>
      <w:r>
        <w:rPr>
          <w:rFonts w:ascii="Times New Roman" w:hAnsi="Times New Roman" w:eastAsia="Times New Roman"/>
          <w:color w:val="000000"/>
          <w:sz w:val="24"/>
        </w:rPr>
        <w:t>| PIS30 | 30 | 70 | High-hindrance test |</w:t>
      </w:r>
    </w:p>
    <w:p>
      <w:pPr>
        <w:spacing w:line="360" w:lineRule="auto"/>
        <w:jc w:val="both"/>
      </w:pPr>
      <w:r>
        <w:rPr>
          <w:rFonts w:ascii="Times New Roman" w:hAnsi="Times New Roman" w:eastAsia="Times New Roman"/>
          <w:color w:val="000000"/>
          <w:sz w:val="24"/>
        </w:rPr>
        <w:t>| PIS40 | 40 | 60 | Degradation risk assessment |</w:t>
      </w:r>
    </w:p>
    <w:p>
      <w:pPr>
        <w:pStyle w:val="Heading3"/>
      </w:pPr>
      <w:r>
        <w:rPr>
          <w:rFonts w:ascii="Times New Roman" w:hAnsi="Times New Roman" w:eastAsia="Times New Roman"/>
          <w:color w:val="000000"/>
        </w:rPr>
        <w:t>3.3 Sample Preparation / Fabrication Procedure</w:t>
      </w:r>
    </w:p>
    <w:p>
      <w:pPr>
        <w:pStyle w:val="Heading2"/>
      </w:pPr>
      <w:r>
        <w:rPr>
          <w:rFonts w:ascii="Times New Roman" w:hAnsi="Times New Roman" w:eastAsia="Times New Roman"/>
          <w:color w:val="000000"/>
        </w:rPr>
        <w:t>1. **Monomer Mixing**: Charge succinic acid, butanediol/isosorbide mixture (1.05:1 diol:diacid ratio), and 200 ppm Ti(OBu)_4</w:t>
      </w:r>
    </w:p>
    <w:p>
      <w:pPr>
        <w:pStyle w:val="Heading2"/>
      </w:pPr>
      <w:r>
        <w:rPr>
          <w:rFonts w:ascii="Times New Roman" w:hAnsi="Times New Roman" w:eastAsia="Times New Roman"/>
          <w:color w:val="000000"/>
        </w:rPr>
        <w:t>2. **Esterification**: 180°C under N_2 for 2 hr (water removal monitored)</w:t>
      </w:r>
    </w:p>
    <w:p>
      <w:pPr>
        <w:pStyle w:val="Heading2"/>
      </w:pPr>
      <w:r>
        <w:rPr>
          <w:rFonts w:ascii="Times New Roman" w:hAnsi="Times New Roman" w:eastAsia="Times New Roman"/>
          <w:color w:val="000000"/>
        </w:rPr>
        <w:t>3. **Polycondensation**: 220°C at &lt;1 mbar for 3 hr with mechanical stirring</w:t>
      </w:r>
    </w:p>
    <w:p>
      <w:pPr>
        <w:pStyle w:val="Heading2"/>
      </w:pPr>
      <w:r>
        <w:rPr>
          <w:rFonts w:ascii="Times New Roman" w:hAnsi="Times New Roman" w:eastAsia="Times New Roman"/>
          <w:color w:val="000000"/>
        </w:rPr>
        <w:t>4. **Quenching**: Rapid cooling in liquid N_2 to minimize crystallization</w:t>
      </w:r>
    </w:p>
    <w:p>
      <w:pPr>
        <w:pStyle w:val="Heading2"/>
      </w:pPr>
      <w:r>
        <w:rPr>
          <w:rFonts w:ascii="Times New Roman" w:hAnsi="Times New Roman" w:eastAsia="Times New Roman"/>
          <w:color w:val="000000"/>
        </w:rPr>
        <w:t>5. **Annealing**: Subset samples at T_m-20°C for crystallinity control</w:t>
      </w:r>
    </w:p>
    <w:p>
      <w:pPr>
        <w:pStyle w:val="Heading3"/>
      </w:pPr>
      <w:r>
        <w:rPr>
          <w:rFonts w:ascii="Times New Roman" w:hAnsi="Times New Roman" w:eastAsia="Times New Roman"/>
          <w:color w:val="000000"/>
        </w:rPr>
        <w:t>3.4 Structural and Physicochemical Characterization</w:t>
      </w:r>
    </w:p>
    <w:p>
      <w:pPr>
        <w:spacing w:line="360" w:lineRule="auto"/>
        <w:jc w:val="both"/>
      </w:pPr>
      <w:r>
        <w:rPr>
          <w:rFonts w:ascii="Times New Roman" w:hAnsi="Times New Roman" w:eastAsia="Times New Roman"/>
          <w:color w:val="000000"/>
          <w:sz w:val="24"/>
        </w:rPr>
        <w:t>- **Molecular Weight**: GPC (DMF, 40°C) for M_n/M_w</w:t>
      </w:r>
    </w:p>
    <w:p>
      <w:pPr>
        <w:spacing w:line="360" w:lineRule="auto"/>
        <w:jc w:val="both"/>
      </w:pPr>
      <w:r>
        <w:rPr>
          <w:rFonts w:ascii="Times New Roman" w:hAnsi="Times New Roman" w:eastAsia="Times New Roman"/>
          <w:color w:val="000000"/>
          <w:sz w:val="24"/>
        </w:rPr>
        <w:t>- **Thermal Analysis**: DSC (10°C/min, N_2) for Tg, T_m, ΔH_f</w:t>
      </w:r>
    </w:p>
    <w:p>
      <w:pPr>
        <w:spacing w:line="360" w:lineRule="auto"/>
        <w:jc w:val="both"/>
      </w:pPr>
      <w:r>
        <w:rPr>
          <w:rFonts w:ascii="Times New Roman" w:hAnsi="Times New Roman" w:eastAsia="Times New Roman"/>
          <w:color w:val="000000"/>
          <w:sz w:val="24"/>
        </w:rPr>
        <w:t>- **Crystallinity**: XRD and DSC crystallinity calculations</w:t>
      </w:r>
    </w:p>
    <w:p>
      <w:pPr>
        <w:spacing w:line="360" w:lineRule="auto"/>
        <w:jc w:val="both"/>
      </w:pPr>
      <w:r>
        <w:rPr>
          <w:rFonts w:ascii="Times New Roman" w:hAnsi="Times New Roman" w:eastAsia="Times New Roman"/>
          <w:color w:val="000000"/>
          <w:sz w:val="24"/>
        </w:rPr>
        <w:t>- **Morphology**: Polarized optical microscopy for spherulite analysis</w:t>
      </w:r>
    </w:p>
    <w:p>
      <w:pPr>
        <w:pStyle w:val="Heading3"/>
      </w:pPr>
      <w:r>
        <w:rPr>
          <w:rFonts w:ascii="Times New Roman" w:hAnsi="Times New Roman" w:eastAsia="Times New Roman"/>
          <w:color w:val="000000"/>
        </w:rPr>
        <w:t>3.5 Mechanical Testing Protocol</w:t>
      </w:r>
    </w:p>
    <w:p>
      <w:pPr>
        <w:spacing w:line="360" w:lineRule="auto"/>
        <w:jc w:val="both"/>
      </w:pPr>
      <w:r>
        <w:rPr>
          <w:rFonts w:ascii="Times New Roman" w:hAnsi="Times New Roman" w:eastAsia="Times New Roman"/>
          <w:color w:val="000000"/>
          <w:sz w:val="24"/>
        </w:rPr>
        <w:t>- **Methods**: Tensile testing (ASTM D638) at 25°C and 60°C</w:t>
      </w:r>
    </w:p>
    <w:p>
      <w:pPr>
        <w:spacing w:line="360" w:lineRule="auto"/>
        <w:jc w:val="both"/>
      </w:pPr>
      <w:r>
        <w:rPr>
          <w:rFonts w:ascii="Times New Roman" w:hAnsi="Times New Roman" w:eastAsia="Times New Roman"/>
          <w:color w:val="000000"/>
          <w:sz w:val="24"/>
        </w:rPr>
        <w:t>- **Parameters**: Young's modulus, tensile strength, elongation at break</w:t>
      </w:r>
    </w:p>
    <w:p>
      <w:pPr>
        <w:spacing w:line="360" w:lineRule="auto"/>
        <w:jc w:val="both"/>
      </w:pPr>
      <w:r>
        <w:rPr>
          <w:rFonts w:ascii="Times New Roman" w:hAnsi="Times New Roman" w:eastAsia="Times New Roman"/>
          <w:color w:val="000000"/>
          <w:sz w:val="24"/>
        </w:rPr>
        <w:t>- **Conditioning**: 48 hr at 50% RH before testing</w:t>
      </w:r>
    </w:p>
    <w:p>
      <w:pPr>
        <w:pStyle w:val="Heading3"/>
      </w:pPr>
      <w:r>
        <w:rPr>
          <w:rFonts w:ascii="Times New Roman" w:hAnsi="Times New Roman" w:eastAsia="Times New Roman"/>
          <w:color w:val="000000"/>
        </w:rPr>
        <w:t>3.6 Degradation Evaluation Protocol</w:t>
      </w:r>
    </w:p>
    <w:p>
      <w:pPr>
        <w:spacing w:line="360" w:lineRule="auto"/>
        <w:jc w:val="both"/>
      </w:pPr>
      <w:r>
        <w:rPr>
          <w:rFonts w:ascii="Times New Roman" w:hAnsi="Times New Roman" w:eastAsia="Times New Roman"/>
          <w:color w:val="000000"/>
          <w:sz w:val="24"/>
        </w:rPr>
        <w:t>- **Enzymatic**: PBS buffer (pH 7.4) with 1 mg/mL lipase at 37°C</w:t>
      </w:r>
    </w:p>
    <w:p>
      <w:pPr>
        <w:spacing w:line="360" w:lineRule="auto"/>
        <w:jc w:val="both"/>
      </w:pPr>
      <w:r>
        <w:rPr>
          <w:rFonts w:ascii="Times New Roman" w:hAnsi="Times New Roman" w:eastAsia="Times New Roman"/>
          <w:color w:val="000000"/>
          <w:sz w:val="24"/>
        </w:rPr>
        <w:t>- **Hydrolytic**: PBS buffer (pH 7.4) at 60°C for accelerated testing</w:t>
      </w:r>
    </w:p>
    <w:p>
      <w:pPr>
        <w:spacing w:line="360" w:lineRule="auto"/>
        <w:jc w:val="both"/>
      </w:pPr>
      <w:r>
        <w:rPr>
          <w:rFonts w:ascii="Times New Roman" w:hAnsi="Times New Roman" w:eastAsia="Times New Roman"/>
          <w:color w:val="000000"/>
          <w:sz w:val="24"/>
        </w:rPr>
        <w:t>- **Metrics**: Mass loss (biweekly), M_n reduction (monthly), surface erosion via SEM</w:t>
      </w:r>
    </w:p>
    <w:p>
      <w:pPr>
        <w:spacing w:line="360" w:lineRule="auto"/>
        <w:jc w:val="both"/>
      </w:pPr>
      <w:r>
        <w:rPr>
          <w:rFonts w:ascii="Times New Roman" w:hAnsi="Times New Roman" w:eastAsia="Times New Roman"/>
          <w:color w:val="000000"/>
          <w:sz w:val="24"/>
        </w:rPr>
        <w:t>- **Duration**: Until &gt;50% mass loss or 6 months</w:t>
      </w:r>
    </w:p>
    <w:p>
      <w:pPr>
        <w:pStyle w:val="Heading3"/>
      </w:pPr>
      <w:r>
        <w:rPr>
          <w:rFonts w:ascii="Times New Roman" w:hAnsi="Times New Roman" w:eastAsia="Times New Roman"/>
          <w:color w:val="000000"/>
        </w:rPr>
        <w:t>3.7 Biocompatibility / Biofunction Evaluation</w:t>
      </w:r>
    </w:p>
    <w:p>
      <w:pPr>
        <w:spacing w:line="360" w:lineRule="auto"/>
        <w:jc w:val="both"/>
      </w:pPr>
      <w:r>
        <w:rPr>
          <w:rFonts w:ascii="Times New Roman" w:hAnsi="Times New Roman" w:eastAsia="Times New Roman"/>
          <w:color w:val="000000"/>
          <w:sz w:val="24"/>
        </w:rPr>
        <w:t>*Provisional due to limited evidence*:</w:t>
      </w:r>
    </w:p>
    <w:p>
      <w:pPr>
        <w:spacing w:line="360" w:lineRule="auto"/>
        <w:jc w:val="both"/>
      </w:pPr>
      <w:r>
        <w:rPr>
          <w:rFonts w:ascii="Times New Roman" w:hAnsi="Times New Roman" w:eastAsia="Times New Roman"/>
          <w:color w:val="000000"/>
          <w:sz w:val="24"/>
        </w:rPr>
        <w:t>- Cytotoxicity: MTT assay with L929 fibroblasts (ISO 10993-5)</w:t>
      </w:r>
    </w:p>
    <w:p>
      <w:pPr>
        <w:spacing w:line="360" w:lineRule="auto"/>
        <w:jc w:val="both"/>
      </w:pPr>
      <w:r>
        <w:rPr>
          <w:rFonts w:ascii="Times New Roman" w:hAnsi="Times New Roman" w:eastAsia="Times New Roman"/>
          <w:color w:val="000000"/>
          <w:sz w:val="24"/>
        </w:rPr>
        <w:t>- Degradation byproduct analysis: HPLC of buffer media</w:t>
      </w:r>
    </w:p>
    <w:p>
      <w:pPr>
        <w:pStyle w:val="Heading3"/>
      </w:pPr>
      <w:r>
        <w:rPr>
          <w:rFonts w:ascii="Times New Roman" w:hAnsi="Times New Roman" w:eastAsia="Times New Roman"/>
          <w:color w:val="000000"/>
        </w:rPr>
        <w:t>3.8 Controls, Decision Criteria, and Statistical Comparison</w:t>
      </w:r>
    </w:p>
    <w:p>
      <w:pPr>
        <w:spacing w:line="360" w:lineRule="auto"/>
        <w:jc w:val="both"/>
      </w:pPr>
      <w:r>
        <w:rPr>
          <w:rFonts w:ascii="Times New Roman" w:hAnsi="Times New Roman" w:eastAsia="Times New Roman"/>
          <w:color w:val="000000"/>
          <w:sz w:val="24"/>
        </w:rPr>
        <w:t>- **Controls**: Neat PBS (0% isosorbide), PCL reference</w:t>
      </w:r>
    </w:p>
    <w:p>
      <w:pPr>
        <w:spacing w:line="360" w:lineRule="auto"/>
        <w:jc w:val="both"/>
      </w:pPr>
      <w:r>
        <w:rPr>
          <w:rFonts w:ascii="Times New Roman" w:hAnsi="Times New Roman" w:eastAsia="Times New Roman"/>
          <w:color w:val="000000"/>
          <w:sz w:val="24"/>
        </w:rPr>
        <w:t>- **Success Criteria**: Tg ≥ 50°C with enzymatic degradation half-life ≤ 2× PBS control</w:t>
      </w:r>
    </w:p>
    <w:p>
      <w:pPr>
        <w:spacing w:line="360" w:lineRule="auto"/>
        <w:jc w:val="both"/>
      </w:pPr>
      <w:r>
        <w:rPr>
          <w:rFonts w:ascii="Times New Roman" w:hAnsi="Times New Roman" w:eastAsia="Times New Roman"/>
          <w:color w:val="000000"/>
          <w:sz w:val="24"/>
        </w:rPr>
        <w:t>- **Statistics**: n=5 replicates; ANOVA with Tukey post-hoc (p&lt;0.05)</w:t>
      </w:r>
    </w:p>
    <w:p>
      <w:pPr>
        <w:pStyle w:val="Heading2"/>
      </w:pPr>
      <w:r>
        <w:rPr>
          <w:rFonts w:ascii="Times New Roman" w:hAnsi="Times New Roman" w:eastAsia="Times New Roman"/>
          <w:color w:val="000000"/>
        </w:rPr>
        <w:t>4. Results and Evidence-Based Discussion</w:t>
      </w:r>
    </w:p>
    <w:p>
      <w:pPr>
        <w:pStyle w:val="Heading3"/>
      </w:pPr>
      <w:r>
        <w:rPr>
          <w:rFonts w:ascii="Times New Roman" w:hAnsi="Times New Roman" w:eastAsia="Times New Roman"/>
          <w:color w:val="000000"/>
        </w:rPr>
        <w:t>4.1 Directly Supported Expectations</w:t>
      </w:r>
    </w:p>
    <w:p>
      <w:pPr>
        <w:spacing w:line="360" w:lineRule="auto"/>
        <w:jc w:val="both"/>
      </w:pPr>
      <w:r>
        <w:rPr>
          <w:rFonts w:ascii="Times New Roman" w:hAnsi="Times New Roman" w:eastAsia="Times New Roman"/>
          <w:color w:val="000000"/>
          <w:sz w:val="24"/>
        </w:rPr>
        <w:t>- Tg elevation proportional to isosorbide content (20 mol% → ~60°C; 40 mol% → &gt;80°C) [1, 2, 3]</w:t>
      </w:r>
    </w:p>
    <w:p>
      <w:pPr>
        <w:spacing w:line="360" w:lineRule="auto"/>
        <w:jc w:val="both"/>
      </w:pPr>
      <w:r>
        <w:rPr>
          <w:rFonts w:ascii="Times New Roman" w:hAnsi="Times New Roman" w:eastAsia="Times New Roman"/>
          <w:color w:val="000000"/>
          <w:sz w:val="24"/>
        </w:rPr>
        <w:t>- Inverse correlation between Tg and enzymatic degradation rate [4, 5]</w:t>
      </w:r>
    </w:p>
    <w:p>
      <w:pPr>
        <w:spacing w:line="360" w:lineRule="auto"/>
        <w:jc w:val="both"/>
      </w:pPr>
      <w:r>
        <w:rPr>
          <w:rFonts w:ascii="Times New Roman" w:hAnsi="Times New Roman" w:eastAsia="Times New Roman"/>
          <w:color w:val="000000"/>
          <w:sz w:val="24"/>
        </w:rPr>
        <w:t>- Crystalline domains resist degradation more than amorphous regions [6]</w:t>
      </w:r>
    </w:p>
    <w:p>
      <w:pPr>
        <w:pStyle w:val="Heading3"/>
      </w:pPr>
      <w:r>
        <w:rPr>
          <w:rFonts w:ascii="Times New Roman" w:hAnsi="Times New Roman" w:eastAsia="Times New Roman"/>
          <w:color w:val="000000"/>
        </w:rPr>
        <w:t>4.2 Mechanistically Inferred Expectations</w:t>
      </w:r>
    </w:p>
    <w:p>
      <w:pPr>
        <w:spacing w:line="360" w:lineRule="auto"/>
        <w:jc w:val="both"/>
      </w:pPr>
      <w:r>
        <w:rPr>
          <w:rFonts w:ascii="Times New Roman" w:hAnsi="Times New Roman" w:eastAsia="Times New Roman"/>
          <w:color w:val="000000"/>
          <w:sz w:val="24"/>
        </w:rPr>
        <w:t>- Intermediate compositions (PIS20) may balance Tg elevation (50-70°C) and degradation kinetics</w:t>
      </w:r>
    </w:p>
    <w:p>
      <w:pPr>
        <w:spacing w:line="360" w:lineRule="auto"/>
        <w:jc w:val="both"/>
      </w:pPr>
      <w:r>
        <w:rPr>
          <w:rFonts w:ascii="Times New Roman" w:hAnsi="Times New Roman" w:eastAsia="Times New Roman"/>
          <w:color w:val="000000"/>
          <w:sz w:val="24"/>
        </w:rPr>
        <w:t>- Melt-processing feasible below 240°C based on isosorbide polyesters [3]</w:t>
      </w:r>
    </w:p>
    <w:p>
      <w:pPr>
        <w:spacing w:line="360" w:lineRule="auto"/>
        <w:jc w:val="both"/>
      </w:pPr>
      <w:r>
        <w:rPr>
          <w:rFonts w:ascii="Times New Roman" w:hAnsi="Times New Roman" w:eastAsia="Times New Roman"/>
          <w:color w:val="000000"/>
          <w:sz w:val="24"/>
        </w:rPr>
        <w:t>- Hydrolytic degradation at 60°C may show autocatalytic effects in thick sections</w:t>
      </w:r>
    </w:p>
    <w:p>
      <w:pPr>
        <w:pStyle w:val="Heading3"/>
      </w:pPr>
      <w:r>
        <w:rPr>
          <w:rFonts w:ascii="Times New Roman" w:hAnsi="Times New Roman" w:eastAsia="Times New Roman"/>
          <w:color w:val="000000"/>
        </w:rPr>
        <w:t>4.3 Evidence Gaps and Uncertainty</w:t>
      </w:r>
    </w:p>
    <w:p>
      <w:pPr>
        <w:spacing w:line="360" w:lineRule="auto"/>
        <w:jc w:val="both"/>
      </w:pPr>
      <w:r>
        <w:rPr>
          <w:rFonts w:ascii="Times New Roman" w:hAnsi="Times New Roman" w:eastAsia="Times New Roman"/>
          <w:color w:val="000000"/>
          <w:sz w:val="24"/>
        </w:rPr>
        <w:t>- No direct data on enzymatic degradation kinetics of isosorbide-containing copolymers</w:t>
      </w:r>
    </w:p>
    <w:p>
      <w:pPr>
        <w:spacing w:line="360" w:lineRule="auto"/>
        <w:jc w:val="both"/>
      </w:pPr>
      <w:r>
        <w:rPr>
          <w:rFonts w:ascii="Times New Roman" w:hAnsi="Times New Roman" w:eastAsia="Times New Roman"/>
          <w:color w:val="000000"/>
          <w:sz w:val="24"/>
        </w:rPr>
        <w:t>- Unknown melt stability during processing at target temperatures</w:t>
      </w:r>
    </w:p>
    <w:p>
      <w:pPr>
        <w:spacing w:line="360" w:lineRule="auto"/>
        <w:jc w:val="both"/>
      </w:pPr>
      <w:r>
        <w:rPr>
          <w:rFonts w:ascii="Times New Roman" w:hAnsi="Times New Roman" w:eastAsia="Times New Roman"/>
          <w:color w:val="000000"/>
          <w:sz w:val="24"/>
        </w:rPr>
        <w:t>- Long-term (&gt;6 month) degradation profile and byproduct accumulation uncharacterized</w:t>
      </w:r>
    </w:p>
    <w:p>
      <w:pPr>
        <w:pStyle w:val="Heading3"/>
      </w:pPr>
      <w:r>
        <w:rPr>
          <w:rFonts w:ascii="Times New Roman" w:hAnsi="Times New Roman" w:eastAsia="Times New Roman"/>
          <w:color w:val="000000"/>
        </w:rPr>
        <w:t>4.4 Comparison with Prior Systems</w:t>
      </w:r>
    </w:p>
    <w:p>
      <w:pPr>
        <w:spacing w:line="360" w:lineRule="auto"/>
        <w:jc w:val="both"/>
      </w:pPr>
      <w:r>
        <w:rPr>
          <w:rFonts w:ascii="Times New Roman" w:hAnsi="Times New Roman" w:eastAsia="Times New Roman"/>
          <w:color w:val="000000"/>
          <w:sz w:val="24"/>
        </w:rPr>
        <w:t>Compared to aromatic polyesters (Tg &gt;100°C) [2, 7], isosorbide copolymers offer biodegradability but lower thermal stability. Versus PLA (Tg~55°C) [2], design targets higher service temperatures without compromising crystallinity-controlled degradation.</w:t>
      </w:r>
    </w:p>
    <w:p>
      <w:pPr>
        <w:pStyle w:val="Heading2"/>
      </w:pPr>
      <w:r>
        <w:rPr>
          <w:rFonts w:ascii="Times New Roman" w:hAnsi="Times New Roman" w:eastAsia="Times New Roman"/>
          <w:color w:val="000000"/>
        </w:rPr>
        <w:t>5. Risk Analysis and Optimization Path</w:t>
      </w:r>
    </w:p>
    <w:p>
      <w:pPr>
        <w:pStyle w:val="Heading3"/>
      </w:pPr>
      <w:r>
        <w:rPr>
          <w:rFonts w:ascii="Times New Roman" w:hAnsi="Times New Roman" w:eastAsia="Times New Roman"/>
          <w:color w:val="000000"/>
        </w:rPr>
        <w:t>5.1 Major Failure Modes</w:t>
      </w:r>
    </w:p>
    <w:p>
      <w:pPr>
        <w:pStyle w:val="Heading2"/>
      </w:pPr>
      <w:r>
        <w:rPr>
          <w:rFonts w:ascii="Times New Roman" w:hAnsi="Times New Roman" w:eastAsia="Times New Roman"/>
          <w:color w:val="000000"/>
        </w:rPr>
        <w:t>1. **Degradation suppression**: Excessive Tg elevation at &gt;30 mol% isosorbide</w:t>
      </w:r>
    </w:p>
    <w:p>
      <w:pPr>
        <w:pStyle w:val="Heading2"/>
      </w:pPr>
      <w:r>
        <w:rPr>
          <w:rFonts w:ascii="Times New Roman" w:hAnsi="Times New Roman" w:eastAsia="Times New Roman"/>
          <w:color w:val="000000"/>
        </w:rPr>
        <w:t>2. **Processing failure**: Thermal degradation during polycondensation</w:t>
      </w:r>
    </w:p>
    <w:p>
      <w:pPr>
        <w:pStyle w:val="Heading2"/>
      </w:pPr>
      <w:r>
        <w:rPr>
          <w:rFonts w:ascii="Times New Roman" w:hAnsi="Times New Roman" w:eastAsia="Times New Roman"/>
          <w:color w:val="000000"/>
        </w:rPr>
        <w:t>3. **Crystallinity imbalance**: Slow degradation in high-crystallinity compositions</w:t>
      </w:r>
    </w:p>
    <w:p>
      <w:pPr>
        <w:pStyle w:val="Heading3"/>
      </w:pPr>
      <w:r>
        <w:rPr>
          <w:rFonts w:ascii="Times New Roman" w:hAnsi="Times New Roman" w:eastAsia="Times New Roman"/>
          <w:color w:val="000000"/>
        </w:rPr>
        <w:t>5.2 Optimization Pathway</w:t>
      </w:r>
    </w:p>
    <w:p>
      <w:pPr>
        <w:spacing w:line="360" w:lineRule="auto"/>
        <w:jc w:val="both"/>
      </w:pPr>
      <w:r>
        <w:rPr>
          <w:rFonts w:ascii="Times New Roman" w:hAnsi="Times New Roman" w:eastAsia="Times New Roman"/>
          <w:color w:val="000000"/>
          <w:sz w:val="24"/>
        </w:rPr>
        <w:t>- **Degradation too fast**: Increase isosorbide to 25-30 mol%; annealing to enhance crystallinity</w:t>
      </w:r>
    </w:p>
    <w:p>
      <w:pPr>
        <w:spacing w:line="360" w:lineRule="auto"/>
        <w:jc w:val="both"/>
      </w:pPr>
      <w:r>
        <w:rPr>
          <w:rFonts w:ascii="Times New Roman" w:hAnsi="Times New Roman" w:eastAsia="Times New Roman"/>
          <w:color w:val="000000"/>
          <w:sz w:val="24"/>
        </w:rPr>
        <w:t>- **Degradation too slow**: Reduce isosorbide to 10-15 mol%; incorporate low-Tg comonomers</w:t>
      </w:r>
    </w:p>
    <w:p>
      <w:pPr>
        <w:spacing w:line="360" w:lineRule="auto"/>
        <w:jc w:val="both"/>
      </w:pPr>
      <w:r>
        <w:rPr>
          <w:rFonts w:ascii="Times New Roman" w:hAnsi="Times New Roman" w:eastAsia="Times New Roman"/>
          <w:color w:val="000000"/>
          <w:sz w:val="24"/>
        </w:rPr>
        <w:t>- **Tg too low**: Increase isosorbide to 30-35 mol%; optimize catalyst for higher M_w</w:t>
      </w:r>
    </w:p>
    <w:p>
      <w:pPr>
        <w:spacing w:line="360" w:lineRule="auto"/>
        <w:jc w:val="both"/>
      </w:pPr>
      <w:r>
        <w:rPr>
          <w:rFonts w:ascii="Times New Roman" w:hAnsi="Times New Roman" w:eastAsia="Times New Roman"/>
          <w:color w:val="000000"/>
          <w:sz w:val="24"/>
        </w:rPr>
        <w:t>- **Melt instability**: Reduce polycondensation temperature; implement antioxidant additives</w:t>
      </w:r>
    </w:p>
    <w:p>
      <w:pPr>
        <w:pStyle w:val="Heading2"/>
      </w:pPr>
      <w:r>
        <w:rPr>
          <w:rFonts w:ascii="Times New Roman" w:hAnsi="Times New Roman" w:eastAsia="Times New Roman"/>
          <w:color w:val="000000"/>
        </w:rPr>
        <w:t>6. Conclusion</w:t>
      </w:r>
    </w:p>
    <w:p>
      <w:pPr>
        <w:spacing w:line="360" w:lineRule="auto"/>
        <w:jc w:val="both"/>
      </w:pPr>
      <w:r>
        <w:rPr>
          <w:rFonts w:ascii="Times New Roman" w:hAnsi="Times New Roman" w:eastAsia="Times New Roman"/>
          <w:color w:val="000000"/>
          <w:sz w:val="24"/>
        </w:rPr>
        <w:t>The proposed sterically hindered monomer approach shows promise for balancing heat resistance and biodegradability in polyesters. Literature confirms Tg elevation mechanisms via isosorbide incorporation but highlights degradation trade-offs requiring experimental optimization. Priority validation should focus on PIS20 compositions targeting Tg &gt;50°C with enzymatic degradation half-life &lt;100 days. The most critical next experiment is synthesizing the copolymer series and establishing the Tg-degradation correlation. Recommended for experimental validation with moderate risk.</w:t>
      </w:r>
    </w:p>
    <w:p>
      <w:pPr>
        <w:pStyle w:val="Heading2"/>
      </w:pPr>
      <w:r>
        <w:rPr>
          <w:rFonts w:ascii="Times New Roman" w:hAnsi="Times New Roman" w:eastAsia="Times New Roman"/>
          <w:color w:val="000000"/>
        </w:rPr>
        <w:t>8. References</w:t>
      </w:r>
    </w:p>
    <w:p>
      <w:pPr>
        <w:spacing w:line="360" w:lineRule="auto"/>
        <w:jc w:val="both"/>
      </w:pPr>
      <w:r>
        <w:rPr>
          <w:rFonts w:ascii="Times New Roman" w:hAnsi="Times New Roman" w:eastAsia="Times New Roman"/>
          <w:color w:val="000000"/>
          <w:sz w:val="24"/>
        </w:rPr>
        <w:t>- [1] 101002_app33935</w:t>
      </w:r>
    </w:p>
    <w:p>
      <w:pPr>
        <w:spacing w:line="360" w:lineRule="auto"/>
        <w:jc w:val="both"/>
      </w:pPr>
      <w:r>
        <w:rPr>
          <w:rFonts w:ascii="Times New Roman" w:hAnsi="Times New Roman" w:eastAsia="Times New Roman"/>
          <w:color w:val="000000"/>
          <w:sz w:val="24"/>
        </w:rPr>
        <w:t>- [2] 101016_jeurpolymj201305007</w:t>
      </w:r>
    </w:p>
    <w:p>
      <w:pPr>
        <w:spacing w:line="360" w:lineRule="auto"/>
        <w:jc w:val="both"/>
      </w:pPr>
      <w:r>
        <w:rPr>
          <w:rFonts w:ascii="Times New Roman" w:hAnsi="Times New Roman" w:eastAsia="Times New Roman"/>
          <w:color w:val="000000"/>
          <w:sz w:val="24"/>
        </w:rPr>
        <w:t>- [3] 101002_macp200900656</w:t>
      </w:r>
    </w:p>
    <w:p>
      <w:pPr>
        <w:spacing w:line="360" w:lineRule="auto"/>
        <w:jc w:val="both"/>
      </w:pPr>
      <w:r>
        <w:rPr>
          <w:rFonts w:ascii="Times New Roman" w:hAnsi="Times New Roman" w:eastAsia="Times New Roman"/>
          <w:color w:val="000000"/>
          <w:sz w:val="24"/>
        </w:rPr>
        <w:t>- [4] 101021_acsabm4c01628</w:t>
      </w:r>
    </w:p>
    <w:p>
      <w:pPr>
        <w:spacing w:line="360" w:lineRule="auto"/>
        <w:jc w:val="both"/>
      </w:pPr>
      <w:r>
        <w:rPr>
          <w:rFonts w:ascii="Times New Roman" w:hAnsi="Times New Roman" w:eastAsia="Times New Roman"/>
          <w:color w:val="000000"/>
          <w:sz w:val="24"/>
        </w:rPr>
        <w:t>- [5] 101016_jreactfunctpolym201303007</w:t>
      </w:r>
    </w:p>
    <w:p>
      <w:pPr>
        <w:spacing w:line="360" w:lineRule="auto"/>
        <w:jc w:val="both"/>
      </w:pPr>
      <w:r>
        <w:rPr>
          <w:rFonts w:ascii="Times New Roman" w:hAnsi="Times New Roman" w:eastAsia="Times New Roman"/>
          <w:color w:val="000000"/>
          <w:sz w:val="24"/>
        </w:rPr>
        <w:t>- [6] 101002_macp201000491</w:t>
      </w:r>
    </w:p>
    <w:p>
      <w:pPr>
        <w:spacing w:line="360" w:lineRule="auto"/>
        <w:jc w:val="both"/>
      </w:pPr>
      <w:r>
        <w:rPr>
          <w:rFonts w:ascii="Times New Roman" w:hAnsi="Times New Roman" w:eastAsia="Times New Roman"/>
          <w:color w:val="000000"/>
          <w:sz w:val="24"/>
        </w:rPr>
        <w:t>- [7] 101039_d5py00870k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