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212AA" w14:textId="77777777" w:rsidR="002239ED" w:rsidRPr="000179AD" w:rsidRDefault="002239ED" w:rsidP="002239ED">
      <w:pPr>
        <w:rPr>
          <w:rFonts w:cs="Arial"/>
          <w:b/>
          <w:sz w:val="28"/>
          <w:szCs w:val="28"/>
        </w:rPr>
      </w:pPr>
    </w:p>
    <w:p w14:paraId="5242E025" w14:textId="77777777" w:rsidR="002239ED" w:rsidRDefault="002239ED" w:rsidP="002239ED">
      <w:pPr>
        <w:jc w:val="right"/>
        <w:rPr>
          <w:rFonts w:cs="Arial"/>
          <w:b/>
          <w:sz w:val="36"/>
          <w:szCs w:val="36"/>
        </w:rPr>
      </w:pPr>
    </w:p>
    <w:p w14:paraId="6A9DC3DB" w14:textId="77777777" w:rsidR="002239ED" w:rsidRPr="000179AD" w:rsidRDefault="002239ED" w:rsidP="002239ED">
      <w:pPr>
        <w:jc w:val="center"/>
        <w:rPr>
          <w:rFonts w:cs="Arial"/>
          <w:b/>
          <w:sz w:val="36"/>
          <w:szCs w:val="36"/>
        </w:rPr>
      </w:pPr>
      <w:r w:rsidRPr="000179AD">
        <w:rPr>
          <w:rFonts w:cs="Arial"/>
          <w:b/>
          <w:sz w:val="36"/>
          <w:szCs w:val="36"/>
        </w:rPr>
        <w:t xml:space="preserve">Technical Vulnerability </w:t>
      </w:r>
    </w:p>
    <w:p w14:paraId="416F8F49" w14:textId="77777777" w:rsidR="002239ED" w:rsidRDefault="002239ED" w:rsidP="002239ED">
      <w:pPr>
        <w:jc w:val="center"/>
        <w:rPr>
          <w:rFonts w:cs="Arial"/>
          <w:b/>
          <w:sz w:val="36"/>
          <w:szCs w:val="36"/>
        </w:rPr>
      </w:pPr>
      <w:r w:rsidRPr="000179AD">
        <w:rPr>
          <w:rFonts w:cs="Arial"/>
          <w:b/>
          <w:sz w:val="36"/>
          <w:szCs w:val="36"/>
        </w:rPr>
        <w:t>Management Policy</w:t>
      </w:r>
    </w:p>
    <w:p w14:paraId="6FD8BE7B" w14:textId="77777777" w:rsidR="002239ED" w:rsidRDefault="002239ED" w:rsidP="002239ED">
      <w:pPr>
        <w:jc w:val="center"/>
        <w:rPr>
          <w:rFonts w:cs="Arial"/>
          <w:b/>
          <w:sz w:val="36"/>
          <w:szCs w:val="36"/>
        </w:rPr>
      </w:pPr>
    </w:p>
    <w:p w14:paraId="69106227" w14:textId="77777777" w:rsidR="002239ED" w:rsidRDefault="002239ED" w:rsidP="002239ED">
      <w:pPr>
        <w:jc w:val="center"/>
        <w:rPr>
          <w:rFonts w:cs="Arial"/>
          <w:b/>
          <w:sz w:val="28"/>
          <w:szCs w:val="28"/>
        </w:rPr>
      </w:pPr>
    </w:p>
    <w:p w14:paraId="34925A8B" w14:textId="77777777" w:rsidR="002239ED" w:rsidRDefault="002239ED" w:rsidP="002239ED">
      <w:pPr>
        <w:jc w:val="both"/>
        <w:rPr>
          <w:rFonts w:cs="Arial"/>
          <w:b/>
        </w:rPr>
      </w:pPr>
    </w:p>
    <w:p w14:paraId="6DA8614F" w14:textId="77777777" w:rsidR="002239ED" w:rsidRDefault="002239ED" w:rsidP="002239ED">
      <w:pPr>
        <w:jc w:val="both"/>
        <w:rPr>
          <w:rFonts w:cs="Arial"/>
          <w:b/>
        </w:rPr>
      </w:pPr>
    </w:p>
    <w:p w14:paraId="6FA9F33B" w14:textId="77777777" w:rsidR="002239ED" w:rsidRDefault="002239ED" w:rsidP="002239ED">
      <w:pPr>
        <w:jc w:val="both"/>
        <w:rPr>
          <w:rFonts w:cs="Arial"/>
          <w:b/>
        </w:rPr>
      </w:pPr>
    </w:p>
    <w:p w14:paraId="65E50F0D" w14:textId="77777777" w:rsidR="002239ED" w:rsidRDefault="002239ED" w:rsidP="002239ED">
      <w:pPr>
        <w:jc w:val="both"/>
        <w:rPr>
          <w:rFonts w:cs="Arial"/>
          <w:b/>
        </w:rPr>
      </w:pPr>
    </w:p>
    <w:p w14:paraId="1F7F3FDD" w14:textId="77777777" w:rsidR="002239ED" w:rsidRDefault="002239ED" w:rsidP="002239ED">
      <w:pPr>
        <w:ind w:left="2880"/>
        <w:jc w:val="right"/>
        <w:rPr>
          <w:rFonts w:cs="Arial"/>
          <w:b/>
          <w:sz w:val="28"/>
          <w:szCs w:val="28"/>
        </w:rPr>
      </w:pPr>
    </w:p>
    <w:p w14:paraId="6FC1C877" w14:textId="77777777" w:rsidR="002239ED" w:rsidRDefault="002239ED" w:rsidP="002239ED">
      <w:pPr>
        <w:ind w:left="2880"/>
        <w:jc w:val="right"/>
        <w:rPr>
          <w:rFonts w:cs="Arial"/>
          <w:b/>
          <w:sz w:val="28"/>
          <w:szCs w:val="28"/>
        </w:rPr>
      </w:pPr>
    </w:p>
    <w:p w14:paraId="78346C7F" w14:textId="77777777" w:rsidR="002239ED" w:rsidRDefault="002239ED" w:rsidP="002239ED">
      <w:pPr>
        <w:ind w:left="2880"/>
        <w:jc w:val="right"/>
        <w:rPr>
          <w:rFonts w:cs="Arial"/>
          <w:b/>
          <w:sz w:val="28"/>
          <w:szCs w:val="28"/>
        </w:rPr>
      </w:pPr>
    </w:p>
    <w:p w14:paraId="0E333A4D" w14:textId="77777777" w:rsidR="002239ED" w:rsidRDefault="002239ED" w:rsidP="002239ED">
      <w:pPr>
        <w:ind w:left="2880"/>
        <w:jc w:val="right"/>
        <w:rPr>
          <w:rFonts w:cs="Arial"/>
          <w:b/>
          <w:sz w:val="28"/>
          <w:szCs w:val="28"/>
        </w:rPr>
      </w:pPr>
    </w:p>
    <w:p w14:paraId="5E5060AE" w14:textId="77777777" w:rsidR="002239ED" w:rsidRDefault="002239ED" w:rsidP="002239ED">
      <w:pPr>
        <w:ind w:left="2880"/>
        <w:jc w:val="right"/>
        <w:rPr>
          <w:rFonts w:cs="Arial"/>
          <w:b/>
          <w:sz w:val="28"/>
          <w:szCs w:val="28"/>
        </w:rPr>
      </w:pPr>
    </w:p>
    <w:p w14:paraId="4C99E2B4" w14:textId="77777777" w:rsidR="002239ED" w:rsidRDefault="002239ED" w:rsidP="002239ED">
      <w:pPr>
        <w:ind w:left="2880"/>
        <w:jc w:val="right"/>
        <w:rPr>
          <w:rFonts w:cs="Arial"/>
          <w:b/>
          <w:sz w:val="28"/>
          <w:szCs w:val="28"/>
        </w:rPr>
      </w:pPr>
    </w:p>
    <w:p w14:paraId="469AF805" w14:textId="77777777" w:rsidR="002239ED" w:rsidRDefault="002239ED" w:rsidP="002239ED">
      <w:pPr>
        <w:ind w:left="2880"/>
        <w:jc w:val="right"/>
        <w:rPr>
          <w:rFonts w:cs="Arial"/>
          <w:b/>
          <w:sz w:val="28"/>
          <w:szCs w:val="28"/>
        </w:rPr>
      </w:pPr>
    </w:p>
    <w:p w14:paraId="4229AF7C" w14:textId="77777777" w:rsidR="002239ED" w:rsidRDefault="002239ED" w:rsidP="002239ED">
      <w:pPr>
        <w:ind w:left="2880"/>
        <w:jc w:val="right"/>
        <w:rPr>
          <w:rFonts w:cs="Arial"/>
          <w:b/>
          <w:sz w:val="28"/>
          <w:szCs w:val="28"/>
        </w:rPr>
      </w:pPr>
    </w:p>
    <w:p w14:paraId="543DEF74" w14:textId="77777777" w:rsidR="002239ED" w:rsidRDefault="002239ED" w:rsidP="002239ED">
      <w:pPr>
        <w:ind w:left="2880"/>
        <w:jc w:val="right"/>
        <w:rPr>
          <w:rFonts w:cs="Arial"/>
          <w:b/>
          <w:sz w:val="28"/>
          <w:szCs w:val="28"/>
        </w:rPr>
      </w:pPr>
    </w:p>
    <w:p w14:paraId="671812F3" w14:textId="77777777" w:rsidR="002239ED" w:rsidRDefault="002239ED" w:rsidP="002239ED">
      <w:pPr>
        <w:ind w:left="2880"/>
        <w:jc w:val="right"/>
        <w:rPr>
          <w:rFonts w:cs="Arial"/>
          <w:b/>
          <w:sz w:val="28"/>
        </w:rPr>
      </w:pPr>
      <w:r>
        <w:rPr>
          <w:rFonts w:cs="Arial"/>
          <w:b/>
          <w:sz w:val="28"/>
        </w:rPr>
        <w:t>Security Classification: Protected</w:t>
      </w:r>
    </w:p>
    <w:p w14:paraId="219BDE01" w14:textId="77777777" w:rsidR="002239ED" w:rsidRDefault="002239ED" w:rsidP="002239ED">
      <w:pPr>
        <w:ind w:left="2880"/>
        <w:jc w:val="right"/>
        <w:rPr>
          <w:rFonts w:cs="Arial"/>
          <w:b/>
          <w:sz w:val="28"/>
          <w:szCs w:val="28"/>
        </w:rPr>
      </w:pPr>
    </w:p>
    <w:p w14:paraId="73A08B26" w14:textId="77777777" w:rsidR="002239ED" w:rsidRDefault="002239ED" w:rsidP="002239ED">
      <w:pPr>
        <w:ind w:left="2880"/>
        <w:jc w:val="right"/>
        <w:rPr>
          <w:rFonts w:cs="Arial"/>
          <w:b/>
          <w:sz w:val="28"/>
          <w:szCs w:val="28"/>
        </w:rPr>
      </w:pPr>
      <w:r>
        <w:rPr>
          <w:rFonts w:cs="Arial"/>
          <w:b/>
          <w:sz w:val="28"/>
          <w:szCs w:val="28"/>
        </w:rPr>
        <w:t>Document Ref. ISMS18015</w:t>
      </w:r>
    </w:p>
    <w:p w14:paraId="7107393F" w14:textId="77777777" w:rsidR="002239ED" w:rsidRDefault="002239ED" w:rsidP="002239ED">
      <w:pPr>
        <w:ind w:left="2880"/>
        <w:jc w:val="right"/>
        <w:rPr>
          <w:rFonts w:cs="Arial"/>
          <w:b/>
          <w:sz w:val="28"/>
          <w:szCs w:val="28"/>
        </w:rPr>
      </w:pPr>
      <w:r>
        <w:rPr>
          <w:rFonts w:cs="Arial"/>
          <w:b/>
          <w:sz w:val="28"/>
          <w:szCs w:val="28"/>
        </w:rPr>
        <w:t>Version: 1.0</w:t>
      </w:r>
    </w:p>
    <w:p w14:paraId="3D2C1D3F" w14:textId="77777777" w:rsidR="002239ED" w:rsidRDefault="002239ED" w:rsidP="002239ED">
      <w:pPr>
        <w:ind w:left="2880"/>
        <w:jc w:val="right"/>
        <w:rPr>
          <w:rFonts w:cs="Arial"/>
          <w:b/>
          <w:sz w:val="28"/>
          <w:szCs w:val="28"/>
        </w:rPr>
      </w:pPr>
      <w:r>
        <w:rPr>
          <w:rFonts w:cs="Arial"/>
          <w:b/>
          <w:sz w:val="28"/>
          <w:szCs w:val="28"/>
        </w:rPr>
        <w:t>Draft 1</w:t>
      </w:r>
    </w:p>
    <w:p w14:paraId="606AE15C" w14:textId="77777777" w:rsidR="002239ED" w:rsidRDefault="002239ED" w:rsidP="002239ED">
      <w:pPr>
        <w:ind w:left="2880"/>
        <w:jc w:val="right"/>
        <w:rPr>
          <w:rFonts w:cs="Arial"/>
          <w:b/>
          <w:sz w:val="28"/>
          <w:szCs w:val="28"/>
        </w:rPr>
      </w:pPr>
    </w:p>
    <w:p w14:paraId="7F5480B4" w14:textId="77777777" w:rsidR="002239ED" w:rsidRPr="000179AD" w:rsidRDefault="002239ED" w:rsidP="002239ED">
      <w:pPr>
        <w:ind w:left="2880"/>
        <w:jc w:val="right"/>
        <w:rPr>
          <w:rFonts w:cs="Arial"/>
          <w:b/>
          <w:sz w:val="28"/>
          <w:szCs w:val="28"/>
        </w:rPr>
      </w:pPr>
      <w:r>
        <w:rPr>
          <w:rFonts w:cs="Arial"/>
          <w:b/>
          <w:sz w:val="28"/>
          <w:szCs w:val="28"/>
        </w:rPr>
        <w:t xml:space="preserve">Document Author: </w:t>
      </w:r>
      <w:r w:rsidRPr="000179AD">
        <w:rPr>
          <w:rFonts w:cs="Arial"/>
          <w:b/>
          <w:sz w:val="28"/>
          <w:szCs w:val="28"/>
        </w:rPr>
        <w:t>Cybersecurity Unit</w:t>
      </w:r>
    </w:p>
    <w:p w14:paraId="67DA6403" w14:textId="77777777" w:rsidR="002239ED" w:rsidRDefault="002239ED" w:rsidP="002239ED">
      <w:pPr>
        <w:ind w:left="2880"/>
        <w:jc w:val="right"/>
        <w:rPr>
          <w:rFonts w:cs="Arial"/>
          <w:b/>
          <w:sz w:val="28"/>
          <w:szCs w:val="28"/>
        </w:rPr>
      </w:pPr>
    </w:p>
    <w:p w14:paraId="403BB336" w14:textId="77777777" w:rsidR="002239ED" w:rsidRDefault="002239ED" w:rsidP="002239ED">
      <w:pPr>
        <w:ind w:left="2880"/>
        <w:jc w:val="right"/>
        <w:rPr>
          <w:rFonts w:cs="Arial"/>
          <w:b/>
          <w:sz w:val="28"/>
          <w:szCs w:val="28"/>
        </w:rPr>
      </w:pPr>
      <w:r>
        <w:rPr>
          <w:rFonts w:cs="Arial"/>
          <w:b/>
          <w:sz w:val="28"/>
          <w:szCs w:val="28"/>
        </w:rPr>
        <w:t xml:space="preserve">Document Owner: </w:t>
      </w:r>
      <w:r w:rsidRPr="000179AD">
        <w:rPr>
          <w:rFonts w:cs="Arial"/>
          <w:b/>
          <w:sz w:val="28"/>
          <w:szCs w:val="28"/>
        </w:rPr>
        <w:t>NCS/ TMP</w:t>
      </w:r>
    </w:p>
    <w:p w14:paraId="4D56FC94" w14:textId="77777777" w:rsidR="002239ED" w:rsidRDefault="002239ED" w:rsidP="002239ED">
      <w:pPr>
        <w:ind w:left="2880"/>
        <w:jc w:val="right"/>
        <w:rPr>
          <w:rFonts w:cs="Arial"/>
          <w:b/>
          <w:sz w:val="28"/>
          <w:szCs w:val="28"/>
        </w:rPr>
      </w:pPr>
    </w:p>
    <w:p w14:paraId="1D248B11" w14:textId="77777777" w:rsidR="002239ED" w:rsidRDefault="002239ED" w:rsidP="002239ED">
      <w:pPr>
        <w:ind w:left="2880"/>
        <w:jc w:val="right"/>
        <w:rPr>
          <w:rFonts w:cs="Arial"/>
          <w:b/>
          <w:sz w:val="28"/>
          <w:szCs w:val="28"/>
        </w:rPr>
      </w:pPr>
    </w:p>
    <w:p w14:paraId="1DF7C1BA" w14:textId="77777777" w:rsidR="002239ED" w:rsidRDefault="002239ED" w:rsidP="002239ED">
      <w:pPr>
        <w:jc w:val="both"/>
        <w:rPr>
          <w:b/>
        </w:rPr>
      </w:pPr>
    </w:p>
    <w:p w14:paraId="44CFB90A" w14:textId="77777777" w:rsidR="002239ED" w:rsidRDefault="002239ED" w:rsidP="002239ED">
      <w:pPr>
        <w:jc w:val="both"/>
        <w:rPr>
          <w:b/>
        </w:rPr>
      </w:pPr>
    </w:p>
    <w:p w14:paraId="6FFA7E82" w14:textId="77777777" w:rsidR="002239ED" w:rsidRDefault="002239ED" w:rsidP="002239ED">
      <w:pPr>
        <w:jc w:val="both"/>
        <w:rPr>
          <w:b/>
        </w:rPr>
      </w:pPr>
    </w:p>
    <w:p w14:paraId="77D4452C" w14:textId="77777777" w:rsidR="002239ED" w:rsidRDefault="002239ED" w:rsidP="002239ED">
      <w:r>
        <w:br w:type="page"/>
      </w:r>
    </w:p>
    <w:p w14:paraId="256EA43E" w14:textId="77777777" w:rsidR="002239ED" w:rsidRPr="00A916B9" w:rsidRDefault="002239ED" w:rsidP="002239ED">
      <w:pPr>
        <w:pStyle w:val="BodyText2"/>
        <w:rPr>
          <w:rFonts w:cs="Arial"/>
        </w:rPr>
      </w:pPr>
      <w:r w:rsidRPr="00A916B9">
        <w:rPr>
          <w:rFonts w:cs="Arial"/>
        </w:rPr>
        <w:lastRenderedPageBreak/>
        <w:t xml:space="preserve">Revision History </w:t>
      </w:r>
    </w:p>
    <w:p w14:paraId="209FB0B9" w14:textId="77777777" w:rsidR="002239ED" w:rsidRPr="00A916B9" w:rsidRDefault="002239ED" w:rsidP="002239ED">
      <w:pPr>
        <w:pStyle w:val="BodyText"/>
        <w:rPr>
          <w:rFonts w:eastAsia="Arial Unicode M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385"/>
        <w:gridCol w:w="2073"/>
        <w:gridCol w:w="3748"/>
      </w:tblGrid>
      <w:tr w:rsidR="002239ED" w:rsidRPr="00A916B9" w14:paraId="701546A5" w14:textId="77777777" w:rsidTr="007400CB">
        <w:tc>
          <w:tcPr>
            <w:tcW w:w="1097" w:type="dxa"/>
            <w:shd w:val="clear" w:color="auto" w:fill="C6D9F1"/>
          </w:tcPr>
          <w:p w14:paraId="294B66A6" w14:textId="77777777" w:rsidR="002239ED" w:rsidRPr="00C35B04" w:rsidRDefault="002239ED" w:rsidP="007400CB">
            <w:pPr>
              <w:autoSpaceDE w:val="0"/>
              <w:autoSpaceDN w:val="0"/>
              <w:rPr>
                <w:rFonts w:cs="Arial"/>
                <w:b/>
                <w:bCs/>
              </w:rPr>
            </w:pPr>
            <w:r w:rsidRPr="00C35B04">
              <w:rPr>
                <w:rFonts w:cs="Arial"/>
                <w:b/>
                <w:bCs/>
              </w:rPr>
              <w:t>Version</w:t>
            </w:r>
          </w:p>
        </w:tc>
        <w:tc>
          <w:tcPr>
            <w:tcW w:w="1421" w:type="dxa"/>
            <w:shd w:val="clear" w:color="auto" w:fill="C6D9F1"/>
          </w:tcPr>
          <w:p w14:paraId="4CADC60C" w14:textId="77777777" w:rsidR="002239ED" w:rsidRPr="00C35B04" w:rsidRDefault="002239ED" w:rsidP="007400CB">
            <w:pPr>
              <w:autoSpaceDE w:val="0"/>
              <w:autoSpaceDN w:val="0"/>
              <w:rPr>
                <w:rFonts w:cs="Arial"/>
                <w:b/>
                <w:bCs/>
              </w:rPr>
            </w:pPr>
            <w:r w:rsidRPr="00C35B04">
              <w:rPr>
                <w:rFonts w:cs="Arial"/>
                <w:b/>
                <w:bCs/>
              </w:rPr>
              <w:t>Date</w:t>
            </w:r>
          </w:p>
        </w:tc>
        <w:tc>
          <w:tcPr>
            <w:tcW w:w="2126" w:type="dxa"/>
            <w:shd w:val="clear" w:color="auto" w:fill="C6D9F1"/>
          </w:tcPr>
          <w:p w14:paraId="419388BC" w14:textId="77777777" w:rsidR="002239ED" w:rsidRPr="00A916B9" w:rsidRDefault="002239ED" w:rsidP="007400CB">
            <w:pPr>
              <w:pStyle w:val="BodyText"/>
              <w:rPr>
                <w:rFonts w:cs="Arial"/>
                <w:b/>
                <w:bCs/>
              </w:rPr>
            </w:pPr>
            <w:r w:rsidRPr="00A916B9">
              <w:rPr>
                <w:rFonts w:cs="Arial"/>
                <w:b/>
                <w:bCs/>
              </w:rPr>
              <w:t>C</w:t>
            </w:r>
            <w:r>
              <w:rPr>
                <w:rFonts w:cs="Arial"/>
                <w:b/>
                <w:bCs/>
              </w:rPr>
              <w:t>hange</w:t>
            </w:r>
            <w:r w:rsidRPr="00A916B9">
              <w:rPr>
                <w:rFonts w:cs="Arial"/>
                <w:b/>
                <w:bCs/>
              </w:rPr>
              <w:t xml:space="preserve"> Number</w:t>
            </w:r>
          </w:p>
        </w:tc>
        <w:tc>
          <w:tcPr>
            <w:tcW w:w="3885" w:type="dxa"/>
            <w:shd w:val="clear" w:color="auto" w:fill="C6D9F1"/>
          </w:tcPr>
          <w:p w14:paraId="53F16DFC" w14:textId="77777777" w:rsidR="002239ED" w:rsidRPr="00A916B9" w:rsidRDefault="002239ED" w:rsidP="007400CB">
            <w:pPr>
              <w:pStyle w:val="BodyText"/>
              <w:rPr>
                <w:rFonts w:eastAsia="Arial Unicode MS" w:cs="Arial"/>
                <w:b/>
                <w:bCs/>
              </w:rPr>
            </w:pPr>
            <w:r w:rsidRPr="00A916B9">
              <w:rPr>
                <w:rFonts w:cs="Arial"/>
                <w:b/>
                <w:bCs/>
              </w:rPr>
              <w:t>Summary of Changes</w:t>
            </w:r>
          </w:p>
        </w:tc>
      </w:tr>
      <w:tr w:rsidR="002239ED" w:rsidRPr="00A916B9" w14:paraId="1F7E5352" w14:textId="77777777" w:rsidTr="007400CB">
        <w:tc>
          <w:tcPr>
            <w:tcW w:w="1097" w:type="dxa"/>
          </w:tcPr>
          <w:p w14:paraId="7B440992" w14:textId="77777777" w:rsidR="002239ED" w:rsidRPr="00A916B9" w:rsidRDefault="002239ED" w:rsidP="007400CB">
            <w:pPr>
              <w:autoSpaceDE w:val="0"/>
              <w:autoSpaceDN w:val="0"/>
              <w:rPr>
                <w:rFonts w:cs="Arial"/>
              </w:rPr>
            </w:pPr>
          </w:p>
        </w:tc>
        <w:tc>
          <w:tcPr>
            <w:tcW w:w="1421" w:type="dxa"/>
          </w:tcPr>
          <w:p w14:paraId="7C3019F3" w14:textId="77777777" w:rsidR="002239ED" w:rsidRPr="00A916B9" w:rsidRDefault="002239ED" w:rsidP="007400CB">
            <w:pPr>
              <w:autoSpaceDE w:val="0"/>
              <w:autoSpaceDN w:val="0"/>
              <w:rPr>
                <w:rFonts w:cs="Arial"/>
              </w:rPr>
            </w:pPr>
          </w:p>
        </w:tc>
        <w:tc>
          <w:tcPr>
            <w:tcW w:w="2126" w:type="dxa"/>
          </w:tcPr>
          <w:p w14:paraId="5C607F7A" w14:textId="77777777" w:rsidR="002239ED" w:rsidRPr="00A916B9" w:rsidRDefault="002239ED" w:rsidP="007400CB">
            <w:pPr>
              <w:autoSpaceDE w:val="0"/>
              <w:autoSpaceDN w:val="0"/>
              <w:rPr>
                <w:rFonts w:cs="Arial"/>
              </w:rPr>
            </w:pPr>
          </w:p>
        </w:tc>
        <w:tc>
          <w:tcPr>
            <w:tcW w:w="3885" w:type="dxa"/>
          </w:tcPr>
          <w:p w14:paraId="7D07636D" w14:textId="77777777" w:rsidR="002239ED" w:rsidRPr="00A916B9" w:rsidRDefault="002239ED" w:rsidP="007400CB">
            <w:pPr>
              <w:autoSpaceDE w:val="0"/>
              <w:autoSpaceDN w:val="0"/>
              <w:rPr>
                <w:rFonts w:cs="Arial"/>
              </w:rPr>
            </w:pPr>
          </w:p>
        </w:tc>
      </w:tr>
      <w:tr w:rsidR="002239ED" w:rsidRPr="00A916B9" w14:paraId="2E080664" w14:textId="77777777" w:rsidTr="007400CB">
        <w:tc>
          <w:tcPr>
            <w:tcW w:w="1097" w:type="dxa"/>
          </w:tcPr>
          <w:p w14:paraId="4C4F3B0B" w14:textId="77777777" w:rsidR="002239ED" w:rsidRPr="00A916B9" w:rsidRDefault="002239ED" w:rsidP="007400CB">
            <w:pPr>
              <w:autoSpaceDE w:val="0"/>
              <w:autoSpaceDN w:val="0"/>
              <w:rPr>
                <w:rFonts w:cs="Arial"/>
              </w:rPr>
            </w:pPr>
          </w:p>
        </w:tc>
        <w:tc>
          <w:tcPr>
            <w:tcW w:w="1421" w:type="dxa"/>
          </w:tcPr>
          <w:p w14:paraId="1698EF10" w14:textId="77777777" w:rsidR="002239ED" w:rsidRPr="00A916B9" w:rsidRDefault="002239ED" w:rsidP="007400CB">
            <w:pPr>
              <w:autoSpaceDE w:val="0"/>
              <w:autoSpaceDN w:val="0"/>
              <w:rPr>
                <w:rFonts w:cs="Arial"/>
              </w:rPr>
            </w:pPr>
          </w:p>
        </w:tc>
        <w:tc>
          <w:tcPr>
            <w:tcW w:w="2126" w:type="dxa"/>
          </w:tcPr>
          <w:p w14:paraId="0417F908" w14:textId="77777777" w:rsidR="002239ED" w:rsidRPr="00A916B9" w:rsidRDefault="002239ED" w:rsidP="007400CB">
            <w:pPr>
              <w:autoSpaceDE w:val="0"/>
              <w:autoSpaceDN w:val="0"/>
              <w:rPr>
                <w:rFonts w:cs="Arial"/>
              </w:rPr>
            </w:pPr>
          </w:p>
        </w:tc>
        <w:tc>
          <w:tcPr>
            <w:tcW w:w="3885" w:type="dxa"/>
          </w:tcPr>
          <w:p w14:paraId="26B94E92" w14:textId="77777777" w:rsidR="002239ED" w:rsidRPr="00A916B9" w:rsidRDefault="002239ED" w:rsidP="007400CB">
            <w:pPr>
              <w:autoSpaceDE w:val="0"/>
              <w:autoSpaceDN w:val="0"/>
              <w:rPr>
                <w:rFonts w:cs="Arial"/>
              </w:rPr>
            </w:pPr>
          </w:p>
        </w:tc>
      </w:tr>
      <w:tr w:rsidR="002239ED" w:rsidRPr="00A916B9" w14:paraId="693A3A67" w14:textId="77777777" w:rsidTr="007400CB">
        <w:tc>
          <w:tcPr>
            <w:tcW w:w="1097" w:type="dxa"/>
          </w:tcPr>
          <w:p w14:paraId="04E9EB85" w14:textId="77777777" w:rsidR="002239ED" w:rsidRPr="00A916B9" w:rsidRDefault="002239ED" w:rsidP="007400CB">
            <w:pPr>
              <w:autoSpaceDE w:val="0"/>
              <w:autoSpaceDN w:val="0"/>
              <w:rPr>
                <w:rFonts w:cs="Arial"/>
              </w:rPr>
            </w:pPr>
          </w:p>
        </w:tc>
        <w:tc>
          <w:tcPr>
            <w:tcW w:w="1421" w:type="dxa"/>
          </w:tcPr>
          <w:p w14:paraId="1CFD01D8" w14:textId="77777777" w:rsidR="002239ED" w:rsidRPr="00A916B9" w:rsidRDefault="002239ED" w:rsidP="007400CB">
            <w:pPr>
              <w:autoSpaceDE w:val="0"/>
              <w:autoSpaceDN w:val="0"/>
              <w:rPr>
                <w:rFonts w:cs="Arial"/>
              </w:rPr>
            </w:pPr>
          </w:p>
        </w:tc>
        <w:tc>
          <w:tcPr>
            <w:tcW w:w="2126" w:type="dxa"/>
          </w:tcPr>
          <w:p w14:paraId="313C7B9C" w14:textId="77777777" w:rsidR="002239ED" w:rsidRPr="00A916B9" w:rsidRDefault="002239ED" w:rsidP="007400CB">
            <w:pPr>
              <w:autoSpaceDE w:val="0"/>
              <w:autoSpaceDN w:val="0"/>
              <w:rPr>
                <w:rFonts w:cs="Arial"/>
              </w:rPr>
            </w:pPr>
          </w:p>
        </w:tc>
        <w:tc>
          <w:tcPr>
            <w:tcW w:w="3878" w:type="dxa"/>
          </w:tcPr>
          <w:p w14:paraId="785ED5BA" w14:textId="77777777" w:rsidR="002239ED" w:rsidRPr="00A916B9" w:rsidRDefault="002239ED" w:rsidP="007400CB">
            <w:pPr>
              <w:autoSpaceDE w:val="0"/>
              <w:autoSpaceDN w:val="0"/>
              <w:rPr>
                <w:rFonts w:cs="Arial"/>
              </w:rPr>
            </w:pPr>
          </w:p>
        </w:tc>
      </w:tr>
      <w:tr w:rsidR="002239ED" w:rsidRPr="00A916B9" w14:paraId="3C499FC8" w14:textId="77777777" w:rsidTr="007400CB">
        <w:tc>
          <w:tcPr>
            <w:tcW w:w="1097" w:type="dxa"/>
          </w:tcPr>
          <w:p w14:paraId="79DF68BE" w14:textId="77777777" w:rsidR="002239ED" w:rsidRPr="00A916B9" w:rsidRDefault="002239ED" w:rsidP="007400CB">
            <w:pPr>
              <w:autoSpaceDE w:val="0"/>
              <w:autoSpaceDN w:val="0"/>
              <w:rPr>
                <w:rFonts w:cs="Arial"/>
              </w:rPr>
            </w:pPr>
          </w:p>
        </w:tc>
        <w:tc>
          <w:tcPr>
            <w:tcW w:w="1421" w:type="dxa"/>
          </w:tcPr>
          <w:p w14:paraId="0AC22D60" w14:textId="77777777" w:rsidR="002239ED" w:rsidRPr="00A916B9" w:rsidRDefault="002239ED" w:rsidP="007400CB">
            <w:pPr>
              <w:autoSpaceDE w:val="0"/>
              <w:autoSpaceDN w:val="0"/>
              <w:rPr>
                <w:rFonts w:cs="Arial"/>
              </w:rPr>
            </w:pPr>
          </w:p>
        </w:tc>
        <w:tc>
          <w:tcPr>
            <w:tcW w:w="2126" w:type="dxa"/>
          </w:tcPr>
          <w:p w14:paraId="5653622A" w14:textId="77777777" w:rsidR="002239ED" w:rsidRPr="00A916B9" w:rsidRDefault="002239ED" w:rsidP="007400CB">
            <w:pPr>
              <w:autoSpaceDE w:val="0"/>
              <w:autoSpaceDN w:val="0"/>
              <w:rPr>
                <w:rFonts w:cs="Arial"/>
              </w:rPr>
            </w:pPr>
          </w:p>
        </w:tc>
        <w:tc>
          <w:tcPr>
            <w:tcW w:w="3878" w:type="dxa"/>
          </w:tcPr>
          <w:p w14:paraId="57E9B821" w14:textId="77777777" w:rsidR="002239ED" w:rsidRPr="00A916B9" w:rsidRDefault="002239ED" w:rsidP="007400CB">
            <w:pPr>
              <w:autoSpaceDE w:val="0"/>
              <w:autoSpaceDN w:val="0"/>
              <w:rPr>
                <w:rFonts w:cs="Arial"/>
              </w:rPr>
            </w:pPr>
          </w:p>
        </w:tc>
      </w:tr>
    </w:tbl>
    <w:p w14:paraId="6F8394AB" w14:textId="77777777" w:rsidR="002239ED" w:rsidRPr="00A916B9" w:rsidRDefault="002239ED" w:rsidP="002239ED">
      <w:pPr>
        <w:pStyle w:val="BodyText"/>
        <w:rPr>
          <w:rFonts w:cs="Arial"/>
        </w:rPr>
      </w:pPr>
    </w:p>
    <w:p w14:paraId="25EB5C3C" w14:textId="77777777" w:rsidR="002239ED" w:rsidRPr="00A916B9" w:rsidRDefault="002239ED" w:rsidP="002239ED">
      <w:pPr>
        <w:pStyle w:val="BodyText"/>
        <w:rPr>
          <w:rFonts w:cs="Arial"/>
          <w:b/>
          <w:bCs/>
        </w:rPr>
      </w:pPr>
      <w:r w:rsidRPr="00A916B9">
        <w:rPr>
          <w:rFonts w:cs="Arial"/>
          <w:b/>
          <w:bCs/>
        </w:rPr>
        <w:t>Document Review</w:t>
      </w:r>
    </w:p>
    <w:p w14:paraId="513E23DE" w14:textId="77777777" w:rsidR="002239ED" w:rsidRPr="00A916B9" w:rsidRDefault="002239ED" w:rsidP="002239ED">
      <w:pPr>
        <w:pStyle w:val="BodyText"/>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3"/>
      </w:tblGrid>
      <w:tr w:rsidR="002239ED" w:rsidRPr="00A916B9" w14:paraId="18A49D37" w14:textId="77777777" w:rsidTr="007400CB">
        <w:tc>
          <w:tcPr>
            <w:tcW w:w="8529" w:type="dxa"/>
            <w:shd w:val="clear" w:color="auto" w:fill="C6D9F1"/>
          </w:tcPr>
          <w:p w14:paraId="57F2CCB8" w14:textId="77777777" w:rsidR="002239ED" w:rsidRPr="00A916B9" w:rsidRDefault="002239ED" w:rsidP="007400CB">
            <w:pPr>
              <w:pStyle w:val="BodyText"/>
              <w:rPr>
                <w:rFonts w:cs="Arial"/>
              </w:rPr>
            </w:pPr>
            <w:r w:rsidRPr="00A916B9">
              <w:rPr>
                <w:rFonts w:cs="Arial"/>
                <w:b/>
                <w:bCs/>
              </w:rPr>
              <w:t>Date of Next Scheduled Review</w:t>
            </w:r>
          </w:p>
        </w:tc>
      </w:tr>
      <w:tr w:rsidR="002239ED" w:rsidRPr="00A916B9" w14:paraId="401776A7" w14:textId="77777777" w:rsidTr="007400CB">
        <w:tc>
          <w:tcPr>
            <w:tcW w:w="8529" w:type="dxa"/>
          </w:tcPr>
          <w:p w14:paraId="7E300FCF" w14:textId="77777777" w:rsidR="002239ED" w:rsidRPr="00A916B9" w:rsidRDefault="002239ED" w:rsidP="007400CB">
            <w:pPr>
              <w:pStyle w:val="BodyText"/>
              <w:rPr>
                <w:rFonts w:cs="Arial"/>
              </w:rPr>
            </w:pPr>
          </w:p>
          <w:p w14:paraId="14DB6752" w14:textId="77777777" w:rsidR="002239ED" w:rsidRPr="00A916B9" w:rsidRDefault="002239ED" w:rsidP="007400CB">
            <w:pPr>
              <w:pStyle w:val="BodyText"/>
              <w:jc w:val="center"/>
              <w:rPr>
                <w:rFonts w:cs="Arial"/>
              </w:rPr>
            </w:pPr>
          </w:p>
        </w:tc>
      </w:tr>
    </w:tbl>
    <w:p w14:paraId="5F2FB18B" w14:textId="77777777" w:rsidR="002239ED" w:rsidRPr="00A916B9" w:rsidRDefault="002239ED" w:rsidP="002239ED">
      <w:pPr>
        <w:pStyle w:val="BodyText"/>
      </w:pPr>
    </w:p>
    <w:p w14:paraId="43BB0946" w14:textId="77777777" w:rsidR="002239ED" w:rsidRPr="00A916B9" w:rsidRDefault="002239ED" w:rsidP="002239ED">
      <w:pPr>
        <w:pStyle w:val="BodyText2"/>
        <w:rPr>
          <w:rFonts w:cs="Arial"/>
        </w:rPr>
      </w:pPr>
      <w:r w:rsidRPr="00A916B9">
        <w:rPr>
          <w:rFonts w:cs="Arial"/>
        </w:rPr>
        <w:t>Distribution</w:t>
      </w:r>
    </w:p>
    <w:p w14:paraId="795F8BDB" w14:textId="77777777" w:rsidR="002239ED" w:rsidRPr="00A916B9" w:rsidRDefault="002239ED" w:rsidP="002239ED">
      <w:pPr>
        <w:pStyle w:val="BodyText"/>
        <w:rPr>
          <w:rFonts w:eastAsia="Arial Unicode MS" w:cs="Arial"/>
        </w:rPr>
      </w:pPr>
    </w:p>
    <w:tbl>
      <w:tblPr>
        <w:tblW w:w="8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5792"/>
      </w:tblGrid>
      <w:tr w:rsidR="002239ED" w:rsidRPr="00A916B9" w14:paraId="1DBA746A" w14:textId="77777777" w:rsidTr="007400CB">
        <w:tc>
          <w:tcPr>
            <w:tcW w:w="2642" w:type="dxa"/>
            <w:shd w:val="clear" w:color="auto" w:fill="C6D9F1"/>
          </w:tcPr>
          <w:p w14:paraId="6185510F" w14:textId="77777777" w:rsidR="002239ED" w:rsidRPr="00C35B04" w:rsidRDefault="002239ED" w:rsidP="007400CB">
            <w:pPr>
              <w:autoSpaceDE w:val="0"/>
              <w:autoSpaceDN w:val="0"/>
              <w:rPr>
                <w:rFonts w:cs="Arial"/>
                <w:b/>
                <w:bCs/>
              </w:rPr>
            </w:pPr>
            <w:r w:rsidRPr="00C35B04">
              <w:rPr>
                <w:rFonts w:cs="Arial"/>
                <w:b/>
                <w:bCs/>
              </w:rPr>
              <w:t>Name</w:t>
            </w:r>
          </w:p>
        </w:tc>
        <w:tc>
          <w:tcPr>
            <w:tcW w:w="5792" w:type="dxa"/>
            <w:shd w:val="clear" w:color="auto" w:fill="C6D9F1"/>
          </w:tcPr>
          <w:p w14:paraId="52839A12" w14:textId="77777777" w:rsidR="002239ED" w:rsidRPr="00C35B04" w:rsidRDefault="002239ED" w:rsidP="007400CB">
            <w:pPr>
              <w:autoSpaceDE w:val="0"/>
              <w:autoSpaceDN w:val="0"/>
              <w:rPr>
                <w:rFonts w:cs="Arial"/>
                <w:b/>
                <w:bCs/>
              </w:rPr>
            </w:pPr>
            <w:r w:rsidRPr="00C35B04">
              <w:rPr>
                <w:rFonts w:cs="Arial"/>
                <w:b/>
                <w:bCs/>
              </w:rPr>
              <w:t>Title</w:t>
            </w:r>
          </w:p>
        </w:tc>
      </w:tr>
      <w:tr w:rsidR="002239ED" w:rsidRPr="00A916B9" w14:paraId="1CDAD087" w14:textId="77777777" w:rsidTr="007400CB">
        <w:tc>
          <w:tcPr>
            <w:tcW w:w="2642" w:type="dxa"/>
          </w:tcPr>
          <w:p w14:paraId="1510D21D" w14:textId="77777777" w:rsidR="002239ED" w:rsidRPr="00A916B9" w:rsidRDefault="002239ED" w:rsidP="007400CB">
            <w:pPr>
              <w:autoSpaceDE w:val="0"/>
              <w:autoSpaceDN w:val="0"/>
              <w:rPr>
                <w:rFonts w:cs="Arial"/>
              </w:rPr>
            </w:pPr>
          </w:p>
        </w:tc>
        <w:tc>
          <w:tcPr>
            <w:tcW w:w="5792" w:type="dxa"/>
          </w:tcPr>
          <w:p w14:paraId="41596093" w14:textId="77777777" w:rsidR="002239ED" w:rsidRPr="00A916B9" w:rsidRDefault="002239ED" w:rsidP="007400CB">
            <w:pPr>
              <w:autoSpaceDE w:val="0"/>
              <w:autoSpaceDN w:val="0"/>
              <w:rPr>
                <w:rFonts w:cs="Arial"/>
              </w:rPr>
            </w:pPr>
          </w:p>
        </w:tc>
      </w:tr>
      <w:tr w:rsidR="002239ED" w:rsidRPr="00A916B9" w14:paraId="1C555B2E" w14:textId="77777777" w:rsidTr="007400CB">
        <w:tc>
          <w:tcPr>
            <w:tcW w:w="2642" w:type="dxa"/>
          </w:tcPr>
          <w:p w14:paraId="117E9ED1" w14:textId="77777777" w:rsidR="002239ED" w:rsidRPr="00A916B9" w:rsidRDefault="002239ED" w:rsidP="007400CB">
            <w:pPr>
              <w:autoSpaceDE w:val="0"/>
              <w:autoSpaceDN w:val="0"/>
              <w:rPr>
                <w:rFonts w:cs="Arial"/>
              </w:rPr>
            </w:pPr>
          </w:p>
        </w:tc>
        <w:tc>
          <w:tcPr>
            <w:tcW w:w="5792" w:type="dxa"/>
          </w:tcPr>
          <w:p w14:paraId="419F6E40" w14:textId="77777777" w:rsidR="002239ED" w:rsidRPr="00A916B9" w:rsidRDefault="002239ED" w:rsidP="007400CB">
            <w:pPr>
              <w:autoSpaceDE w:val="0"/>
              <w:autoSpaceDN w:val="0"/>
              <w:rPr>
                <w:rFonts w:cs="Arial"/>
              </w:rPr>
            </w:pPr>
          </w:p>
        </w:tc>
      </w:tr>
      <w:tr w:rsidR="002239ED" w:rsidRPr="00A916B9" w14:paraId="1BF166D0" w14:textId="77777777" w:rsidTr="007400CB">
        <w:tc>
          <w:tcPr>
            <w:tcW w:w="2642" w:type="dxa"/>
          </w:tcPr>
          <w:p w14:paraId="1197A398" w14:textId="77777777" w:rsidR="002239ED" w:rsidRPr="00A916B9" w:rsidRDefault="002239ED" w:rsidP="007400CB">
            <w:pPr>
              <w:autoSpaceDE w:val="0"/>
              <w:autoSpaceDN w:val="0"/>
              <w:rPr>
                <w:rFonts w:cs="Arial"/>
              </w:rPr>
            </w:pPr>
          </w:p>
        </w:tc>
        <w:tc>
          <w:tcPr>
            <w:tcW w:w="5792" w:type="dxa"/>
          </w:tcPr>
          <w:p w14:paraId="016BB452" w14:textId="77777777" w:rsidR="002239ED" w:rsidRPr="00A916B9" w:rsidRDefault="002239ED" w:rsidP="007400CB">
            <w:pPr>
              <w:autoSpaceDE w:val="0"/>
              <w:autoSpaceDN w:val="0"/>
              <w:rPr>
                <w:rFonts w:cs="Arial"/>
              </w:rPr>
            </w:pPr>
          </w:p>
        </w:tc>
      </w:tr>
    </w:tbl>
    <w:p w14:paraId="1701F5CF" w14:textId="77777777" w:rsidR="002239ED" w:rsidRPr="00A916B9" w:rsidRDefault="002239ED" w:rsidP="002239ED">
      <w:pPr>
        <w:pStyle w:val="BodyText"/>
      </w:pPr>
    </w:p>
    <w:p w14:paraId="413FC6AD" w14:textId="77777777" w:rsidR="002239ED" w:rsidRPr="00A916B9" w:rsidRDefault="002239ED" w:rsidP="002239ED">
      <w:pPr>
        <w:pStyle w:val="BodyText2"/>
        <w:rPr>
          <w:rFonts w:cs="Arial"/>
        </w:rPr>
      </w:pPr>
      <w:r w:rsidRPr="00A916B9">
        <w:rPr>
          <w:rFonts w:cs="Arial"/>
        </w:rPr>
        <w:t>Approval</w:t>
      </w:r>
    </w:p>
    <w:p w14:paraId="46B5AD15" w14:textId="77777777" w:rsidR="002239ED" w:rsidRPr="00A916B9" w:rsidRDefault="002239ED" w:rsidP="002239ED">
      <w:pPr>
        <w:pStyle w:val="BodyText"/>
        <w:rPr>
          <w:rFonts w:eastAsia="Arial Unicode MS" w:cs="Arial"/>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37"/>
        <w:gridCol w:w="3164"/>
        <w:gridCol w:w="1879"/>
        <w:gridCol w:w="1523"/>
      </w:tblGrid>
      <w:tr w:rsidR="002239ED" w:rsidRPr="00A916B9" w14:paraId="0C098942" w14:textId="77777777" w:rsidTr="007400CB">
        <w:tc>
          <w:tcPr>
            <w:tcW w:w="1782" w:type="dxa"/>
            <w:tcBorders>
              <w:top w:val="single" w:sz="4" w:space="0" w:color="auto"/>
              <w:left w:val="single" w:sz="4" w:space="0" w:color="auto"/>
              <w:bottom w:val="single" w:sz="4" w:space="0" w:color="auto"/>
              <w:right w:val="single" w:sz="4" w:space="0" w:color="auto"/>
            </w:tcBorders>
            <w:shd w:val="clear" w:color="auto" w:fill="C6D9F1"/>
          </w:tcPr>
          <w:p w14:paraId="42BDD2B3" w14:textId="77777777" w:rsidR="002239ED" w:rsidRPr="00C35B04" w:rsidRDefault="002239ED" w:rsidP="007400CB">
            <w:pPr>
              <w:autoSpaceDE w:val="0"/>
              <w:autoSpaceDN w:val="0"/>
              <w:rPr>
                <w:rFonts w:cs="Arial"/>
                <w:b/>
                <w:bCs/>
              </w:rPr>
            </w:pPr>
            <w:r w:rsidRPr="00C35B04">
              <w:rPr>
                <w:rFonts w:cs="Arial"/>
                <w:b/>
                <w:bCs/>
              </w:rPr>
              <w:t>Name</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0748EF3A" w14:textId="77777777" w:rsidR="002239ED" w:rsidRPr="00C35B04" w:rsidRDefault="002239ED" w:rsidP="007400CB">
            <w:pPr>
              <w:autoSpaceDE w:val="0"/>
              <w:autoSpaceDN w:val="0"/>
              <w:rPr>
                <w:rFonts w:cs="Arial"/>
                <w:b/>
                <w:bCs/>
              </w:rPr>
            </w:pPr>
            <w:r w:rsidRPr="00C35B04">
              <w:rPr>
                <w:rFonts w:cs="Arial"/>
                <w:b/>
                <w:bCs/>
              </w:rPr>
              <w:t>Position</w:t>
            </w:r>
          </w:p>
        </w:tc>
        <w:tc>
          <w:tcPr>
            <w:tcW w:w="1908" w:type="dxa"/>
            <w:tcBorders>
              <w:top w:val="single" w:sz="4" w:space="0" w:color="auto"/>
              <w:left w:val="single" w:sz="4" w:space="0" w:color="auto"/>
              <w:bottom w:val="single" w:sz="4" w:space="0" w:color="auto"/>
              <w:right w:val="single" w:sz="4" w:space="0" w:color="auto"/>
            </w:tcBorders>
            <w:shd w:val="clear" w:color="auto" w:fill="C6D9F1"/>
          </w:tcPr>
          <w:p w14:paraId="140E4184" w14:textId="77777777" w:rsidR="002239ED" w:rsidRPr="00C35B04" w:rsidRDefault="002239ED" w:rsidP="007400CB">
            <w:pPr>
              <w:autoSpaceDE w:val="0"/>
              <w:autoSpaceDN w:val="0"/>
              <w:rPr>
                <w:rFonts w:cs="Arial"/>
                <w:b/>
                <w:bCs/>
              </w:rPr>
            </w:pPr>
            <w:r w:rsidRPr="00C35B04">
              <w:rPr>
                <w:rFonts w:cs="Arial"/>
                <w:b/>
                <w:bCs/>
              </w:rPr>
              <w:t>Signature</w:t>
            </w:r>
          </w:p>
        </w:tc>
        <w:tc>
          <w:tcPr>
            <w:tcW w:w="1564" w:type="dxa"/>
            <w:tcBorders>
              <w:top w:val="single" w:sz="4" w:space="0" w:color="auto"/>
              <w:left w:val="single" w:sz="4" w:space="0" w:color="auto"/>
              <w:bottom w:val="single" w:sz="4" w:space="0" w:color="auto"/>
              <w:right w:val="single" w:sz="4" w:space="0" w:color="auto"/>
            </w:tcBorders>
            <w:shd w:val="clear" w:color="auto" w:fill="C6D9F1"/>
          </w:tcPr>
          <w:p w14:paraId="01F41656" w14:textId="77777777" w:rsidR="002239ED" w:rsidRPr="00C35B04" w:rsidRDefault="002239ED" w:rsidP="007400CB">
            <w:pPr>
              <w:autoSpaceDE w:val="0"/>
              <w:autoSpaceDN w:val="0"/>
              <w:rPr>
                <w:rFonts w:cs="Arial"/>
                <w:b/>
                <w:bCs/>
              </w:rPr>
            </w:pPr>
            <w:r w:rsidRPr="00C35B04">
              <w:rPr>
                <w:rFonts w:cs="Arial"/>
                <w:b/>
                <w:bCs/>
              </w:rPr>
              <w:t>Date</w:t>
            </w:r>
          </w:p>
        </w:tc>
      </w:tr>
      <w:tr w:rsidR="002239ED" w:rsidRPr="00A916B9" w14:paraId="326E3BB0" w14:textId="77777777" w:rsidTr="007400CB">
        <w:tc>
          <w:tcPr>
            <w:tcW w:w="1782" w:type="dxa"/>
            <w:tcBorders>
              <w:top w:val="single" w:sz="4" w:space="0" w:color="auto"/>
              <w:left w:val="single" w:sz="4" w:space="0" w:color="auto"/>
              <w:bottom w:val="single" w:sz="4" w:space="0" w:color="auto"/>
              <w:right w:val="single" w:sz="4" w:space="0" w:color="auto"/>
            </w:tcBorders>
          </w:tcPr>
          <w:p w14:paraId="64E35C4E" w14:textId="77777777" w:rsidR="002239ED" w:rsidRPr="00A916B9" w:rsidRDefault="002239ED" w:rsidP="007400CB">
            <w:pPr>
              <w:autoSpaceDE w:val="0"/>
              <w:autoSpaceDN w:val="0"/>
              <w:rPr>
                <w:rFonts w:cs="Arial"/>
              </w:rPr>
            </w:pPr>
          </w:p>
          <w:p w14:paraId="0158F712" w14:textId="77777777" w:rsidR="002239ED" w:rsidRPr="00A916B9" w:rsidRDefault="002239ED" w:rsidP="007400CB">
            <w:pPr>
              <w:autoSpaceDE w:val="0"/>
              <w:autoSpaceDN w:val="0"/>
              <w:rPr>
                <w:rFonts w:cs="Arial"/>
              </w:rPr>
            </w:pPr>
          </w:p>
          <w:p w14:paraId="4D0B1075" w14:textId="77777777" w:rsidR="002239ED" w:rsidRPr="00A916B9" w:rsidRDefault="002239ED" w:rsidP="007400CB">
            <w:pPr>
              <w:autoSpaceDE w:val="0"/>
              <w:autoSpaceDN w:val="0"/>
              <w:rPr>
                <w:rFonts w:cs="Arial"/>
              </w:rPr>
            </w:pPr>
          </w:p>
        </w:tc>
        <w:tc>
          <w:tcPr>
            <w:tcW w:w="3268" w:type="dxa"/>
            <w:tcBorders>
              <w:top w:val="single" w:sz="4" w:space="0" w:color="auto"/>
              <w:left w:val="single" w:sz="4" w:space="0" w:color="auto"/>
              <w:bottom w:val="single" w:sz="4" w:space="0" w:color="auto"/>
              <w:right w:val="single" w:sz="4" w:space="0" w:color="auto"/>
            </w:tcBorders>
          </w:tcPr>
          <w:p w14:paraId="3C8324B5" w14:textId="77777777" w:rsidR="002239ED" w:rsidRPr="00A916B9" w:rsidRDefault="002239ED" w:rsidP="007400CB">
            <w:pPr>
              <w:autoSpaceDE w:val="0"/>
              <w:autoSpaceDN w:val="0"/>
              <w:rPr>
                <w:rFonts w:cs="Arial"/>
              </w:rPr>
            </w:pPr>
          </w:p>
        </w:tc>
        <w:tc>
          <w:tcPr>
            <w:tcW w:w="1908" w:type="dxa"/>
            <w:tcBorders>
              <w:top w:val="single" w:sz="4" w:space="0" w:color="auto"/>
              <w:left w:val="single" w:sz="4" w:space="0" w:color="auto"/>
              <w:bottom w:val="single" w:sz="4" w:space="0" w:color="auto"/>
              <w:right w:val="single" w:sz="4" w:space="0" w:color="auto"/>
            </w:tcBorders>
          </w:tcPr>
          <w:p w14:paraId="0E240EA5" w14:textId="77777777" w:rsidR="002239ED" w:rsidRPr="00A916B9" w:rsidRDefault="002239ED" w:rsidP="007400CB">
            <w:pPr>
              <w:autoSpaceDE w:val="0"/>
              <w:autoSpaceDN w:val="0"/>
              <w:rPr>
                <w:rFonts w:cs="Arial"/>
              </w:rPr>
            </w:pPr>
          </w:p>
        </w:tc>
        <w:tc>
          <w:tcPr>
            <w:tcW w:w="1564" w:type="dxa"/>
            <w:tcBorders>
              <w:top w:val="single" w:sz="4" w:space="0" w:color="auto"/>
              <w:left w:val="single" w:sz="4" w:space="0" w:color="auto"/>
              <w:bottom w:val="single" w:sz="4" w:space="0" w:color="auto"/>
              <w:right w:val="single" w:sz="4" w:space="0" w:color="auto"/>
            </w:tcBorders>
          </w:tcPr>
          <w:p w14:paraId="18529015" w14:textId="77777777" w:rsidR="002239ED" w:rsidRPr="00A916B9" w:rsidRDefault="002239ED" w:rsidP="007400CB">
            <w:pPr>
              <w:autoSpaceDE w:val="0"/>
              <w:autoSpaceDN w:val="0"/>
              <w:rPr>
                <w:rFonts w:cs="Arial"/>
              </w:rPr>
            </w:pPr>
          </w:p>
        </w:tc>
      </w:tr>
    </w:tbl>
    <w:p w14:paraId="49F4A268" w14:textId="77777777" w:rsidR="002239ED" w:rsidRPr="00A916B9" w:rsidRDefault="002239ED" w:rsidP="002239ED">
      <w:pPr>
        <w:rPr>
          <w:rFonts w:cs="Arial"/>
        </w:rPr>
      </w:pPr>
    </w:p>
    <w:p w14:paraId="490756F5" w14:textId="77777777" w:rsidR="002239ED" w:rsidRDefault="002239ED" w:rsidP="002239ED">
      <w:r>
        <w:br w:type="page"/>
      </w:r>
    </w:p>
    <w:p w14:paraId="399FD36A" w14:textId="77777777" w:rsidR="002239ED" w:rsidRDefault="002239ED" w:rsidP="002239ED">
      <w:pPr>
        <w:rPr>
          <w:rFonts w:cs="Arial"/>
          <w:b/>
        </w:rPr>
      </w:pPr>
      <w:r>
        <w:rPr>
          <w:rFonts w:cs="Arial"/>
          <w:b/>
        </w:rPr>
        <w:lastRenderedPageBreak/>
        <w:t>Contents</w:t>
      </w:r>
    </w:p>
    <w:p w14:paraId="437E5E40" w14:textId="77777777" w:rsidR="002239ED" w:rsidRDefault="002239ED" w:rsidP="002239ED"/>
    <w:p w14:paraId="61F2A7CC" w14:textId="77777777" w:rsidR="002239ED" w:rsidRPr="00787A2A" w:rsidRDefault="002239ED" w:rsidP="002239ED">
      <w:pPr>
        <w:pStyle w:val="TOC1"/>
        <w:rPr>
          <w:rFonts w:ascii="Calibri" w:hAnsi="Calibri"/>
          <w:b w:val="0"/>
          <w:caps w:val="0"/>
          <w:sz w:val="22"/>
          <w:szCs w:val="22"/>
          <w:lang w:eastAsia="en-GB"/>
        </w:rPr>
      </w:pPr>
      <w:r>
        <w:rPr>
          <w:b w:val="0"/>
          <w:caps w:val="0"/>
        </w:rPr>
        <w:fldChar w:fldCharType="begin"/>
      </w:r>
      <w:r>
        <w:rPr>
          <w:b w:val="0"/>
          <w:caps w:val="0"/>
        </w:rPr>
        <w:instrText xml:space="preserve"> TOC \o "1-3" \h \z \u </w:instrText>
      </w:r>
      <w:r>
        <w:rPr>
          <w:b w:val="0"/>
          <w:caps w:val="0"/>
        </w:rPr>
        <w:fldChar w:fldCharType="separate"/>
      </w:r>
      <w:hyperlink w:anchor="_Toc379371165" w:history="1">
        <w:r w:rsidRPr="00D61AAC">
          <w:rPr>
            <w:rStyle w:val="Hyperlink"/>
            <w:rFonts w:cs="Arial"/>
          </w:rPr>
          <w:t>1</w:t>
        </w:r>
        <w:r w:rsidRPr="00787A2A">
          <w:rPr>
            <w:rFonts w:ascii="Calibri" w:hAnsi="Calibri"/>
            <w:b w:val="0"/>
            <w:caps w:val="0"/>
            <w:sz w:val="22"/>
            <w:szCs w:val="22"/>
            <w:lang w:eastAsia="en-GB"/>
          </w:rPr>
          <w:tab/>
        </w:r>
        <w:r w:rsidRPr="00D61AAC">
          <w:rPr>
            <w:rStyle w:val="Hyperlink"/>
          </w:rPr>
          <w:t>Introduction</w:t>
        </w:r>
        <w:r>
          <w:rPr>
            <w:webHidden/>
          </w:rPr>
          <w:tab/>
        </w:r>
        <w:r>
          <w:rPr>
            <w:webHidden/>
          </w:rPr>
          <w:fldChar w:fldCharType="begin"/>
        </w:r>
        <w:r>
          <w:rPr>
            <w:webHidden/>
          </w:rPr>
          <w:instrText xml:space="preserve"> PAGEREF _Toc379371165 \h </w:instrText>
        </w:r>
        <w:r>
          <w:rPr>
            <w:webHidden/>
          </w:rPr>
        </w:r>
        <w:r>
          <w:rPr>
            <w:webHidden/>
          </w:rPr>
          <w:fldChar w:fldCharType="separate"/>
        </w:r>
        <w:r>
          <w:rPr>
            <w:webHidden/>
          </w:rPr>
          <w:t>5</w:t>
        </w:r>
        <w:r>
          <w:rPr>
            <w:webHidden/>
          </w:rPr>
          <w:fldChar w:fldCharType="end"/>
        </w:r>
      </w:hyperlink>
    </w:p>
    <w:p w14:paraId="351C2230" w14:textId="77777777" w:rsidR="002239ED" w:rsidRPr="00787A2A" w:rsidRDefault="002239ED" w:rsidP="002239ED">
      <w:pPr>
        <w:pStyle w:val="TOC2"/>
        <w:tabs>
          <w:tab w:val="left" w:pos="720"/>
          <w:tab w:val="right" w:leader="dot" w:pos="8303"/>
        </w:tabs>
        <w:rPr>
          <w:rFonts w:ascii="Calibri" w:hAnsi="Calibri"/>
          <w:smallCaps w:val="0"/>
          <w:noProof/>
          <w:sz w:val="22"/>
          <w:szCs w:val="22"/>
          <w:lang w:eastAsia="en-GB"/>
        </w:rPr>
      </w:pPr>
      <w:hyperlink w:anchor="_Toc379371166" w:history="1">
        <w:r w:rsidRPr="00D61AAC">
          <w:rPr>
            <w:rStyle w:val="Hyperlink"/>
            <w:noProof/>
          </w:rPr>
          <w:t>1.1</w:t>
        </w:r>
        <w:r w:rsidRPr="00787A2A">
          <w:rPr>
            <w:rFonts w:ascii="Calibri" w:hAnsi="Calibri"/>
            <w:smallCaps w:val="0"/>
            <w:noProof/>
            <w:sz w:val="22"/>
            <w:szCs w:val="22"/>
            <w:lang w:eastAsia="en-GB"/>
          </w:rPr>
          <w:tab/>
        </w:r>
        <w:r w:rsidRPr="00D61AAC">
          <w:rPr>
            <w:rStyle w:val="Hyperlink"/>
            <w:noProof/>
          </w:rPr>
          <w:t>Risks Addressed</w:t>
        </w:r>
        <w:r>
          <w:rPr>
            <w:noProof/>
            <w:webHidden/>
          </w:rPr>
          <w:tab/>
        </w:r>
        <w:r>
          <w:rPr>
            <w:noProof/>
            <w:webHidden/>
          </w:rPr>
          <w:fldChar w:fldCharType="begin"/>
        </w:r>
        <w:r>
          <w:rPr>
            <w:noProof/>
            <w:webHidden/>
          </w:rPr>
          <w:instrText xml:space="preserve"> PAGEREF _Toc379371166 \h </w:instrText>
        </w:r>
        <w:r>
          <w:rPr>
            <w:noProof/>
            <w:webHidden/>
          </w:rPr>
        </w:r>
        <w:r>
          <w:rPr>
            <w:noProof/>
            <w:webHidden/>
          </w:rPr>
          <w:fldChar w:fldCharType="separate"/>
        </w:r>
        <w:r>
          <w:rPr>
            <w:noProof/>
            <w:webHidden/>
          </w:rPr>
          <w:t>5</w:t>
        </w:r>
        <w:r>
          <w:rPr>
            <w:noProof/>
            <w:webHidden/>
          </w:rPr>
          <w:fldChar w:fldCharType="end"/>
        </w:r>
      </w:hyperlink>
    </w:p>
    <w:p w14:paraId="1358668E" w14:textId="77777777" w:rsidR="002239ED" w:rsidRPr="00787A2A" w:rsidRDefault="002239ED" w:rsidP="002239ED">
      <w:pPr>
        <w:pStyle w:val="TOC2"/>
        <w:tabs>
          <w:tab w:val="left" w:pos="720"/>
          <w:tab w:val="right" w:leader="dot" w:pos="8303"/>
        </w:tabs>
        <w:rPr>
          <w:rFonts w:ascii="Calibri" w:hAnsi="Calibri"/>
          <w:smallCaps w:val="0"/>
          <w:noProof/>
          <w:sz w:val="22"/>
          <w:szCs w:val="22"/>
          <w:lang w:eastAsia="en-GB"/>
        </w:rPr>
      </w:pPr>
      <w:hyperlink w:anchor="_Toc379371167" w:history="1">
        <w:r w:rsidRPr="00D61AAC">
          <w:rPr>
            <w:rStyle w:val="Hyperlink"/>
            <w:noProof/>
            <w:lang w:eastAsia="en-GB"/>
          </w:rPr>
          <w:t>1.2</w:t>
        </w:r>
        <w:r w:rsidRPr="00787A2A">
          <w:rPr>
            <w:rFonts w:ascii="Calibri" w:hAnsi="Calibri"/>
            <w:smallCaps w:val="0"/>
            <w:noProof/>
            <w:sz w:val="22"/>
            <w:szCs w:val="22"/>
            <w:lang w:eastAsia="en-GB"/>
          </w:rPr>
          <w:tab/>
        </w:r>
        <w:r w:rsidRPr="00D61AAC">
          <w:rPr>
            <w:rStyle w:val="Hyperlink"/>
            <w:noProof/>
          </w:rPr>
          <w:t>Scope</w:t>
        </w:r>
        <w:r>
          <w:rPr>
            <w:noProof/>
            <w:webHidden/>
          </w:rPr>
          <w:tab/>
        </w:r>
        <w:r>
          <w:rPr>
            <w:noProof/>
            <w:webHidden/>
          </w:rPr>
          <w:fldChar w:fldCharType="begin"/>
        </w:r>
        <w:r>
          <w:rPr>
            <w:noProof/>
            <w:webHidden/>
          </w:rPr>
          <w:instrText xml:space="preserve"> PAGEREF _Toc379371167 \h </w:instrText>
        </w:r>
        <w:r>
          <w:rPr>
            <w:noProof/>
            <w:webHidden/>
          </w:rPr>
        </w:r>
        <w:r>
          <w:rPr>
            <w:noProof/>
            <w:webHidden/>
          </w:rPr>
          <w:fldChar w:fldCharType="separate"/>
        </w:r>
        <w:r>
          <w:rPr>
            <w:noProof/>
            <w:webHidden/>
          </w:rPr>
          <w:t>5</w:t>
        </w:r>
        <w:r>
          <w:rPr>
            <w:noProof/>
            <w:webHidden/>
          </w:rPr>
          <w:fldChar w:fldCharType="end"/>
        </w:r>
      </w:hyperlink>
    </w:p>
    <w:p w14:paraId="41630444" w14:textId="77777777" w:rsidR="002239ED" w:rsidRPr="00787A2A" w:rsidRDefault="002239ED" w:rsidP="002239ED">
      <w:pPr>
        <w:pStyle w:val="TOC2"/>
        <w:tabs>
          <w:tab w:val="left" w:pos="720"/>
          <w:tab w:val="right" w:leader="dot" w:pos="8303"/>
        </w:tabs>
        <w:rPr>
          <w:rFonts w:ascii="Calibri" w:hAnsi="Calibri"/>
          <w:smallCaps w:val="0"/>
          <w:noProof/>
          <w:sz w:val="22"/>
          <w:szCs w:val="22"/>
          <w:lang w:eastAsia="en-GB"/>
        </w:rPr>
      </w:pPr>
      <w:hyperlink w:anchor="_Toc379371168" w:history="1">
        <w:r w:rsidRPr="00D61AAC">
          <w:rPr>
            <w:rStyle w:val="Hyperlink"/>
            <w:noProof/>
          </w:rPr>
          <w:t>1.3</w:t>
        </w:r>
        <w:r w:rsidRPr="00787A2A">
          <w:rPr>
            <w:rFonts w:ascii="Calibri" w:hAnsi="Calibri"/>
            <w:smallCaps w:val="0"/>
            <w:noProof/>
            <w:sz w:val="22"/>
            <w:szCs w:val="22"/>
            <w:lang w:eastAsia="en-GB"/>
          </w:rPr>
          <w:tab/>
        </w:r>
        <w:r w:rsidRPr="00D61AAC">
          <w:rPr>
            <w:rStyle w:val="Hyperlink"/>
            <w:noProof/>
          </w:rPr>
          <w:t>Related Documents</w:t>
        </w:r>
        <w:r>
          <w:rPr>
            <w:noProof/>
            <w:webHidden/>
          </w:rPr>
          <w:tab/>
        </w:r>
        <w:r>
          <w:rPr>
            <w:noProof/>
            <w:webHidden/>
          </w:rPr>
          <w:fldChar w:fldCharType="begin"/>
        </w:r>
        <w:r>
          <w:rPr>
            <w:noProof/>
            <w:webHidden/>
          </w:rPr>
          <w:instrText xml:space="preserve"> PAGEREF _Toc379371168 \h </w:instrText>
        </w:r>
        <w:r>
          <w:rPr>
            <w:noProof/>
            <w:webHidden/>
          </w:rPr>
        </w:r>
        <w:r>
          <w:rPr>
            <w:noProof/>
            <w:webHidden/>
          </w:rPr>
          <w:fldChar w:fldCharType="separate"/>
        </w:r>
        <w:r>
          <w:rPr>
            <w:noProof/>
            <w:webHidden/>
          </w:rPr>
          <w:t>5</w:t>
        </w:r>
        <w:r>
          <w:rPr>
            <w:noProof/>
            <w:webHidden/>
          </w:rPr>
          <w:fldChar w:fldCharType="end"/>
        </w:r>
      </w:hyperlink>
    </w:p>
    <w:p w14:paraId="0EA784C4" w14:textId="77777777" w:rsidR="002239ED" w:rsidRPr="00787A2A" w:rsidRDefault="002239ED" w:rsidP="002239ED">
      <w:pPr>
        <w:pStyle w:val="TOC2"/>
        <w:tabs>
          <w:tab w:val="left" w:pos="720"/>
          <w:tab w:val="right" w:leader="dot" w:pos="8303"/>
        </w:tabs>
        <w:rPr>
          <w:rFonts w:ascii="Calibri" w:hAnsi="Calibri"/>
          <w:smallCaps w:val="0"/>
          <w:noProof/>
          <w:sz w:val="22"/>
          <w:szCs w:val="22"/>
          <w:lang w:eastAsia="en-GB"/>
        </w:rPr>
      </w:pPr>
      <w:hyperlink w:anchor="_Toc379371169" w:history="1">
        <w:r w:rsidRPr="00D61AAC">
          <w:rPr>
            <w:rStyle w:val="Hyperlink"/>
            <w:noProof/>
          </w:rPr>
          <w:t>1.4</w:t>
        </w:r>
        <w:r w:rsidRPr="00787A2A">
          <w:rPr>
            <w:rFonts w:ascii="Calibri" w:hAnsi="Calibri"/>
            <w:smallCaps w:val="0"/>
            <w:noProof/>
            <w:sz w:val="22"/>
            <w:szCs w:val="22"/>
            <w:lang w:eastAsia="en-GB"/>
          </w:rPr>
          <w:tab/>
        </w:r>
        <w:r w:rsidRPr="00D61AAC">
          <w:rPr>
            <w:rStyle w:val="Hyperlink"/>
            <w:noProof/>
          </w:rPr>
          <w:t>Purpose</w:t>
        </w:r>
        <w:r>
          <w:rPr>
            <w:noProof/>
            <w:webHidden/>
          </w:rPr>
          <w:tab/>
        </w:r>
        <w:r>
          <w:rPr>
            <w:noProof/>
            <w:webHidden/>
          </w:rPr>
          <w:fldChar w:fldCharType="begin"/>
        </w:r>
        <w:r>
          <w:rPr>
            <w:noProof/>
            <w:webHidden/>
          </w:rPr>
          <w:instrText xml:space="preserve"> PAGEREF _Toc379371169 \h </w:instrText>
        </w:r>
        <w:r>
          <w:rPr>
            <w:noProof/>
            <w:webHidden/>
          </w:rPr>
        </w:r>
        <w:r>
          <w:rPr>
            <w:noProof/>
            <w:webHidden/>
          </w:rPr>
          <w:fldChar w:fldCharType="separate"/>
        </w:r>
        <w:r>
          <w:rPr>
            <w:noProof/>
            <w:webHidden/>
          </w:rPr>
          <w:t>5</w:t>
        </w:r>
        <w:r>
          <w:rPr>
            <w:noProof/>
            <w:webHidden/>
          </w:rPr>
          <w:fldChar w:fldCharType="end"/>
        </w:r>
      </w:hyperlink>
    </w:p>
    <w:p w14:paraId="4B9D016F" w14:textId="77777777" w:rsidR="002239ED" w:rsidRPr="00787A2A" w:rsidRDefault="002239ED" w:rsidP="002239ED">
      <w:pPr>
        <w:pStyle w:val="TOC1"/>
        <w:rPr>
          <w:rFonts w:ascii="Calibri" w:hAnsi="Calibri"/>
          <w:b w:val="0"/>
          <w:caps w:val="0"/>
          <w:sz w:val="22"/>
          <w:szCs w:val="22"/>
          <w:lang w:eastAsia="en-GB"/>
        </w:rPr>
      </w:pPr>
      <w:hyperlink w:anchor="_Toc379371170" w:history="1">
        <w:r w:rsidRPr="00D61AAC">
          <w:rPr>
            <w:rStyle w:val="Hyperlink"/>
            <w:lang w:eastAsia="en-GB"/>
          </w:rPr>
          <w:t>2</w:t>
        </w:r>
        <w:r w:rsidRPr="00787A2A">
          <w:rPr>
            <w:rFonts w:ascii="Calibri" w:hAnsi="Calibri"/>
            <w:b w:val="0"/>
            <w:caps w:val="0"/>
            <w:sz w:val="22"/>
            <w:szCs w:val="22"/>
            <w:lang w:eastAsia="en-GB"/>
          </w:rPr>
          <w:tab/>
        </w:r>
        <w:r w:rsidRPr="00D61AAC">
          <w:rPr>
            <w:rStyle w:val="Hyperlink"/>
            <w:lang w:eastAsia="en-GB"/>
          </w:rPr>
          <w:t>Technical Vulnerability Management</w:t>
        </w:r>
        <w:r>
          <w:rPr>
            <w:webHidden/>
          </w:rPr>
          <w:tab/>
        </w:r>
        <w:r>
          <w:rPr>
            <w:webHidden/>
          </w:rPr>
          <w:fldChar w:fldCharType="begin"/>
        </w:r>
        <w:r>
          <w:rPr>
            <w:webHidden/>
          </w:rPr>
          <w:instrText xml:space="preserve"> PAGEREF _Toc379371170 \h </w:instrText>
        </w:r>
        <w:r>
          <w:rPr>
            <w:webHidden/>
          </w:rPr>
        </w:r>
        <w:r>
          <w:rPr>
            <w:webHidden/>
          </w:rPr>
          <w:fldChar w:fldCharType="separate"/>
        </w:r>
        <w:r>
          <w:rPr>
            <w:webHidden/>
          </w:rPr>
          <w:t>6</w:t>
        </w:r>
        <w:r>
          <w:rPr>
            <w:webHidden/>
          </w:rPr>
          <w:fldChar w:fldCharType="end"/>
        </w:r>
      </w:hyperlink>
    </w:p>
    <w:p w14:paraId="614CDBEF" w14:textId="77777777" w:rsidR="002239ED" w:rsidRPr="00787A2A" w:rsidRDefault="002239ED" w:rsidP="002239ED">
      <w:pPr>
        <w:pStyle w:val="TOC2"/>
        <w:tabs>
          <w:tab w:val="left" w:pos="720"/>
          <w:tab w:val="right" w:leader="dot" w:pos="8303"/>
        </w:tabs>
        <w:rPr>
          <w:rFonts w:ascii="Calibri" w:hAnsi="Calibri"/>
          <w:smallCaps w:val="0"/>
          <w:noProof/>
          <w:sz w:val="22"/>
          <w:szCs w:val="22"/>
          <w:lang w:eastAsia="en-GB"/>
        </w:rPr>
      </w:pPr>
      <w:hyperlink w:anchor="_Toc379371171" w:history="1">
        <w:r w:rsidRPr="00D61AAC">
          <w:rPr>
            <w:rStyle w:val="Hyperlink"/>
            <w:noProof/>
            <w:lang w:eastAsia="en-GB"/>
          </w:rPr>
          <w:t>2.1</w:t>
        </w:r>
        <w:r w:rsidRPr="00787A2A">
          <w:rPr>
            <w:rFonts w:ascii="Calibri" w:hAnsi="Calibri"/>
            <w:smallCaps w:val="0"/>
            <w:noProof/>
            <w:sz w:val="22"/>
            <w:szCs w:val="22"/>
            <w:lang w:eastAsia="en-GB"/>
          </w:rPr>
          <w:tab/>
        </w:r>
        <w:r w:rsidRPr="00D61AAC">
          <w:rPr>
            <w:rStyle w:val="Hyperlink"/>
            <w:noProof/>
            <w:lang w:eastAsia="en-GB"/>
          </w:rPr>
          <w:t>The Threat</w:t>
        </w:r>
        <w:r>
          <w:rPr>
            <w:noProof/>
            <w:webHidden/>
          </w:rPr>
          <w:tab/>
        </w:r>
        <w:r>
          <w:rPr>
            <w:noProof/>
            <w:webHidden/>
          </w:rPr>
          <w:fldChar w:fldCharType="begin"/>
        </w:r>
        <w:r>
          <w:rPr>
            <w:noProof/>
            <w:webHidden/>
          </w:rPr>
          <w:instrText xml:space="preserve"> PAGEREF _Toc379371171 \h </w:instrText>
        </w:r>
        <w:r>
          <w:rPr>
            <w:noProof/>
            <w:webHidden/>
          </w:rPr>
        </w:r>
        <w:r>
          <w:rPr>
            <w:noProof/>
            <w:webHidden/>
          </w:rPr>
          <w:fldChar w:fldCharType="separate"/>
        </w:r>
        <w:r>
          <w:rPr>
            <w:noProof/>
            <w:webHidden/>
          </w:rPr>
          <w:t>6</w:t>
        </w:r>
        <w:r>
          <w:rPr>
            <w:noProof/>
            <w:webHidden/>
          </w:rPr>
          <w:fldChar w:fldCharType="end"/>
        </w:r>
      </w:hyperlink>
    </w:p>
    <w:p w14:paraId="5C9E4D25" w14:textId="77777777" w:rsidR="002239ED" w:rsidRPr="00787A2A" w:rsidRDefault="002239ED" w:rsidP="002239ED">
      <w:pPr>
        <w:pStyle w:val="TOC2"/>
        <w:tabs>
          <w:tab w:val="left" w:pos="720"/>
          <w:tab w:val="right" w:leader="dot" w:pos="8303"/>
        </w:tabs>
        <w:rPr>
          <w:rFonts w:ascii="Calibri" w:hAnsi="Calibri"/>
          <w:smallCaps w:val="0"/>
          <w:noProof/>
          <w:sz w:val="22"/>
          <w:szCs w:val="22"/>
          <w:lang w:eastAsia="en-GB"/>
        </w:rPr>
      </w:pPr>
      <w:hyperlink w:anchor="_Toc379371172" w:history="1">
        <w:r w:rsidRPr="00D61AAC">
          <w:rPr>
            <w:rStyle w:val="Hyperlink"/>
            <w:noProof/>
            <w:lang w:eastAsia="en-GB"/>
          </w:rPr>
          <w:t>2.2</w:t>
        </w:r>
        <w:r w:rsidRPr="00787A2A">
          <w:rPr>
            <w:rFonts w:ascii="Calibri" w:hAnsi="Calibri"/>
            <w:smallCaps w:val="0"/>
            <w:noProof/>
            <w:sz w:val="22"/>
            <w:szCs w:val="22"/>
            <w:lang w:eastAsia="en-GB"/>
          </w:rPr>
          <w:tab/>
        </w:r>
        <w:r w:rsidRPr="00D61AAC">
          <w:rPr>
            <w:rStyle w:val="Hyperlink"/>
            <w:noProof/>
            <w:lang w:eastAsia="en-GB"/>
          </w:rPr>
          <w:t>What is a Technical Vulnerability?</w:t>
        </w:r>
        <w:r>
          <w:rPr>
            <w:noProof/>
            <w:webHidden/>
          </w:rPr>
          <w:tab/>
        </w:r>
        <w:r>
          <w:rPr>
            <w:noProof/>
            <w:webHidden/>
          </w:rPr>
          <w:fldChar w:fldCharType="begin"/>
        </w:r>
        <w:r>
          <w:rPr>
            <w:noProof/>
            <w:webHidden/>
          </w:rPr>
          <w:instrText xml:space="preserve"> PAGEREF _Toc379371172 \h </w:instrText>
        </w:r>
        <w:r>
          <w:rPr>
            <w:noProof/>
            <w:webHidden/>
          </w:rPr>
        </w:r>
        <w:r>
          <w:rPr>
            <w:noProof/>
            <w:webHidden/>
          </w:rPr>
          <w:fldChar w:fldCharType="separate"/>
        </w:r>
        <w:r>
          <w:rPr>
            <w:noProof/>
            <w:webHidden/>
          </w:rPr>
          <w:t>7</w:t>
        </w:r>
        <w:r>
          <w:rPr>
            <w:noProof/>
            <w:webHidden/>
          </w:rPr>
          <w:fldChar w:fldCharType="end"/>
        </w:r>
      </w:hyperlink>
    </w:p>
    <w:p w14:paraId="40025ECE" w14:textId="77777777" w:rsidR="002239ED" w:rsidRPr="00787A2A" w:rsidRDefault="002239ED" w:rsidP="002239ED">
      <w:pPr>
        <w:pStyle w:val="TOC2"/>
        <w:tabs>
          <w:tab w:val="left" w:pos="720"/>
          <w:tab w:val="right" w:leader="dot" w:pos="8303"/>
        </w:tabs>
        <w:rPr>
          <w:rFonts w:ascii="Calibri" w:hAnsi="Calibri"/>
          <w:smallCaps w:val="0"/>
          <w:noProof/>
          <w:sz w:val="22"/>
          <w:szCs w:val="22"/>
          <w:lang w:eastAsia="en-GB"/>
        </w:rPr>
      </w:pPr>
      <w:hyperlink w:anchor="_Toc379371173" w:history="1">
        <w:r w:rsidRPr="00D61AAC">
          <w:rPr>
            <w:rStyle w:val="Hyperlink"/>
            <w:noProof/>
            <w:lang w:eastAsia="en-GB"/>
          </w:rPr>
          <w:t>2.3</w:t>
        </w:r>
        <w:r w:rsidRPr="00787A2A">
          <w:rPr>
            <w:rFonts w:ascii="Calibri" w:hAnsi="Calibri"/>
            <w:smallCaps w:val="0"/>
            <w:noProof/>
            <w:sz w:val="22"/>
            <w:szCs w:val="22"/>
            <w:lang w:eastAsia="en-GB"/>
          </w:rPr>
          <w:tab/>
        </w:r>
        <w:r w:rsidRPr="00D61AAC">
          <w:rPr>
            <w:rStyle w:val="Hyperlink"/>
            <w:noProof/>
            <w:lang w:eastAsia="en-GB"/>
          </w:rPr>
          <w:t>Sources of Information</w:t>
        </w:r>
        <w:r>
          <w:rPr>
            <w:noProof/>
            <w:webHidden/>
          </w:rPr>
          <w:tab/>
        </w:r>
        <w:r>
          <w:rPr>
            <w:noProof/>
            <w:webHidden/>
          </w:rPr>
          <w:fldChar w:fldCharType="begin"/>
        </w:r>
        <w:r>
          <w:rPr>
            <w:noProof/>
            <w:webHidden/>
          </w:rPr>
          <w:instrText xml:space="preserve"> PAGEREF _Toc379371173 \h </w:instrText>
        </w:r>
        <w:r>
          <w:rPr>
            <w:noProof/>
            <w:webHidden/>
          </w:rPr>
        </w:r>
        <w:r>
          <w:rPr>
            <w:noProof/>
            <w:webHidden/>
          </w:rPr>
          <w:fldChar w:fldCharType="separate"/>
        </w:r>
        <w:r>
          <w:rPr>
            <w:noProof/>
            <w:webHidden/>
          </w:rPr>
          <w:t>7</w:t>
        </w:r>
        <w:r>
          <w:rPr>
            <w:noProof/>
            <w:webHidden/>
          </w:rPr>
          <w:fldChar w:fldCharType="end"/>
        </w:r>
      </w:hyperlink>
    </w:p>
    <w:p w14:paraId="35FBE0EC" w14:textId="77777777" w:rsidR="002239ED" w:rsidRPr="00787A2A" w:rsidRDefault="002239ED" w:rsidP="002239ED">
      <w:pPr>
        <w:pStyle w:val="TOC2"/>
        <w:tabs>
          <w:tab w:val="left" w:pos="720"/>
          <w:tab w:val="right" w:leader="dot" w:pos="8303"/>
        </w:tabs>
        <w:rPr>
          <w:rFonts w:ascii="Calibri" w:hAnsi="Calibri"/>
          <w:smallCaps w:val="0"/>
          <w:noProof/>
          <w:sz w:val="22"/>
          <w:szCs w:val="22"/>
          <w:lang w:eastAsia="en-GB"/>
        </w:rPr>
      </w:pPr>
      <w:hyperlink w:anchor="_Toc379371174" w:history="1">
        <w:r w:rsidRPr="00D61AAC">
          <w:rPr>
            <w:rStyle w:val="Hyperlink"/>
            <w:noProof/>
            <w:lang w:eastAsia="en-GB"/>
          </w:rPr>
          <w:t>2.4</w:t>
        </w:r>
        <w:r w:rsidRPr="00787A2A">
          <w:rPr>
            <w:rFonts w:ascii="Calibri" w:hAnsi="Calibri"/>
            <w:smallCaps w:val="0"/>
            <w:noProof/>
            <w:sz w:val="22"/>
            <w:szCs w:val="22"/>
            <w:lang w:eastAsia="en-GB"/>
          </w:rPr>
          <w:tab/>
        </w:r>
        <w:r w:rsidRPr="00D61AAC">
          <w:rPr>
            <w:rStyle w:val="Hyperlink"/>
            <w:noProof/>
            <w:lang w:eastAsia="en-GB"/>
          </w:rPr>
          <w:t>Patches and Updates</w:t>
        </w:r>
        <w:r>
          <w:rPr>
            <w:noProof/>
            <w:webHidden/>
          </w:rPr>
          <w:tab/>
        </w:r>
        <w:r>
          <w:rPr>
            <w:noProof/>
            <w:webHidden/>
          </w:rPr>
          <w:fldChar w:fldCharType="begin"/>
        </w:r>
        <w:r>
          <w:rPr>
            <w:noProof/>
            <w:webHidden/>
          </w:rPr>
          <w:instrText xml:space="preserve"> PAGEREF _Toc379371174 \h </w:instrText>
        </w:r>
        <w:r>
          <w:rPr>
            <w:noProof/>
            <w:webHidden/>
          </w:rPr>
        </w:r>
        <w:r>
          <w:rPr>
            <w:noProof/>
            <w:webHidden/>
          </w:rPr>
          <w:fldChar w:fldCharType="separate"/>
        </w:r>
        <w:r>
          <w:rPr>
            <w:noProof/>
            <w:webHidden/>
          </w:rPr>
          <w:t>8</w:t>
        </w:r>
        <w:r>
          <w:rPr>
            <w:noProof/>
            <w:webHidden/>
          </w:rPr>
          <w:fldChar w:fldCharType="end"/>
        </w:r>
      </w:hyperlink>
    </w:p>
    <w:p w14:paraId="1AF0A0A4" w14:textId="77777777" w:rsidR="002239ED" w:rsidRPr="00787A2A" w:rsidRDefault="002239ED" w:rsidP="002239ED">
      <w:pPr>
        <w:pStyle w:val="TOC2"/>
        <w:tabs>
          <w:tab w:val="left" w:pos="720"/>
          <w:tab w:val="right" w:leader="dot" w:pos="8303"/>
        </w:tabs>
        <w:rPr>
          <w:rFonts w:ascii="Calibri" w:hAnsi="Calibri"/>
          <w:smallCaps w:val="0"/>
          <w:noProof/>
          <w:sz w:val="22"/>
          <w:szCs w:val="22"/>
          <w:lang w:eastAsia="en-GB"/>
        </w:rPr>
      </w:pPr>
      <w:hyperlink w:anchor="_Toc379371175" w:history="1">
        <w:r w:rsidRPr="00D61AAC">
          <w:rPr>
            <w:rStyle w:val="Hyperlink"/>
            <w:noProof/>
            <w:lang w:eastAsia="en-GB"/>
          </w:rPr>
          <w:t>2.5</w:t>
        </w:r>
        <w:r w:rsidRPr="00787A2A">
          <w:rPr>
            <w:rFonts w:ascii="Calibri" w:hAnsi="Calibri"/>
            <w:smallCaps w:val="0"/>
            <w:noProof/>
            <w:sz w:val="22"/>
            <w:szCs w:val="22"/>
            <w:lang w:eastAsia="en-GB"/>
          </w:rPr>
          <w:tab/>
        </w:r>
        <w:r w:rsidRPr="00D61AAC">
          <w:rPr>
            <w:rStyle w:val="Hyperlink"/>
            <w:noProof/>
            <w:lang w:eastAsia="en-GB"/>
          </w:rPr>
          <w:t>Vulnerability Assessment</w:t>
        </w:r>
        <w:r>
          <w:rPr>
            <w:noProof/>
            <w:webHidden/>
          </w:rPr>
          <w:tab/>
        </w:r>
        <w:r>
          <w:rPr>
            <w:noProof/>
            <w:webHidden/>
          </w:rPr>
          <w:fldChar w:fldCharType="begin"/>
        </w:r>
        <w:r>
          <w:rPr>
            <w:noProof/>
            <w:webHidden/>
          </w:rPr>
          <w:instrText xml:space="preserve"> PAGEREF _Toc379371175 \h </w:instrText>
        </w:r>
        <w:r>
          <w:rPr>
            <w:noProof/>
            <w:webHidden/>
          </w:rPr>
        </w:r>
        <w:r>
          <w:rPr>
            <w:noProof/>
            <w:webHidden/>
          </w:rPr>
          <w:fldChar w:fldCharType="separate"/>
        </w:r>
        <w:r>
          <w:rPr>
            <w:noProof/>
            <w:webHidden/>
          </w:rPr>
          <w:t>8</w:t>
        </w:r>
        <w:r>
          <w:rPr>
            <w:noProof/>
            <w:webHidden/>
          </w:rPr>
          <w:fldChar w:fldCharType="end"/>
        </w:r>
      </w:hyperlink>
    </w:p>
    <w:p w14:paraId="1C4F846E" w14:textId="77777777" w:rsidR="002239ED" w:rsidRPr="00787A2A" w:rsidRDefault="002239ED" w:rsidP="002239ED">
      <w:pPr>
        <w:pStyle w:val="TOC2"/>
        <w:tabs>
          <w:tab w:val="left" w:pos="720"/>
          <w:tab w:val="right" w:leader="dot" w:pos="8303"/>
        </w:tabs>
        <w:rPr>
          <w:rFonts w:ascii="Calibri" w:hAnsi="Calibri"/>
          <w:smallCaps w:val="0"/>
          <w:noProof/>
          <w:sz w:val="22"/>
          <w:szCs w:val="22"/>
          <w:lang w:eastAsia="en-GB"/>
        </w:rPr>
      </w:pPr>
      <w:hyperlink w:anchor="_Toc379371176" w:history="1">
        <w:r w:rsidRPr="00D61AAC">
          <w:rPr>
            <w:rStyle w:val="Hyperlink"/>
            <w:noProof/>
            <w:lang w:eastAsia="en-GB"/>
          </w:rPr>
          <w:t>2.6</w:t>
        </w:r>
        <w:r w:rsidRPr="00787A2A">
          <w:rPr>
            <w:rFonts w:ascii="Calibri" w:hAnsi="Calibri"/>
            <w:smallCaps w:val="0"/>
            <w:noProof/>
            <w:sz w:val="22"/>
            <w:szCs w:val="22"/>
            <w:lang w:eastAsia="en-GB"/>
          </w:rPr>
          <w:tab/>
        </w:r>
        <w:r w:rsidRPr="00D61AAC">
          <w:rPr>
            <w:rStyle w:val="Hyperlink"/>
            <w:noProof/>
            <w:lang w:eastAsia="en-GB"/>
          </w:rPr>
          <w:t>Hardening</w:t>
        </w:r>
        <w:r>
          <w:rPr>
            <w:noProof/>
            <w:webHidden/>
          </w:rPr>
          <w:tab/>
        </w:r>
        <w:r>
          <w:rPr>
            <w:noProof/>
            <w:webHidden/>
          </w:rPr>
          <w:fldChar w:fldCharType="begin"/>
        </w:r>
        <w:r>
          <w:rPr>
            <w:noProof/>
            <w:webHidden/>
          </w:rPr>
          <w:instrText xml:space="preserve"> PAGEREF _Toc379371176 \h </w:instrText>
        </w:r>
        <w:r>
          <w:rPr>
            <w:noProof/>
            <w:webHidden/>
          </w:rPr>
        </w:r>
        <w:r>
          <w:rPr>
            <w:noProof/>
            <w:webHidden/>
          </w:rPr>
          <w:fldChar w:fldCharType="separate"/>
        </w:r>
        <w:r>
          <w:rPr>
            <w:noProof/>
            <w:webHidden/>
          </w:rPr>
          <w:t>9</w:t>
        </w:r>
        <w:r>
          <w:rPr>
            <w:noProof/>
            <w:webHidden/>
          </w:rPr>
          <w:fldChar w:fldCharType="end"/>
        </w:r>
      </w:hyperlink>
    </w:p>
    <w:p w14:paraId="31982310" w14:textId="77777777" w:rsidR="002239ED" w:rsidRPr="00787A2A" w:rsidRDefault="002239ED" w:rsidP="002239ED">
      <w:pPr>
        <w:pStyle w:val="TOC2"/>
        <w:tabs>
          <w:tab w:val="left" w:pos="720"/>
          <w:tab w:val="right" w:leader="dot" w:pos="8303"/>
        </w:tabs>
        <w:rPr>
          <w:rFonts w:ascii="Calibri" w:hAnsi="Calibri"/>
          <w:smallCaps w:val="0"/>
          <w:noProof/>
          <w:sz w:val="22"/>
          <w:szCs w:val="22"/>
          <w:lang w:eastAsia="en-GB"/>
        </w:rPr>
      </w:pPr>
      <w:hyperlink w:anchor="_Toc379371177" w:history="1">
        <w:r w:rsidRPr="00D61AAC">
          <w:rPr>
            <w:rStyle w:val="Hyperlink"/>
            <w:noProof/>
            <w:lang w:eastAsia="en-GB"/>
          </w:rPr>
          <w:t>2.7</w:t>
        </w:r>
        <w:r w:rsidRPr="00787A2A">
          <w:rPr>
            <w:rFonts w:ascii="Calibri" w:hAnsi="Calibri"/>
            <w:smallCaps w:val="0"/>
            <w:noProof/>
            <w:sz w:val="22"/>
            <w:szCs w:val="22"/>
            <w:lang w:eastAsia="en-GB"/>
          </w:rPr>
          <w:tab/>
        </w:r>
        <w:r w:rsidRPr="00D61AAC">
          <w:rPr>
            <w:rStyle w:val="Hyperlink"/>
            <w:noProof/>
            <w:lang w:eastAsia="en-GB"/>
          </w:rPr>
          <w:t>Awareness Training</w:t>
        </w:r>
        <w:r>
          <w:rPr>
            <w:noProof/>
            <w:webHidden/>
          </w:rPr>
          <w:tab/>
        </w:r>
        <w:r>
          <w:rPr>
            <w:noProof/>
            <w:webHidden/>
          </w:rPr>
          <w:fldChar w:fldCharType="begin"/>
        </w:r>
        <w:r>
          <w:rPr>
            <w:noProof/>
            <w:webHidden/>
          </w:rPr>
          <w:instrText xml:space="preserve"> PAGEREF _Toc379371177 \h </w:instrText>
        </w:r>
        <w:r>
          <w:rPr>
            <w:noProof/>
            <w:webHidden/>
          </w:rPr>
        </w:r>
        <w:r>
          <w:rPr>
            <w:noProof/>
            <w:webHidden/>
          </w:rPr>
          <w:fldChar w:fldCharType="separate"/>
        </w:r>
        <w:r>
          <w:rPr>
            <w:noProof/>
            <w:webHidden/>
          </w:rPr>
          <w:t>9</w:t>
        </w:r>
        <w:r>
          <w:rPr>
            <w:noProof/>
            <w:webHidden/>
          </w:rPr>
          <w:fldChar w:fldCharType="end"/>
        </w:r>
      </w:hyperlink>
    </w:p>
    <w:p w14:paraId="3485F202" w14:textId="77777777" w:rsidR="002239ED" w:rsidRDefault="002239ED" w:rsidP="002239ED">
      <w:r>
        <w:rPr>
          <w:rFonts w:ascii="Times New Roman" w:hAnsi="Times New Roman"/>
          <w:b/>
          <w:caps/>
          <w:noProof/>
          <w:sz w:val="20"/>
          <w:szCs w:val="28"/>
        </w:rPr>
        <w:fldChar w:fldCharType="end"/>
      </w:r>
    </w:p>
    <w:p w14:paraId="11A1FE5C" w14:textId="77777777" w:rsidR="002239ED" w:rsidRPr="00C45104" w:rsidRDefault="002239ED" w:rsidP="002239ED">
      <w:pPr>
        <w:pStyle w:val="Heading1"/>
        <w:keepLines w:val="0"/>
        <w:tabs>
          <w:tab w:val="num" w:pos="432"/>
        </w:tabs>
        <w:spacing w:before="120" w:after="120"/>
        <w:ind w:left="432" w:hanging="432"/>
        <w:rPr>
          <w:rFonts w:cs="Arial"/>
        </w:rPr>
      </w:pPr>
      <w:r>
        <w:br w:type="page"/>
      </w:r>
      <w:bookmarkStart w:id="0" w:name="_Toc321136340"/>
      <w:bookmarkStart w:id="1" w:name="_Toc321131500"/>
      <w:bookmarkStart w:id="2" w:name="_Toc321136539"/>
      <w:bookmarkStart w:id="3" w:name="_Toc379371165"/>
      <w:r>
        <w:lastRenderedPageBreak/>
        <w:t>Introduction</w:t>
      </w:r>
      <w:bookmarkEnd w:id="3"/>
    </w:p>
    <w:p w14:paraId="0EA7DBC7" w14:textId="77777777" w:rsidR="002239ED" w:rsidRDefault="002239ED" w:rsidP="002239ED">
      <w:pPr>
        <w:pStyle w:val="Heading2"/>
        <w:keepLines w:val="0"/>
        <w:numPr>
          <w:ilvl w:val="1"/>
          <w:numId w:val="0"/>
        </w:numPr>
        <w:spacing w:before="120" w:after="120"/>
        <w:ind w:left="576" w:hanging="576"/>
      </w:pPr>
      <w:bookmarkStart w:id="4" w:name="_Toc379371166"/>
      <w:r>
        <w:t>Risks Addressed</w:t>
      </w:r>
      <w:bookmarkEnd w:id="0"/>
      <w:bookmarkEnd w:id="1"/>
      <w:bookmarkEnd w:id="2"/>
      <w:bookmarkEnd w:id="4"/>
    </w:p>
    <w:p w14:paraId="58A7184A" w14:textId="77777777" w:rsidR="002239ED" w:rsidRDefault="002239ED" w:rsidP="002239ED">
      <w:pPr>
        <w:spacing w:line="276" w:lineRule="auto"/>
        <w:jc w:val="both"/>
        <w:rPr>
          <w:rFonts w:cs="Arial"/>
        </w:rPr>
      </w:pPr>
    </w:p>
    <w:p w14:paraId="1D5BB52A" w14:textId="77777777" w:rsidR="002239ED" w:rsidRDefault="002239ED" w:rsidP="002239ED">
      <w:pPr>
        <w:jc w:val="both"/>
        <w:rPr>
          <w:rFonts w:cs="Arial"/>
        </w:rPr>
      </w:pPr>
      <w:bookmarkStart w:id="5" w:name="_Toc321136341"/>
      <w:bookmarkStart w:id="6" w:name="_Toc321131501"/>
      <w:bookmarkStart w:id="7" w:name="_Toc321136540"/>
      <w:r>
        <w:rPr>
          <w:rFonts w:cs="Arial"/>
        </w:rPr>
        <w:t xml:space="preserve">This document describes a control that was identified in </w:t>
      </w:r>
      <w:hyperlink r:id="rId7" w:history="1">
        <w:r w:rsidRPr="00443A03">
          <w:rPr>
            <w:rStyle w:val="Hyperlink"/>
            <w:rFonts w:cs="Arial"/>
          </w:rPr>
          <w:t xml:space="preserve">ISMS06004 </w:t>
        </w:r>
        <w:r>
          <w:rPr>
            <w:rStyle w:val="Hyperlink"/>
            <w:rFonts w:cs="Arial"/>
          </w:rPr>
          <w:t xml:space="preserve">Information Security </w:t>
        </w:r>
        <w:r w:rsidRPr="00443A03">
          <w:rPr>
            <w:rStyle w:val="Hyperlink"/>
            <w:rFonts w:cs="Arial"/>
          </w:rPr>
          <w:t>Risk Treatment Plan</w:t>
        </w:r>
      </w:hyperlink>
      <w:r>
        <w:rPr>
          <w:rFonts w:cs="Arial"/>
        </w:rPr>
        <w:t xml:space="preserve"> to address the following risks:</w:t>
      </w:r>
    </w:p>
    <w:p w14:paraId="6241BD69" w14:textId="77777777" w:rsidR="002239ED" w:rsidRDefault="002239ED" w:rsidP="002239ED">
      <w:pPr>
        <w:rPr>
          <w:rFonts w:cs="Arial"/>
        </w:rPr>
      </w:pP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84"/>
      </w:tblGrid>
      <w:tr w:rsidR="002239ED" w14:paraId="10F723FD" w14:textId="77777777" w:rsidTr="007400CB">
        <w:tc>
          <w:tcPr>
            <w:tcW w:w="1526" w:type="dxa"/>
            <w:tcBorders>
              <w:top w:val="single" w:sz="4" w:space="0" w:color="auto"/>
              <w:left w:val="single" w:sz="4" w:space="0" w:color="auto"/>
              <w:bottom w:val="single" w:sz="4" w:space="0" w:color="auto"/>
              <w:right w:val="single" w:sz="4" w:space="0" w:color="auto"/>
            </w:tcBorders>
            <w:shd w:val="clear" w:color="auto" w:fill="C6D9F1"/>
            <w:hideMark/>
          </w:tcPr>
          <w:p w14:paraId="0F0C44FB" w14:textId="77777777" w:rsidR="002239ED" w:rsidRPr="00443A03" w:rsidRDefault="002239ED" w:rsidP="007400CB">
            <w:pPr>
              <w:rPr>
                <w:rFonts w:eastAsia="Calibri" w:cs="Arial"/>
                <w:b/>
                <w:lang w:val="en-US"/>
              </w:rPr>
            </w:pPr>
            <w:r w:rsidRPr="00443A03">
              <w:rPr>
                <w:rFonts w:eastAsia="Calibri" w:cs="Arial"/>
                <w:b/>
                <w:szCs w:val="22"/>
              </w:rPr>
              <w:t>Reference</w:t>
            </w:r>
          </w:p>
        </w:tc>
        <w:tc>
          <w:tcPr>
            <w:tcW w:w="7087" w:type="dxa"/>
            <w:tcBorders>
              <w:top w:val="single" w:sz="4" w:space="0" w:color="auto"/>
              <w:left w:val="single" w:sz="4" w:space="0" w:color="auto"/>
              <w:bottom w:val="single" w:sz="4" w:space="0" w:color="auto"/>
              <w:right w:val="single" w:sz="4" w:space="0" w:color="auto"/>
            </w:tcBorders>
            <w:shd w:val="clear" w:color="auto" w:fill="C6D9F1"/>
            <w:hideMark/>
          </w:tcPr>
          <w:p w14:paraId="64BF10DF" w14:textId="77777777" w:rsidR="002239ED" w:rsidRPr="00443A03" w:rsidRDefault="002239ED" w:rsidP="007400CB">
            <w:pPr>
              <w:rPr>
                <w:rFonts w:eastAsia="Calibri" w:cs="Arial"/>
                <w:b/>
                <w:lang w:val="en-US"/>
              </w:rPr>
            </w:pPr>
            <w:r w:rsidRPr="00443A03">
              <w:rPr>
                <w:rFonts w:eastAsia="Calibri" w:cs="Arial"/>
                <w:b/>
                <w:szCs w:val="22"/>
              </w:rPr>
              <w:t>Description of Risk</w:t>
            </w:r>
          </w:p>
        </w:tc>
      </w:tr>
      <w:tr w:rsidR="002239ED" w14:paraId="35303CE5" w14:textId="77777777" w:rsidTr="007400CB">
        <w:tc>
          <w:tcPr>
            <w:tcW w:w="1526" w:type="dxa"/>
            <w:tcBorders>
              <w:top w:val="single" w:sz="4" w:space="0" w:color="auto"/>
              <w:left w:val="single" w:sz="4" w:space="0" w:color="auto"/>
              <w:bottom w:val="single" w:sz="4" w:space="0" w:color="auto"/>
              <w:right w:val="single" w:sz="4" w:space="0" w:color="auto"/>
            </w:tcBorders>
            <w:hideMark/>
          </w:tcPr>
          <w:p w14:paraId="742C66BE" w14:textId="77777777" w:rsidR="002239ED" w:rsidRDefault="002239ED" w:rsidP="007400CB">
            <w:pPr>
              <w:rPr>
                <w:rFonts w:eastAsia="Calibri" w:cs="Arial"/>
                <w:highlight w:val="yellow"/>
                <w:lang w:val="en-US"/>
              </w:rPr>
            </w:pPr>
          </w:p>
        </w:tc>
        <w:tc>
          <w:tcPr>
            <w:tcW w:w="7087" w:type="dxa"/>
            <w:tcBorders>
              <w:top w:val="single" w:sz="4" w:space="0" w:color="auto"/>
              <w:left w:val="single" w:sz="4" w:space="0" w:color="auto"/>
              <w:bottom w:val="single" w:sz="4" w:space="0" w:color="auto"/>
              <w:right w:val="single" w:sz="4" w:space="0" w:color="auto"/>
            </w:tcBorders>
            <w:hideMark/>
          </w:tcPr>
          <w:p w14:paraId="666E6BF3" w14:textId="77777777" w:rsidR="002239ED" w:rsidRDefault="002239ED" w:rsidP="007400CB">
            <w:pPr>
              <w:rPr>
                <w:rFonts w:eastAsia="Calibri" w:cs="Arial"/>
                <w:highlight w:val="yellow"/>
                <w:lang w:val="en-US"/>
              </w:rPr>
            </w:pPr>
          </w:p>
        </w:tc>
      </w:tr>
      <w:tr w:rsidR="002239ED" w14:paraId="43D320F0" w14:textId="77777777" w:rsidTr="007400CB">
        <w:tc>
          <w:tcPr>
            <w:tcW w:w="1526" w:type="dxa"/>
            <w:tcBorders>
              <w:top w:val="single" w:sz="4" w:space="0" w:color="auto"/>
              <w:left w:val="single" w:sz="4" w:space="0" w:color="auto"/>
              <w:bottom w:val="single" w:sz="4" w:space="0" w:color="auto"/>
              <w:right w:val="single" w:sz="4" w:space="0" w:color="auto"/>
            </w:tcBorders>
          </w:tcPr>
          <w:p w14:paraId="169CDB16" w14:textId="77777777" w:rsidR="002239ED" w:rsidRDefault="002239ED" w:rsidP="007400CB">
            <w:pPr>
              <w:rPr>
                <w:rFonts w:eastAsia="Calibri" w:cs="Arial"/>
                <w:lang w:val="en-US"/>
              </w:rPr>
            </w:pPr>
          </w:p>
        </w:tc>
        <w:tc>
          <w:tcPr>
            <w:tcW w:w="7087" w:type="dxa"/>
            <w:tcBorders>
              <w:top w:val="single" w:sz="4" w:space="0" w:color="auto"/>
              <w:left w:val="single" w:sz="4" w:space="0" w:color="auto"/>
              <w:bottom w:val="single" w:sz="4" w:space="0" w:color="auto"/>
              <w:right w:val="single" w:sz="4" w:space="0" w:color="auto"/>
            </w:tcBorders>
          </w:tcPr>
          <w:p w14:paraId="1A8D8FD2" w14:textId="77777777" w:rsidR="002239ED" w:rsidRDefault="002239ED" w:rsidP="007400CB">
            <w:pPr>
              <w:rPr>
                <w:rFonts w:eastAsia="Calibri" w:cs="Arial"/>
                <w:lang w:val="en-US"/>
              </w:rPr>
            </w:pPr>
          </w:p>
        </w:tc>
      </w:tr>
      <w:tr w:rsidR="002239ED" w14:paraId="04870B50" w14:textId="77777777" w:rsidTr="007400CB">
        <w:tc>
          <w:tcPr>
            <w:tcW w:w="1526" w:type="dxa"/>
            <w:tcBorders>
              <w:top w:val="single" w:sz="4" w:space="0" w:color="auto"/>
              <w:left w:val="single" w:sz="4" w:space="0" w:color="auto"/>
              <w:bottom w:val="single" w:sz="4" w:space="0" w:color="auto"/>
              <w:right w:val="single" w:sz="4" w:space="0" w:color="auto"/>
            </w:tcBorders>
          </w:tcPr>
          <w:p w14:paraId="15A37321" w14:textId="77777777" w:rsidR="002239ED" w:rsidRDefault="002239ED" w:rsidP="007400CB">
            <w:pPr>
              <w:rPr>
                <w:rFonts w:eastAsia="Calibri" w:cs="Arial"/>
                <w:lang w:val="en-US"/>
              </w:rPr>
            </w:pPr>
          </w:p>
        </w:tc>
        <w:tc>
          <w:tcPr>
            <w:tcW w:w="7087" w:type="dxa"/>
            <w:tcBorders>
              <w:top w:val="single" w:sz="4" w:space="0" w:color="auto"/>
              <w:left w:val="single" w:sz="4" w:space="0" w:color="auto"/>
              <w:bottom w:val="single" w:sz="4" w:space="0" w:color="auto"/>
              <w:right w:val="single" w:sz="4" w:space="0" w:color="auto"/>
            </w:tcBorders>
          </w:tcPr>
          <w:p w14:paraId="3A846798" w14:textId="77777777" w:rsidR="002239ED" w:rsidRDefault="002239ED" w:rsidP="007400CB">
            <w:pPr>
              <w:rPr>
                <w:rFonts w:eastAsia="Calibri" w:cs="Arial"/>
                <w:lang w:val="en-US"/>
              </w:rPr>
            </w:pPr>
          </w:p>
        </w:tc>
      </w:tr>
    </w:tbl>
    <w:p w14:paraId="4BC9AE6A" w14:textId="77777777" w:rsidR="002239ED" w:rsidRDefault="002239ED" w:rsidP="002239ED">
      <w:pPr>
        <w:rPr>
          <w:rFonts w:cs="Arial"/>
          <w:szCs w:val="20"/>
          <w:lang w:val="en-US"/>
        </w:rPr>
      </w:pPr>
    </w:p>
    <w:p w14:paraId="1334F4BF" w14:textId="77777777" w:rsidR="002239ED" w:rsidRDefault="002239ED" w:rsidP="002239ED">
      <w:pPr>
        <w:pStyle w:val="Heading2"/>
        <w:keepLines w:val="0"/>
        <w:numPr>
          <w:ilvl w:val="1"/>
          <w:numId w:val="0"/>
        </w:numPr>
        <w:spacing w:before="120" w:after="120"/>
        <w:ind w:left="576" w:hanging="576"/>
        <w:rPr>
          <w:lang w:eastAsia="en-GB"/>
        </w:rPr>
      </w:pPr>
      <w:bookmarkStart w:id="8" w:name="_Toc379371167"/>
      <w:r>
        <w:t>Scope</w:t>
      </w:r>
      <w:bookmarkEnd w:id="5"/>
      <w:bookmarkEnd w:id="6"/>
      <w:bookmarkEnd w:id="7"/>
      <w:bookmarkEnd w:id="8"/>
    </w:p>
    <w:p w14:paraId="719E0DDD" w14:textId="77777777" w:rsidR="002239ED" w:rsidRDefault="002239ED" w:rsidP="002239ED">
      <w:pPr>
        <w:rPr>
          <w:rFonts w:cs="Arial"/>
        </w:rPr>
      </w:pPr>
    </w:p>
    <w:p w14:paraId="5786C641" w14:textId="41F49730" w:rsidR="002239ED" w:rsidRDefault="002239ED" w:rsidP="002239ED">
      <w:pPr>
        <w:jc w:val="both"/>
        <w:rPr>
          <w:rFonts w:cs="Arial"/>
        </w:rPr>
      </w:pPr>
      <w:r>
        <w:rPr>
          <w:rFonts w:cs="Arial"/>
        </w:rPr>
        <w:t xml:space="preserve">This control applies to all systems, people and processes that constitute the </w:t>
      </w:r>
      <w:r>
        <w:rPr>
          <w:rFonts w:cs="Arial"/>
        </w:rPr>
        <w:t>Project Management Office (PMO)</w:t>
      </w:r>
      <w:r>
        <w:rPr>
          <w:rFonts w:cs="Arial"/>
        </w:rPr>
        <w:t xml:space="preserve">information systems, including management, employees, and other third parties who have access to </w:t>
      </w:r>
      <w:r>
        <w:rPr>
          <w:rFonts w:cs="Arial"/>
        </w:rPr>
        <w:t>Project Management Office (PMO)</w:t>
      </w:r>
      <w:r>
        <w:rPr>
          <w:rFonts w:cs="Arial"/>
        </w:rPr>
        <w:t xml:space="preserve">systems. </w:t>
      </w:r>
    </w:p>
    <w:p w14:paraId="687085E6" w14:textId="77777777" w:rsidR="002239ED" w:rsidRDefault="002239ED" w:rsidP="002239ED">
      <w:pPr>
        <w:jc w:val="both"/>
        <w:rPr>
          <w:rFonts w:cs="Arial"/>
        </w:rPr>
      </w:pPr>
    </w:p>
    <w:p w14:paraId="3FCDC409" w14:textId="77777777" w:rsidR="002239ED" w:rsidRDefault="002239ED" w:rsidP="002239ED">
      <w:pPr>
        <w:pStyle w:val="Heading2"/>
        <w:keepLines w:val="0"/>
        <w:numPr>
          <w:ilvl w:val="1"/>
          <w:numId w:val="0"/>
        </w:numPr>
        <w:spacing w:before="120" w:after="120"/>
        <w:ind w:left="576" w:hanging="576"/>
      </w:pPr>
      <w:bookmarkStart w:id="9" w:name="_Toc321136342"/>
      <w:bookmarkStart w:id="10" w:name="_Toc321131502"/>
      <w:bookmarkStart w:id="11" w:name="_Toc321136541"/>
      <w:bookmarkStart w:id="12" w:name="_Toc379371168"/>
      <w:r>
        <w:t>Related Documents</w:t>
      </w:r>
      <w:bookmarkEnd w:id="9"/>
      <w:bookmarkEnd w:id="10"/>
      <w:bookmarkEnd w:id="11"/>
      <w:bookmarkEnd w:id="12"/>
    </w:p>
    <w:p w14:paraId="53E6744C" w14:textId="77777777" w:rsidR="002239ED" w:rsidRDefault="002239ED" w:rsidP="002239ED">
      <w:pPr>
        <w:rPr>
          <w:rFonts w:cs="Arial"/>
        </w:rPr>
      </w:pPr>
    </w:p>
    <w:p w14:paraId="4B085815" w14:textId="77777777" w:rsidR="002239ED" w:rsidRDefault="002239ED" w:rsidP="002239ED">
      <w:pPr>
        <w:rPr>
          <w:rFonts w:cs="Arial"/>
        </w:rPr>
      </w:pPr>
      <w:r>
        <w:rPr>
          <w:rFonts w:cs="Arial"/>
        </w:rPr>
        <w:t>The following policies and procedures are relevant to this document:</w:t>
      </w:r>
    </w:p>
    <w:p w14:paraId="1A27FA9E" w14:textId="77777777" w:rsidR="002239ED" w:rsidRDefault="002239ED" w:rsidP="002239ED">
      <w:pPr>
        <w:rPr>
          <w:rFonts w:cs="Arial"/>
        </w:rPr>
      </w:pPr>
    </w:p>
    <w:p w14:paraId="0AC642D6" w14:textId="77777777" w:rsidR="002239ED" w:rsidRDefault="002239ED" w:rsidP="002239ED">
      <w:pPr>
        <w:numPr>
          <w:ilvl w:val="0"/>
          <w:numId w:val="1"/>
        </w:numPr>
        <w:rPr>
          <w:rFonts w:cs="Arial"/>
        </w:rPr>
      </w:pPr>
      <w:hyperlink r:id="rId8" w:history="1">
        <w:r w:rsidRPr="005C476F">
          <w:rPr>
            <w:rStyle w:val="Hyperlink"/>
            <w:rFonts w:cs="Arial"/>
          </w:rPr>
          <w:t>ISMS12002 Mobile Computing Policy</w:t>
        </w:r>
      </w:hyperlink>
    </w:p>
    <w:p w14:paraId="72FED17F" w14:textId="77777777" w:rsidR="002239ED" w:rsidRDefault="002239ED" w:rsidP="002239ED">
      <w:pPr>
        <w:numPr>
          <w:ilvl w:val="0"/>
          <w:numId w:val="1"/>
        </w:numPr>
        <w:rPr>
          <w:rFonts w:cs="Arial"/>
        </w:rPr>
      </w:pPr>
      <w:hyperlink r:id="rId9" w:history="1">
        <w:r w:rsidRPr="005C476F">
          <w:rPr>
            <w:rStyle w:val="Hyperlink"/>
            <w:rFonts w:cs="Arial"/>
          </w:rPr>
          <w:t>ISMS12003 Teleworking Policy</w:t>
        </w:r>
      </w:hyperlink>
    </w:p>
    <w:p w14:paraId="34B7F976" w14:textId="77777777" w:rsidR="002239ED" w:rsidRDefault="002239ED" w:rsidP="002239ED">
      <w:pPr>
        <w:numPr>
          <w:ilvl w:val="0"/>
          <w:numId w:val="1"/>
        </w:numPr>
        <w:rPr>
          <w:rFonts w:cs="Arial"/>
        </w:rPr>
      </w:pPr>
      <w:hyperlink r:id="rId10" w:history="1">
        <w:r w:rsidRPr="005C476F">
          <w:rPr>
            <w:rStyle w:val="Hyperlink"/>
            <w:rFonts w:cs="Arial"/>
          </w:rPr>
          <w:t>ISMS12004 Bring Your Own Device Policy</w:t>
        </w:r>
      </w:hyperlink>
    </w:p>
    <w:p w14:paraId="10E9F551" w14:textId="77777777" w:rsidR="002239ED" w:rsidRDefault="002239ED" w:rsidP="002239ED">
      <w:pPr>
        <w:numPr>
          <w:ilvl w:val="0"/>
          <w:numId w:val="1"/>
        </w:numPr>
        <w:rPr>
          <w:rFonts w:cs="Arial"/>
        </w:rPr>
      </w:pPr>
      <w:hyperlink r:id="rId11" w:history="1">
        <w:r>
          <w:rPr>
            <w:rStyle w:val="Hyperlink"/>
            <w:rFonts w:cs="Arial"/>
          </w:rPr>
          <w:t>ISMS13</w:t>
        </w:r>
        <w:r w:rsidRPr="008A0714">
          <w:rPr>
            <w:rStyle w:val="Hyperlink"/>
            <w:rFonts w:cs="Arial"/>
          </w:rPr>
          <w:t>001 AUP and Personal Commitment Statement</w:t>
        </w:r>
      </w:hyperlink>
    </w:p>
    <w:p w14:paraId="7A74E8E8" w14:textId="77777777" w:rsidR="002239ED" w:rsidRDefault="002239ED" w:rsidP="002239ED">
      <w:pPr>
        <w:numPr>
          <w:ilvl w:val="0"/>
          <w:numId w:val="1"/>
        </w:numPr>
        <w:rPr>
          <w:rFonts w:cs="Arial"/>
        </w:rPr>
      </w:pPr>
      <w:hyperlink r:id="rId12" w:history="1">
        <w:r w:rsidRPr="00BC35F7">
          <w:rPr>
            <w:rStyle w:val="Hyperlink"/>
            <w:rFonts w:cs="Arial"/>
          </w:rPr>
          <w:t>ISMS13002 Email Policy</w:t>
        </w:r>
      </w:hyperlink>
    </w:p>
    <w:p w14:paraId="72180D3B" w14:textId="77777777" w:rsidR="002239ED" w:rsidRDefault="002239ED" w:rsidP="002239ED">
      <w:pPr>
        <w:numPr>
          <w:ilvl w:val="0"/>
          <w:numId w:val="1"/>
        </w:numPr>
        <w:rPr>
          <w:rFonts w:cs="Arial"/>
        </w:rPr>
      </w:pPr>
      <w:hyperlink r:id="rId13" w:history="1">
        <w:r w:rsidRPr="00BC35F7">
          <w:rPr>
            <w:rStyle w:val="Hyperlink"/>
            <w:rFonts w:cs="Arial"/>
          </w:rPr>
          <w:t>ISMS13003 Internet Acceptable Use Policy</w:t>
        </w:r>
      </w:hyperlink>
    </w:p>
    <w:p w14:paraId="1FC08181" w14:textId="77777777" w:rsidR="002239ED" w:rsidRDefault="002239ED" w:rsidP="002239ED">
      <w:pPr>
        <w:numPr>
          <w:ilvl w:val="0"/>
          <w:numId w:val="1"/>
        </w:numPr>
        <w:rPr>
          <w:rFonts w:cs="Arial"/>
        </w:rPr>
      </w:pPr>
      <w:hyperlink r:id="rId14" w:history="1">
        <w:r>
          <w:rPr>
            <w:rStyle w:val="Hyperlink"/>
            <w:rFonts w:cs="Arial"/>
          </w:rPr>
          <w:t>ISMS18</w:t>
        </w:r>
        <w:r w:rsidRPr="008A0714">
          <w:rPr>
            <w:rStyle w:val="Hyperlink"/>
            <w:rFonts w:cs="Arial"/>
          </w:rPr>
          <w:t>004 Change Management Policy</w:t>
        </w:r>
      </w:hyperlink>
    </w:p>
    <w:p w14:paraId="3734E916" w14:textId="77777777" w:rsidR="002239ED" w:rsidRDefault="002239ED" w:rsidP="002239ED">
      <w:pPr>
        <w:numPr>
          <w:ilvl w:val="0"/>
          <w:numId w:val="1"/>
        </w:numPr>
        <w:rPr>
          <w:rFonts w:cs="Arial"/>
        </w:rPr>
      </w:pPr>
      <w:hyperlink r:id="rId15" w:history="1">
        <w:r w:rsidRPr="005C476F">
          <w:rPr>
            <w:rStyle w:val="Hyperlink"/>
            <w:rFonts w:cs="Arial"/>
          </w:rPr>
          <w:t>ISMS18008 Software Policy</w:t>
        </w:r>
      </w:hyperlink>
    </w:p>
    <w:p w14:paraId="03DEC5D1" w14:textId="77777777" w:rsidR="002239ED" w:rsidRPr="005C476F" w:rsidRDefault="002239ED" w:rsidP="002239ED">
      <w:pPr>
        <w:numPr>
          <w:ilvl w:val="0"/>
          <w:numId w:val="1"/>
        </w:numPr>
        <w:rPr>
          <w:rFonts w:cs="Arial"/>
        </w:rPr>
      </w:pPr>
      <w:hyperlink r:id="rId16" w:history="1">
        <w:r w:rsidRPr="0042176C">
          <w:rPr>
            <w:rStyle w:val="Hyperlink"/>
            <w:rFonts w:cs="Arial"/>
          </w:rPr>
          <w:t>ISMS18010 Anti-Malware Policy</w:t>
        </w:r>
      </w:hyperlink>
    </w:p>
    <w:p w14:paraId="145787B8" w14:textId="77777777" w:rsidR="002239ED" w:rsidRDefault="002239ED" w:rsidP="002239ED">
      <w:pPr>
        <w:rPr>
          <w:rFonts w:cs="Arial"/>
        </w:rPr>
      </w:pPr>
    </w:p>
    <w:p w14:paraId="7CFE586F" w14:textId="77777777" w:rsidR="002239ED" w:rsidRDefault="002239ED" w:rsidP="002239ED">
      <w:pPr>
        <w:pStyle w:val="Heading2"/>
        <w:keepLines w:val="0"/>
        <w:numPr>
          <w:ilvl w:val="1"/>
          <w:numId w:val="0"/>
        </w:numPr>
        <w:spacing w:before="120" w:after="120"/>
        <w:ind w:left="576" w:hanging="576"/>
      </w:pPr>
      <w:bookmarkStart w:id="13" w:name="_Toc379371169"/>
      <w:r>
        <w:t>Purpose</w:t>
      </w:r>
      <w:bookmarkEnd w:id="13"/>
    </w:p>
    <w:p w14:paraId="44939C2D" w14:textId="77777777" w:rsidR="002239ED" w:rsidRDefault="002239ED" w:rsidP="002239ED">
      <w:pPr>
        <w:jc w:val="both"/>
        <w:rPr>
          <w:sz w:val="22"/>
          <w:szCs w:val="22"/>
          <w:lang w:eastAsia="en-GB"/>
        </w:rPr>
      </w:pPr>
    </w:p>
    <w:p w14:paraId="6DDB3BF1" w14:textId="713EFB2F" w:rsidR="002239ED" w:rsidRDefault="002239ED" w:rsidP="002239ED">
      <w:pPr>
        <w:jc w:val="both"/>
        <w:rPr>
          <w:szCs w:val="20"/>
          <w:lang w:eastAsia="en-GB"/>
        </w:rPr>
      </w:pPr>
      <w:r w:rsidRPr="00F853B8">
        <w:rPr>
          <w:szCs w:val="20"/>
          <w:lang w:eastAsia="en-GB"/>
        </w:rPr>
        <w:t xml:space="preserve">This document sets out </w:t>
      </w:r>
      <w:r>
        <w:rPr>
          <w:szCs w:val="20"/>
          <w:lang w:eastAsia="en-GB"/>
        </w:rPr>
        <w:t xml:space="preserve">the </w:t>
      </w:r>
      <w:r>
        <w:rPr>
          <w:szCs w:val="20"/>
          <w:lang w:eastAsia="en-GB"/>
        </w:rPr>
        <w:t>Project Management Office (PMO)</w:t>
      </w:r>
      <w:r>
        <w:rPr>
          <w:szCs w:val="20"/>
          <w:lang w:eastAsia="en-GB"/>
        </w:rPr>
        <w:t xml:space="preserve">policy on how the Service will assess and manage technical vulnerabilities within the IT environment. Its intended audience is IT and information security management and NCS Cybersecurity Unit who will implement and maintain the organisation’s defences. </w:t>
      </w:r>
    </w:p>
    <w:p w14:paraId="0E978557" w14:textId="77777777" w:rsidR="002239ED" w:rsidRPr="0042176C" w:rsidRDefault="002239ED" w:rsidP="002239ED">
      <w:pPr>
        <w:pStyle w:val="Heading1"/>
        <w:keepLines w:val="0"/>
        <w:spacing w:before="120" w:after="120"/>
        <w:ind w:left="432" w:hanging="432"/>
        <w:rPr>
          <w:szCs w:val="20"/>
          <w:lang w:eastAsia="en-GB"/>
        </w:rPr>
      </w:pPr>
      <w:r>
        <w:rPr>
          <w:lang w:eastAsia="en-GB"/>
        </w:rPr>
        <w:br w:type="page"/>
      </w:r>
      <w:bookmarkStart w:id="14" w:name="_Toc379371170"/>
      <w:r>
        <w:rPr>
          <w:lang w:eastAsia="en-GB"/>
        </w:rPr>
        <w:lastRenderedPageBreak/>
        <w:t>Technical Vulnerability Management</w:t>
      </w:r>
      <w:bookmarkEnd w:id="14"/>
    </w:p>
    <w:p w14:paraId="65E30696" w14:textId="77777777" w:rsidR="002239ED" w:rsidRDefault="002239ED" w:rsidP="002239ED">
      <w:pPr>
        <w:rPr>
          <w:lang w:eastAsia="en-GB"/>
        </w:rPr>
      </w:pPr>
    </w:p>
    <w:p w14:paraId="006D3194" w14:textId="77777777" w:rsidR="00736A68" w:rsidRPr="00736A68" w:rsidRDefault="00736A68" w:rsidP="00736A68">
      <w:pPr>
        <w:keepNext/>
        <w:numPr>
          <w:ilvl w:val="1"/>
          <w:numId w:val="0"/>
        </w:numPr>
        <w:spacing w:before="120" w:after="120"/>
        <w:ind w:left="576" w:hanging="576"/>
        <w:outlineLvl w:val="1"/>
        <w:rPr>
          <w:rFonts w:asciiTheme="majorHAnsi" w:eastAsiaTheme="majorEastAsia" w:hAnsiTheme="majorHAnsi" w:cstheme="majorBidi"/>
          <w:color w:val="0F4761" w:themeColor="accent1" w:themeShade="BF"/>
          <w:sz w:val="32"/>
          <w:szCs w:val="32"/>
          <w:lang w:eastAsia="en-GB"/>
        </w:rPr>
      </w:pPr>
      <w:bookmarkStart w:id="15" w:name="_Toc379371172"/>
      <w:r w:rsidRPr="00736A68">
        <w:rPr>
          <w:rFonts w:asciiTheme="majorHAnsi" w:eastAsiaTheme="majorEastAsia" w:hAnsiTheme="majorHAnsi" w:cstheme="majorBidi"/>
          <w:color w:val="0F4761" w:themeColor="accent1" w:themeShade="BF"/>
          <w:sz w:val="32"/>
          <w:szCs w:val="32"/>
          <w:lang w:eastAsia="en-GB"/>
        </w:rPr>
        <w:t>What is a Technical Vulnerability?</w:t>
      </w:r>
      <w:bookmarkEnd w:id="15"/>
    </w:p>
    <w:p w14:paraId="78139EA7" w14:textId="77777777" w:rsidR="00736A68" w:rsidRPr="00736A68" w:rsidRDefault="00736A68" w:rsidP="00736A68">
      <w:pPr>
        <w:rPr>
          <w:lang w:eastAsia="en-GB"/>
        </w:rPr>
      </w:pPr>
    </w:p>
    <w:p w14:paraId="23BA6D19" w14:textId="77777777" w:rsidR="00736A68" w:rsidRPr="00736A68" w:rsidRDefault="00736A68" w:rsidP="00736A68">
      <w:pPr>
        <w:jc w:val="both"/>
        <w:rPr>
          <w:lang w:eastAsia="en-GB"/>
        </w:rPr>
      </w:pPr>
      <w:r w:rsidRPr="00736A68">
        <w:rPr>
          <w:lang w:eastAsia="en-GB"/>
        </w:rPr>
        <w:t>A vulnerability is defined in NIST Special Publication 800-30 Rev 1 as “an inherent weakness in an information system, security procedures, internal controls, or implementation that could be exploited by a threat source.”</w:t>
      </w:r>
    </w:p>
    <w:p w14:paraId="41F823D6" w14:textId="77777777" w:rsidR="00736A68" w:rsidRPr="00736A68" w:rsidRDefault="00736A68" w:rsidP="00736A68">
      <w:pPr>
        <w:rPr>
          <w:lang w:eastAsia="en-GB"/>
        </w:rPr>
      </w:pPr>
    </w:p>
    <w:p w14:paraId="678394B8" w14:textId="77777777" w:rsidR="00736A68" w:rsidRPr="00736A68" w:rsidRDefault="00736A68" w:rsidP="00736A68">
      <w:pPr>
        <w:jc w:val="both"/>
        <w:rPr>
          <w:lang w:eastAsia="en-GB"/>
        </w:rPr>
      </w:pPr>
      <w:r w:rsidRPr="00736A68">
        <w:rPr>
          <w:lang w:eastAsia="en-GB"/>
        </w:rPr>
        <w:t>The software development process is complicated and its output in the form of software programs is rarely bug free. Most of these bugs simply affect the functionality of the software so that it doesn’t work as intended. However, if manipulated in the correct way, some can allow an attacker to gain some form of advantage or access which was not intended by the developer. This type of bug is commonly considered to be a software vulnerability.</w:t>
      </w:r>
    </w:p>
    <w:p w14:paraId="3DED37BA" w14:textId="77777777" w:rsidR="00736A68" w:rsidRPr="00736A68" w:rsidRDefault="00736A68" w:rsidP="00736A68">
      <w:pPr>
        <w:jc w:val="both"/>
        <w:rPr>
          <w:lang w:eastAsia="en-GB"/>
        </w:rPr>
      </w:pPr>
    </w:p>
    <w:p w14:paraId="507FAF17" w14:textId="4239050B" w:rsidR="00736A68" w:rsidRPr="00736A68" w:rsidRDefault="00736A68" w:rsidP="00736A68">
      <w:pPr>
        <w:jc w:val="both"/>
        <w:rPr>
          <w:lang w:eastAsia="en-GB"/>
        </w:rPr>
      </w:pPr>
      <w:r w:rsidRPr="00736A68">
        <w:rPr>
          <w:lang w:eastAsia="en-GB"/>
        </w:rPr>
        <w:t>These vulnerabilities are constantly being found and corrected via software updates or patches. Unfortunately, it is not always the developer or user who discovers these vulnerabilities. When discovered by a potential attacker the vulnerability becomes something to be exploited for gain and kept secret for as long as possible. A newly discovered vulnerability is often referred to as a “</w:t>
      </w:r>
      <w:r w:rsidRPr="00736A68">
        <w:rPr>
          <w:lang w:eastAsia="en-GB"/>
        </w:rPr>
        <w:t>zero-day</w:t>
      </w:r>
      <w:r w:rsidRPr="00736A68">
        <w:rPr>
          <w:lang w:eastAsia="en-GB"/>
        </w:rPr>
        <w:t xml:space="preserve"> exploit” and is difficult to defend against.</w:t>
      </w:r>
    </w:p>
    <w:p w14:paraId="4D6CDAFF" w14:textId="77777777" w:rsidR="00736A68" w:rsidRPr="00736A68" w:rsidRDefault="00736A68" w:rsidP="00736A68">
      <w:pPr>
        <w:rPr>
          <w:lang w:eastAsia="en-GB"/>
        </w:rPr>
      </w:pPr>
    </w:p>
    <w:p w14:paraId="641A5A14" w14:textId="3905D4BA" w:rsidR="00736A68" w:rsidRPr="00736A68" w:rsidRDefault="00736A68" w:rsidP="00736A68">
      <w:pPr>
        <w:jc w:val="both"/>
        <w:rPr>
          <w:lang w:eastAsia="en-GB"/>
        </w:rPr>
      </w:pPr>
      <w:r>
        <w:rPr>
          <w:lang w:eastAsia="en-GB"/>
        </w:rPr>
        <w:t>PMO</w:t>
      </w:r>
      <w:r w:rsidRPr="00736A68">
        <w:rPr>
          <w:lang w:eastAsia="en-GB"/>
        </w:rPr>
        <w:t xml:space="preserve"> policy with respect to technical vulnerabilities is to be aware of them and to close them where possible, either directly or via other means.</w:t>
      </w:r>
    </w:p>
    <w:p w14:paraId="61FE8B41" w14:textId="77777777" w:rsidR="00736A68" w:rsidRPr="00736A68" w:rsidRDefault="00736A68" w:rsidP="00736A68">
      <w:pPr>
        <w:rPr>
          <w:lang w:eastAsia="en-GB"/>
        </w:rPr>
      </w:pPr>
    </w:p>
    <w:p w14:paraId="30789D64" w14:textId="77777777" w:rsidR="00736A68" w:rsidRDefault="00736A68" w:rsidP="002239ED">
      <w:pPr>
        <w:rPr>
          <w:lang w:eastAsia="en-GB"/>
        </w:rPr>
      </w:pPr>
    </w:p>
    <w:p w14:paraId="49634E71" w14:textId="77777777" w:rsidR="00736A68" w:rsidRDefault="00736A68" w:rsidP="002239ED">
      <w:pPr>
        <w:rPr>
          <w:lang w:eastAsia="en-GB"/>
        </w:rPr>
      </w:pPr>
    </w:p>
    <w:p w14:paraId="51809A3C" w14:textId="77777777" w:rsidR="002239ED" w:rsidRDefault="002239ED" w:rsidP="002239ED">
      <w:pPr>
        <w:pStyle w:val="Heading2"/>
        <w:keepLines w:val="0"/>
        <w:numPr>
          <w:ilvl w:val="1"/>
          <w:numId w:val="0"/>
        </w:numPr>
        <w:spacing w:before="120" w:after="120"/>
        <w:ind w:left="576" w:hanging="576"/>
        <w:rPr>
          <w:lang w:eastAsia="en-GB"/>
        </w:rPr>
      </w:pPr>
      <w:bookmarkStart w:id="16" w:name="_Toc379371171"/>
      <w:r>
        <w:rPr>
          <w:lang w:eastAsia="en-GB"/>
        </w:rPr>
        <w:t>The Threat</w:t>
      </w:r>
      <w:bookmarkEnd w:id="16"/>
    </w:p>
    <w:p w14:paraId="4DA9BF4C" w14:textId="77777777" w:rsidR="002239ED" w:rsidRDefault="002239ED" w:rsidP="002239ED">
      <w:pPr>
        <w:jc w:val="both"/>
        <w:rPr>
          <w:szCs w:val="20"/>
          <w:lang w:eastAsia="en-GB"/>
        </w:rPr>
      </w:pPr>
    </w:p>
    <w:p w14:paraId="041C95BD" w14:textId="67A18058" w:rsidR="002239ED" w:rsidRDefault="002239ED" w:rsidP="002239ED">
      <w:pPr>
        <w:jc w:val="both"/>
        <w:rPr>
          <w:szCs w:val="20"/>
          <w:lang w:eastAsia="en-GB"/>
        </w:rPr>
      </w:pPr>
      <w:r>
        <w:rPr>
          <w:szCs w:val="20"/>
          <w:lang w:eastAsia="en-GB"/>
        </w:rPr>
        <w:t xml:space="preserve">Malware is any code or software that may be harmful or destructive to the information processing capabilities of the Service and is one of the primary tools used by attackers to circumvent security </w:t>
      </w:r>
      <w:r w:rsidR="00736A68">
        <w:rPr>
          <w:szCs w:val="20"/>
          <w:lang w:eastAsia="en-GB"/>
        </w:rPr>
        <w:t>to</w:t>
      </w:r>
      <w:r>
        <w:rPr>
          <w:szCs w:val="20"/>
          <w:lang w:eastAsia="en-GB"/>
        </w:rPr>
        <w:t xml:space="preserve"> make some kind of gain or to disrupt the normal operation of the business.</w:t>
      </w:r>
    </w:p>
    <w:p w14:paraId="57A91FF1" w14:textId="77777777" w:rsidR="002239ED" w:rsidRDefault="002239ED" w:rsidP="002239ED">
      <w:pPr>
        <w:jc w:val="both"/>
        <w:rPr>
          <w:szCs w:val="20"/>
          <w:lang w:eastAsia="en-GB"/>
        </w:rPr>
      </w:pPr>
    </w:p>
    <w:p w14:paraId="0E3B47CE" w14:textId="39C5A5D5" w:rsidR="002239ED" w:rsidRDefault="002239ED" w:rsidP="002239ED">
      <w:pPr>
        <w:jc w:val="both"/>
        <w:rPr>
          <w:szCs w:val="20"/>
          <w:lang w:eastAsia="en-GB"/>
        </w:rPr>
      </w:pPr>
      <w:r>
        <w:rPr>
          <w:szCs w:val="20"/>
          <w:lang w:eastAsia="en-GB"/>
        </w:rPr>
        <w:t xml:space="preserve">It is essential that effective precautions are taken by the </w:t>
      </w:r>
      <w:r>
        <w:rPr>
          <w:szCs w:val="20"/>
          <w:lang w:eastAsia="en-GB"/>
        </w:rPr>
        <w:t>Project Management Office (PMO)</w:t>
      </w:r>
      <w:r w:rsidR="00736A68">
        <w:rPr>
          <w:szCs w:val="20"/>
          <w:lang w:eastAsia="en-GB"/>
        </w:rPr>
        <w:t xml:space="preserve"> </w:t>
      </w:r>
      <w:r>
        <w:rPr>
          <w:szCs w:val="20"/>
          <w:lang w:eastAsia="en-GB"/>
        </w:rPr>
        <w:t>to protect itself against these threats which can come from several sources including organised groups, politically motivated groups, rogue employees, nation state sponsored “cyber-warfare” units or simply individuals exercising curiosity or testing their skills.</w:t>
      </w:r>
    </w:p>
    <w:p w14:paraId="133E68DB" w14:textId="77777777" w:rsidR="002239ED" w:rsidRDefault="002239ED" w:rsidP="002239ED">
      <w:pPr>
        <w:jc w:val="both"/>
        <w:rPr>
          <w:szCs w:val="20"/>
          <w:lang w:eastAsia="en-GB"/>
        </w:rPr>
      </w:pPr>
    </w:p>
    <w:p w14:paraId="5C4943D1" w14:textId="1CDD4E7F" w:rsidR="002239ED" w:rsidRDefault="002239ED" w:rsidP="002239ED">
      <w:pPr>
        <w:jc w:val="both"/>
        <w:rPr>
          <w:szCs w:val="20"/>
          <w:lang w:eastAsia="en-GB"/>
        </w:rPr>
      </w:pPr>
      <w:r>
        <w:rPr>
          <w:szCs w:val="20"/>
          <w:lang w:eastAsia="en-GB"/>
        </w:rPr>
        <w:t xml:space="preserve">Whatever the source, the result of a successful security breach is that the </w:t>
      </w:r>
      <w:r w:rsidR="00736A68">
        <w:rPr>
          <w:szCs w:val="20"/>
          <w:lang w:eastAsia="en-GB"/>
        </w:rPr>
        <w:t>PMO and</w:t>
      </w:r>
      <w:r>
        <w:rPr>
          <w:szCs w:val="20"/>
          <w:lang w:eastAsia="en-GB"/>
        </w:rPr>
        <w:t xml:space="preserve"> its stakeholders are affected, sometimes seriously, and harm is caused.</w:t>
      </w:r>
    </w:p>
    <w:p w14:paraId="01BB93DA" w14:textId="77777777" w:rsidR="002239ED" w:rsidRDefault="002239ED" w:rsidP="002239ED">
      <w:pPr>
        <w:jc w:val="both"/>
        <w:rPr>
          <w:szCs w:val="20"/>
          <w:lang w:eastAsia="en-GB"/>
        </w:rPr>
      </w:pPr>
    </w:p>
    <w:p w14:paraId="1423CD64" w14:textId="6C10A6F7" w:rsidR="002239ED" w:rsidRDefault="002239ED" w:rsidP="002239ED">
      <w:pPr>
        <w:jc w:val="both"/>
        <w:rPr>
          <w:szCs w:val="20"/>
          <w:lang w:eastAsia="en-GB"/>
        </w:rPr>
      </w:pPr>
      <w:r>
        <w:rPr>
          <w:szCs w:val="20"/>
          <w:lang w:eastAsia="en-GB"/>
        </w:rPr>
        <w:t xml:space="preserve">Malware comes in many forms and is constantly changing as previous attack routes are closed and new ones are found. The most common types of </w:t>
      </w:r>
      <w:r>
        <w:rPr>
          <w:szCs w:val="20"/>
          <w:lang w:eastAsia="en-GB"/>
        </w:rPr>
        <w:t>malwares</w:t>
      </w:r>
      <w:r>
        <w:rPr>
          <w:szCs w:val="20"/>
          <w:lang w:eastAsia="en-GB"/>
        </w:rPr>
        <w:t xml:space="preserve"> found today are:</w:t>
      </w:r>
    </w:p>
    <w:p w14:paraId="3C8B3BD7" w14:textId="77777777" w:rsidR="002239ED" w:rsidRDefault="002239ED" w:rsidP="002239ED">
      <w:pPr>
        <w:jc w:val="both"/>
        <w:rPr>
          <w:szCs w:val="20"/>
          <w:lang w:eastAsia="en-GB"/>
        </w:rPr>
      </w:pPr>
    </w:p>
    <w:p w14:paraId="44836EA9" w14:textId="77777777" w:rsidR="002239ED" w:rsidRPr="00500E5B" w:rsidRDefault="002239ED" w:rsidP="002239ED">
      <w:pPr>
        <w:numPr>
          <w:ilvl w:val="0"/>
          <w:numId w:val="2"/>
        </w:numPr>
        <w:jc w:val="both"/>
        <w:rPr>
          <w:szCs w:val="20"/>
          <w:lang w:eastAsia="en-GB"/>
        </w:rPr>
      </w:pPr>
      <w:r w:rsidRPr="00500E5B">
        <w:rPr>
          <w:szCs w:val="20"/>
          <w:lang w:eastAsia="en-GB"/>
        </w:rPr>
        <w:t xml:space="preserve">Virus </w:t>
      </w:r>
    </w:p>
    <w:p w14:paraId="01393525" w14:textId="77777777" w:rsidR="002239ED" w:rsidRPr="00500E5B" w:rsidRDefault="002239ED" w:rsidP="002239ED">
      <w:pPr>
        <w:numPr>
          <w:ilvl w:val="0"/>
          <w:numId w:val="2"/>
        </w:numPr>
        <w:jc w:val="both"/>
        <w:rPr>
          <w:szCs w:val="20"/>
          <w:lang w:eastAsia="en-GB"/>
        </w:rPr>
      </w:pPr>
      <w:r w:rsidRPr="00500E5B">
        <w:rPr>
          <w:szCs w:val="20"/>
          <w:lang w:eastAsia="en-GB"/>
        </w:rPr>
        <w:t xml:space="preserve">Trojan </w:t>
      </w:r>
    </w:p>
    <w:p w14:paraId="0AB88790" w14:textId="77777777" w:rsidR="002239ED" w:rsidRPr="00500E5B" w:rsidRDefault="002239ED" w:rsidP="002239ED">
      <w:pPr>
        <w:numPr>
          <w:ilvl w:val="0"/>
          <w:numId w:val="2"/>
        </w:numPr>
        <w:jc w:val="both"/>
        <w:rPr>
          <w:szCs w:val="20"/>
          <w:lang w:eastAsia="en-GB"/>
        </w:rPr>
      </w:pPr>
      <w:r w:rsidRPr="00500E5B">
        <w:rPr>
          <w:szCs w:val="20"/>
          <w:lang w:eastAsia="en-GB"/>
        </w:rPr>
        <w:t xml:space="preserve">Worm </w:t>
      </w:r>
    </w:p>
    <w:p w14:paraId="64355EDA" w14:textId="77777777" w:rsidR="002239ED" w:rsidRPr="00500E5B" w:rsidRDefault="002239ED" w:rsidP="002239ED">
      <w:pPr>
        <w:numPr>
          <w:ilvl w:val="0"/>
          <w:numId w:val="2"/>
        </w:numPr>
        <w:jc w:val="both"/>
        <w:rPr>
          <w:szCs w:val="20"/>
          <w:lang w:eastAsia="en-GB"/>
        </w:rPr>
      </w:pPr>
      <w:r w:rsidRPr="00500E5B">
        <w:rPr>
          <w:szCs w:val="20"/>
          <w:lang w:eastAsia="en-GB"/>
        </w:rPr>
        <w:t xml:space="preserve">Logic bomb </w:t>
      </w:r>
    </w:p>
    <w:p w14:paraId="6E84B7BB" w14:textId="77777777" w:rsidR="002239ED" w:rsidRPr="00500E5B" w:rsidRDefault="002239ED" w:rsidP="002239ED">
      <w:pPr>
        <w:numPr>
          <w:ilvl w:val="0"/>
          <w:numId w:val="2"/>
        </w:numPr>
        <w:jc w:val="both"/>
        <w:rPr>
          <w:szCs w:val="20"/>
          <w:lang w:eastAsia="en-GB"/>
        </w:rPr>
      </w:pPr>
      <w:r w:rsidRPr="00500E5B">
        <w:rPr>
          <w:szCs w:val="20"/>
          <w:lang w:eastAsia="en-GB"/>
        </w:rPr>
        <w:t xml:space="preserve">Rootkit </w:t>
      </w:r>
    </w:p>
    <w:p w14:paraId="7489840E" w14:textId="77777777" w:rsidR="002239ED" w:rsidRPr="00500E5B" w:rsidRDefault="002239ED" w:rsidP="002239ED">
      <w:pPr>
        <w:numPr>
          <w:ilvl w:val="0"/>
          <w:numId w:val="2"/>
        </w:numPr>
        <w:jc w:val="both"/>
        <w:rPr>
          <w:szCs w:val="20"/>
          <w:lang w:eastAsia="en-GB"/>
        </w:rPr>
      </w:pPr>
      <w:r w:rsidRPr="00500E5B">
        <w:rPr>
          <w:szCs w:val="20"/>
          <w:lang w:eastAsia="en-GB"/>
        </w:rPr>
        <w:t xml:space="preserve">Keylogger </w:t>
      </w:r>
    </w:p>
    <w:p w14:paraId="5A9C087E" w14:textId="77777777" w:rsidR="002239ED" w:rsidRPr="00500E5B" w:rsidRDefault="002239ED" w:rsidP="002239ED">
      <w:pPr>
        <w:numPr>
          <w:ilvl w:val="0"/>
          <w:numId w:val="2"/>
        </w:numPr>
        <w:jc w:val="both"/>
        <w:rPr>
          <w:szCs w:val="20"/>
          <w:lang w:eastAsia="en-GB"/>
        </w:rPr>
      </w:pPr>
      <w:r w:rsidRPr="00500E5B">
        <w:rPr>
          <w:szCs w:val="20"/>
          <w:lang w:eastAsia="en-GB"/>
        </w:rPr>
        <w:t xml:space="preserve">Backdoor </w:t>
      </w:r>
    </w:p>
    <w:p w14:paraId="2EFEA9E8" w14:textId="77777777" w:rsidR="002239ED" w:rsidRPr="00500E5B" w:rsidRDefault="002239ED" w:rsidP="002239ED">
      <w:pPr>
        <w:jc w:val="both"/>
        <w:rPr>
          <w:szCs w:val="20"/>
          <w:lang w:eastAsia="en-GB"/>
        </w:rPr>
      </w:pPr>
    </w:p>
    <w:p w14:paraId="7AC904D7" w14:textId="65CCD08D" w:rsidR="002239ED" w:rsidRDefault="002239ED" w:rsidP="002239ED">
      <w:pPr>
        <w:jc w:val="both"/>
        <w:rPr>
          <w:szCs w:val="20"/>
          <w:lang w:eastAsia="en-GB"/>
        </w:rPr>
      </w:pPr>
      <w:r>
        <w:rPr>
          <w:szCs w:val="20"/>
          <w:lang w:eastAsia="en-GB"/>
        </w:rPr>
        <w:t xml:space="preserve">Often these types of </w:t>
      </w:r>
      <w:r w:rsidR="00736A68">
        <w:rPr>
          <w:szCs w:val="20"/>
          <w:lang w:eastAsia="en-GB"/>
        </w:rPr>
        <w:t>malwares</w:t>
      </w:r>
      <w:r>
        <w:rPr>
          <w:szCs w:val="20"/>
          <w:lang w:eastAsia="en-GB"/>
        </w:rPr>
        <w:t xml:space="preserve"> will be used in combination with each other. </w:t>
      </w:r>
    </w:p>
    <w:p w14:paraId="0CCBAAF6" w14:textId="77777777" w:rsidR="002239ED" w:rsidRDefault="002239ED" w:rsidP="002239ED">
      <w:pPr>
        <w:jc w:val="both"/>
        <w:rPr>
          <w:szCs w:val="20"/>
          <w:lang w:eastAsia="en-GB"/>
        </w:rPr>
      </w:pPr>
    </w:p>
    <w:p w14:paraId="7C6A66C5" w14:textId="4E04E4F1" w:rsidR="002239ED" w:rsidRDefault="00736A68" w:rsidP="002239ED">
      <w:pPr>
        <w:jc w:val="both"/>
        <w:rPr>
          <w:szCs w:val="20"/>
          <w:lang w:eastAsia="en-GB"/>
        </w:rPr>
      </w:pPr>
      <w:r>
        <w:rPr>
          <w:szCs w:val="20"/>
          <w:lang w:eastAsia="en-GB"/>
        </w:rPr>
        <w:t>For</w:t>
      </w:r>
      <w:r w:rsidR="002239ED">
        <w:rPr>
          <w:szCs w:val="20"/>
          <w:lang w:eastAsia="en-GB"/>
        </w:rPr>
        <w:t xml:space="preserve"> malicious software to carry out its intended purpose it needs to be installed on the target device or computer. There are </w:t>
      </w:r>
      <w:proofErr w:type="gramStart"/>
      <w:r w:rsidR="002239ED">
        <w:rPr>
          <w:szCs w:val="20"/>
          <w:lang w:eastAsia="en-GB"/>
        </w:rPr>
        <w:t>a number of</w:t>
      </w:r>
      <w:proofErr w:type="gramEnd"/>
      <w:r w:rsidR="002239ED">
        <w:rPr>
          <w:szCs w:val="20"/>
          <w:lang w:eastAsia="en-GB"/>
        </w:rPr>
        <w:t xml:space="preserve"> </w:t>
      </w:r>
      <w:r>
        <w:rPr>
          <w:szCs w:val="20"/>
          <w:lang w:eastAsia="en-GB"/>
        </w:rPr>
        <w:t>keyways</w:t>
      </w:r>
      <w:r w:rsidR="002239ED">
        <w:rPr>
          <w:szCs w:val="20"/>
          <w:lang w:eastAsia="en-GB"/>
        </w:rPr>
        <w:t xml:space="preserve"> in which malware infects computers and networks, although new ways are being created all the time.</w:t>
      </w:r>
    </w:p>
    <w:p w14:paraId="18F597BE" w14:textId="77777777" w:rsidR="002239ED" w:rsidRDefault="002239ED" w:rsidP="002239ED">
      <w:pPr>
        <w:jc w:val="both"/>
        <w:rPr>
          <w:szCs w:val="20"/>
          <w:lang w:eastAsia="en-GB"/>
        </w:rPr>
      </w:pPr>
    </w:p>
    <w:p w14:paraId="20CB1763" w14:textId="77777777" w:rsidR="002239ED" w:rsidRDefault="002239ED" w:rsidP="002239ED">
      <w:pPr>
        <w:jc w:val="both"/>
        <w:rPr>
          <w:szCs w:val="20"/>
          <w:lang w:eastAsia="en-GB"/>
        </w:rPr>
      </w:pPr>
      <w:r>
        <w:rPr>
          <w:szCs w:val="20"/>
          <w:lang w:eastAsia="en-GB"/>
        </w:rPr>
        <w:t>The most common infection techniques are as follows.</w:t>
      </w:r>
    </w:p>
    <w:p w14:paraId="2A4CEFC2" w14:textId="77777777" w:rsidR="002239ED" w:rsidRDefault="002239ED" w:rsidP="002239ED">
      <w:pPr>
        <w:jc w:val="both"/>
        <w:rPr>
          <w:szCs w:val="20"/>
          <w:lang w:eastAsia="en-GB"/>
        </w:rPr>
      </w:pPr>
    </w:p>
    <w:p w14:paraId="6496A131" w14:textId="77777777" w:rsidR="002239ED" w:rsidRDefault="002239ED" w:rsidP="002239ED">
      <w:pPr>
        <w:numPr>
          <w:ilvl w:val="0"/>
          <w:numId w:val="3"/>
        </w:numPr>
        <w:rPr>
          <w:lang w:eastAsia="en-GB"/>
        </w:rPr>
      </w:pPr>
      <w:bookmarkStart w:id="17" w:name="_Toc379298334"/>
      <w:r>
        <w:rPr>
          <w:lang w:eastAsia="en-GB"/>
        </w:rPr>
        <w:t>Phishing</w:t>
      </w:r>
      <w:bookmarkEnd w:id="17"/>
      <w:r>
        <w:rPr>
          <w:lang w:eastAsia="en-GB"/>
        </w:rPr>
        <w:t xml:space="preserve"> </w:t>
      </w:r>
    </w:p>
    <w:p w14:paraId="01B2CC17" w14:textId="77777777" w:rsidR="002239ED" w:rsidRDefault="002239ED" w:rsidP="002239ED">
      <w:pPr>
        <w:numPr>
          <w:ilvl w:val="0"/>
          <w:numId w:val="3"/>
        </w:numPr>
        <w:rPr>
          <w:lang w:eastAsia="en-GB"/>
        </w:rPr>
      </w:pPr>
      <w:bookmarkStart w:id="18" w:name="_Toc379298335"/>
      <w:r>
        <w:rPr>
          <w:lang w:eastAsia="en-GB"/>
        </w:rPr>
        <w:t>Websites and Mobile Code</w:t>
      </w:r>
      <w:bookmarkEnd w:id="18"/>
    </w:p>
    <w:p w14:paraId="434C486D" w14:textId="77777777" w:rsidR="002239ED" w:rsidRDefault="002239ED" w:rsidP="002239ED">
      <w:pPr>
        <w:numPr>
          <w:ilvl w:val="0"/>
          <w:numId w:val="3"/>
        </w:numPr>
        <w:rPr>
          <w:lang w:eastAsia="en-GB"/>
        </w:rPr>
      </w:pPr>
      <w:bookmarkStart w:id="19" w:name="_Toc379298336"/>
      <w:r>
        <w:rPr>
          <w:lang w:eastAsia="en-GB"/>
        </w:rPr>
        <w:t>Removable Media</w:t>
      </w:r>
      <w:bookmarkEnd w:id="19"/>
    </w:p>
    <w:p w14:paraId="60834EAC" w14:textId="77777777" w:rsidR="002239ED" w:rsidRDefault="002239ED" w:rsidP="002239ED">
      <w:pPr>
        <w:numPr>
          <w:ilvl w:val="0"/>
          <w:numId w:val="3"/>
        </w:numPr>
        <w:rPr>
          <w:lang w:eastAsia="en-GB"/>
        </w:rPr>
      </w:pPr>
      <w:bookmarkStart w:id="20" w:name="_Toc379298337"/>
      <w:r>
        <w:rPr>
          <w:lang w:eastAsia="en-GB"/>
        </w:rPr>
        <w:t>Hacking</w:t>
      </w:r>
      <w:bookmarkEnd w:id="20"/>
    </w:p>
    <w:p w14:paraId="286DFB7F" w14:textId="77777777" w:rsidR="002239ED" w:rsidRDefault="002239ED" w:rsidP="002239ED">
      <w:pPr>
        <w:rPr>
          <w:lang w:eastAsia="en-GB"/>
        </w:rPr>
      </w:pPr>
    </w:p>
    <w:p w14:paraId="1E55F6E7" w14:textId="6A104258" w:rsidR="002239ED" w:rsidRDefault="002239ED" w:rsidP="002239ED">
      <w:pPr>
        <w:jc w:val="both"/>
        <w:rPr>
          <w:lang w:eastAsia="en-GB"/>
        </w:rPr>
      </w:pPr>
      <w:r>
        <w:rPr>
          <w:lang w:eastAsia="en-GB"/>
        </w:rPr>
        <w:t xml:space="preserve">But </w:t>
      </w:r>
      <w:r w:rsidR="00736A68">
        <w:rPr>
          <w:lang w:eastAsia="en-GB"/>
        </w:rPr>
        <w:t>for</w:t>
      </w:r>
      <w:r>
        <w:rPr>
          <w:lang w:eastAsia="en-GB"/>
        </w:rPr>
        <w:t xml:space="preserve"> these techniques to be used by an attacker, they must take advantage of a </w:t>
      </w:r>
      <w:r w:rsidRPr="00F774AB">
        <w:rPr>
          <w:bCs/>
          <w:iCs/>
          <w:lang w:eastAsia="en-GB"/>
        </w:rPr>
        <w:t>Vulnerability</w:t>
      </w:r>
      <w:r>
        <w:rPr>
          <w:lang w:eastAsia="en-GB"/>
        </w:rPr>
        <w:t xml:space="preserve"> in our defences.</w:t>
      </w:r>
    </w:p>
    <w:p w14:paraId="10C0AB27" w14:textId="77777777" w:rsidR="002239ED" w:rsidRDefault="002239ED" w:rsidP="002239ED">
      <w:pPr>
        <w:pStyle w:val="Heading2"/>
        <w:keepLines w:val="0"/>
        <w:numPr>
          <w:ilvl w:val="1"/>
          <w:numId w:val="0"/>
        </w:numPr>
        <w:spacing w:before="120" w:after="120"/>
        <w:ind w:left="576" w:hanging="576"/>
        <w:rPr>
          <w:lang w:eastAsia="en-GB"/>
        </w:rPr>
      </w:pPr>
      <w:bookmarkStart w:id="21" w:name="_Toc379371173"/>
      <w:r>
        <w:rPr>
          <w:lang w:eastAsia="en-GB"/>
        </w:rPr>
        <w:t>Sources of Information</w:t>
      </w:r>
      <w:bookmarkEnd w:id="21"/>
    </w:p>
    <w:p w14:paraId="4A72B06A" w14:textId="77777777" w:rsidR="002239ED" w:rsidRDefault="002239ED" w:rsidP="002239ED">
      <w:pPr>
        <w:rPr>
          <w:lang w:eastAsia="en-GB"/>
        </w:rPr>
      </w:pPr>
    </w:p>
    <w:p w14:paraId="2CE6AF28" w14:textId="77777777" w:rsidR="002239ED" w:rsidRDefault="002239ED" w:rsidP="002239ED">
      <w:pPr>
        <w:jc w:val="both"/>
        <w:rPr>
          <w:lang w:eastAsia="en-GB"/>
        </w:rPr>
      </w:pPr>
      <w:r>
        <w:rPr>
          <w:lang w:eastAsia="en-GB"/>
        </w:rPr>
        <w:t>The first step in managing technical vulnerabilities is to become aware of them. Since we are talking about technical vulnerabilities these will of course depend upon the technology employed within the Service. It is necessary then to gain a full appreciation of the technology components that make up the Service’s infrastructure and their versions (since most technical vulnerabilities are very version-specific).</w:t>
      </w:r>
    </w:p>
    <w:p w14:paraId="28DA6F31" w14:textId="77777777" w:rsidR="002239ED" w:rsidRDefault="002239ED" w:rsidP="002239ED">
      <w:pPr>
        <w:jc w:val="both"/>
        <w:rPr>
          <w:lang w:eastAsia="en-GB"/>
        </w:rPr>
      </w:pPr>
    </w:p>
    <w:p w14:paraId="5EE88696" w14:textId="77777777" w:rsidR="002239ED" w:rsidRDefault="002239ED" w:rsidP="002239ED">
      <w:pPr>
        <w:jc w:val="both"/>
        <w:rPr>
          <w:lang w:eastAsia="en-GB"/>
        </w:rPr>
      </w:pPr>
      <w:r>
        <w:rPr>
          <w:lang w:eastAsia="en-GB"/>
        </w:rPr>
        <w:t>This should include:</w:t>
      </w:r>
    </w:p>
    <w:p w14:paraId="198015E4" w14:textId="77777777" w:rsidR="002239ED" w:rsidRDefault="002239ED" w:rsidP="002239ED">
      <w:pPr>
        <w:jc w:val="both"/>
        <w:rPr>
          <w:lang w:eastAsia="en-GB"/>
        </w:rPr>
      </w:pPr>
    </w:p>
    <w:p w14:paraId="61D486CC" w14:textId="77777777" w:rsidR="002239ED" w:rsidRDefault="002239ED" w:rsidP="002239ED">
      <w:pPr>
        <w:numPr>
          <w:ilvl w:val="0"/>
          <w:numId w:val="4"/>
        </w:numPr>
        <w:jc w:val="both"/>
        <w:rPr>
          <w:lang w:eastAsia="en-GB"/>
        </w:rPr>
      </w:pPr>
      <w:r>
        <w:rPr>
          <w:lang w:eastAsia="en-GB"/>
        </w:rPr>
        <w:t>Operating systems e.g. Windows, LINUX</w:t>
      </w:r>
    </w:p>
    <w:p w14:paraId="31441814" w14:textId="77777777" w:rsidR="002239ED" w:rsidRDefault="002239ED" w:rsidP="002239ED">
      <w:pPr>
        <w:numPr>
          <w:ilvl w:val="0"/>
          <w:numId w:val="4"/>
        </w:numPr>
        <w:jc w:val="both"/>
        <w:rPr>
          <w:lang w:eastAsia="en-GB"/>
        </w:rPr>
      </w:pPr>
      <w:r>
        <w:rPr>
          <w:lang w:eastAsia="en-GB"/>
        </w:rPr>
        <w:t>Databases e.g. SQL Server, MySQL</w:t>
      </w:r>
    </w:p>
    <w:p w14:paraId="1C5C742F" w14:textId="77777777" w:rsidR="002239ED" w:rsidRDefault="002239ED" w:rsidP="002239ED">
      <w:pPr>
        <w:numPr>
          <w:ilvl w:val="0"/>
          <w:numId w:val="4"/>
        </w:numPr>
        <w:jc w:val="both"/>
        <w:rPr>
          <w:lang w:eastAsia="en-GB"/>
        </w:rPr>
      </w:pPr>
      <w:r>
        <w:rPr>
          <w:lang w:eastAsia="en-GB"/>
        </w:rPr>
        <w:t>Web servers e.g. IIS, Apache</w:t>
      </w:r>
    </w:p>
    <w:p w14:paraId="21E1FC67" w14:textId="77777777" w:rsidR="002239ED" w:rsidRDefault="002239ED" w:rsidP="002239ED">
      <w:pPr>
        <w:numPr>
          <w:ilvl w:val="0"/>
          <w:numId w:val="4"/>
        </w:numPr>
        <w:jc w:val="both"/>
        <w:rPr>
          <w:lang w:eastAsia="en-GB"/>
        </w:rPr>
      </w:pPr>
      <w:r>
        <w:rPr>
          <w:lang w:eastAsia="en-GB"/>
        </w:rPr>
        <w:t>Desktop software e.g. Office, Acrobat</w:t>
      </w:r>
    </w:p>
    <w:p w14:paraId="759CC046" w14:textId="77777777" w:rsidR="002239ED" w:rsidRDefault="002239ED" w:rsidP="002239ED">
      <w:pPr>
        <w:numPr>
          <w:ilvl w:val="0"/>
          <w:numId w:val="4"/>
        </w:numPr>
        <w:jc w:val="both"/>
        <w:rPr>
          <w:lang w:eastAsia="en-GB"/>
        </w:rPr>
      </w:pPr>
      <w:r>
        <w:rPr>
          <w:lang w:eastAsia="en-GB"/>
        </w:rPr>
        <w:t>Web technologies e.g. Flash, Java</w:t>
      </w:r>
    </w:p>
    <w:p w14:paraId="19893ADD" w14:textId="77777777" w:rsidR="002239ED" w:rsidRDefault="002239ED" w:rsidP="002239ED">
      <w:pPr>
        <w:numPr>
          <w:ilvl w:val="0"/>
          <w:numId w:val="4"/>
        </w:numPr>
        <w:jc w:val="both"/>
        <w:rPr>
          <w:lang w:eastAsia="en-GB"/>
        </w:rPr>
      </w:pPr>
      <w:r>
        <w:rPr>
          <w:lang w:eastAsia="en-GB"/>
        </w:rPr>
        <w:t>Application software e.g. SAP, Agresso</w:t>
      </w:r>
    </w:p>
    <w:p w14:paraId="40A3E675" w14:textId="77777777" w:rsidR="002239ED" w:rsidRDefault="002239ED" w:rsidP="002239ED">
      <w:pPr>
        <w:numPr>
          <w:ilvl w:val="0"/>
          <w:numId w:val="4"/>
        </w:numPr>
        <w:jc w:val="both"/>
        <w:rPr>
          <w:lang w:eastAsia="en-GB"/>
        </w:rPr>
      </w:pPr>
      <w:r>
        <w:rPr>
          <w:lang w:eastAsia="en-GB"/>
        </w:rPr>
        <w:t>Hardware e.g. servers, routers</w:t>
      </w:r>
    </w:p>
    <w:p w14:paraId="6ACCFCDB" w14:textId="77777777" w:rsidR="002239ED" w:rsidRDefault="002239ED" w:rsidP="002239ED">
      <w:pPr>
        <w:jc w:val="both"/>
        <w:rPr>
          <w:lang w:eastAsia="en-GB"/>
        </w:rPr>
      </w:pPr>
    </w:p>
    <w:p w14:paraId="550D3C0B" w14:textId="77777777" w:rsidR="002239ED" w:rsidRDefault="002239ED" w:rsidP="002239ED">
      <w:pPr>
        <w:jc w:val="both"/>
        <w:rPr>
          <w:lang w:eastAsia="en-GB"/>
        </w:rPr>
      </w:pPr>
      <w:r>
        <w:rPr>
          <w:lang w:eastAsia="en-GB"/>
        </w:rPr>
        <w:t xml:space="preserve">This information should be available from the organisation Configuration Management Database (CMDB) and </w:t>
      </w:r>
      <w:hyperlink r:id="rId17" w:history="1">
        <w:r w:rsidRPr="00F818DE">
          <w:rPr>
            <w:rStyle w:val="Hyperlink"/>
            <w:lang w:eastAsia="en-GB"/>
          </w:rPr>
          <w:t>ISMS18014 Software Catalogue</w:t>
        </w:r>
      </w:hyperlink>
      <w:r>
        <w:rPr>
          <w:lang w:eastAsia="en-GB"/>
        </w:rPr>
        <w:t>.</w:t>
      </w:r>
    </w:p>
    <w:p w14:paraId="77C54DC8" w14:textId="77777777" w:rsidR="002239ED" w:rsidRDefault="002239ED" w:rsidP="002239ED">
      <w:pPr>
        <w:jc w:val="both"/>
        <w:rPr>
          <w:lang w:eastAsia="en-GB"/>
        </w:rPr>
      </w:pPr>
    </w:p>
    <w:p w14:paraId="6745DF0D" w14:textId="77777777" w:rsidR="002239ED" w:rsidRDefault="002239ED" w:rsidP="002239ED">
      <w:pPr>
        <w:jc w:val="both"/>
        <w:rPr>
          <w:lang w:eastAsia="en-GB"/>
        </w:rPr>
      </w:pPr>
      <w:r>
        <w:rPr>
          <w:lang w:eastAsia="en-GB"/>
        </w:rPr>
        <w:lastRenderedPageBreak/>
        <w:t>Information about vulnerabilities with any of the above components is generally available from the vendor who will issue updates and patches to fix those that it becomes aware of.</w:t>
      </w:r>
    </w:p>
    <w:p w14:paraId="7E8AD70D" w14:textId="77777777" w:rsidR="002239ED" w:rsidRDefault="002239ED" w:rsidP="002239ED">
      <w:pPr>
        <w:jc w:val="both"/>
        <w:rPr>
          <w:lang w:eastAsia="en-GB"/>
        </w:rPr>
      </w:pPr>
    </w:p>
    <w:p w14:paraId="2F690C0E" w14:textId="77777777" w:rsidR="002239ED" w:rsidRDefault="002239ED" w:rsidP="002239ED">
      <w:pPr>
        <w:jc w:val="both"/>
        <w:rPr>
          <w:lang w:eastAsia="en-GB"/>
        </w:rPr>
      </w:pPr>
      <w:r>
        <w:rPr>
          <w:lang w:eastAsia="en-GB"/>
        </w:rPr>
        <w:t>A process should therefore be put in place to ensure that all relevant information about updates is being received and reviewed by competent staff members. This will usually give guidance about the level of urgency associated with each update.</w:t>
      </w:r>
    </w:p>
    <w:p w14:paraId="6C003226" w14:textId="77777777" w:rsidR="002239ED" w:rsidRDefault="002239ED" w:rsidP="002239ED">
      <w:pPr>
        <w:jc w:val="both"/>
        <w:rPr>
          <w:lang w:eastAsia="en-GB"/>
        </w:rPr>
      </w:pPr>
    </w:p>
    <w:p w14:paraId="5E90DD6E" w14:textId="77777777" w:rsidR="002239ED" w:rsidRDefault="002239ED" w:rsidP="002239ED">
      <w:pPr>
        <w:jc w:val="both"/>
        <w:rPr>
          <w:lang w:eastAsia="en-GB"/>
        </w:rPr>
      </w:pPr>
      <w:r>
        <w:rPr>
          <w:lang w:eastAsia="en-GB"/>
        </w:rPr>
        <w:t>Where configuration changes are recommended to close off vulnerabilities, these should be actioned through the Service’s change management process so that appropriate controls are in place for testing, risks assessment and backout.</w:t>
      </w:r>
    </w:p>
    <w:p w14:paraId="768BA817" w14:textId="77777777" w:rsidR="002239ED" w:rsidRDefault="002239ED" w:rsidP="002239ED">
      <w:pPr>
        <w:rPr>
          <w:lang w:eastAsia="en-GB"/>
        </w:rPr>
      </w:pPr>
    </w:p>
    <w:p w14:paraId="66BC601B" w14:textId="77777777" w:rsidR="002239ED" w:rsidRDefault="002239ED" w:rsidP="002239ED">
      <w:pPr>
        <w:pStyle w:val="Heading2"/>
        <w:keepLines w:val="0"/>
        <w:numPr>
          <w:ilvl w:val="1"/>
          <w:numId w:val="0"/>
        </w:numPr>
        <w:spacing w:before="120" w:after="120"/>
        <w:ind w:left="576" w:hanging="576"/>
        <w:rPr>
          <w:lang w:eastAsia="en-GB"/>
        </w:rPr>
      </w:pPr>
      <w:bookmarkStart w:id="22" w:name="_Toc379371174"/>
      <w:r>
        <w:rPr>
          <w:lang w:eastAsia="en-GB"/>
        </w:rPr>
        <w:t>Patches and Updates</w:t>
      </w:r>
      <w:bookmarkEnd w:id="22"/>
    </w:p>
    <w:p w14:paraId="63BFDF6C" w14:textId="77777777" w:rsidR="002239ED" w:rsidRDefault="002239ED" w:rsidP="002239ED">
      <w:pPr>
        <w:rPr>
          <w:lang w:eastAsia="en-GB"/>
        </w:rPr>
      </w:pPr>
    </w:p>
    <w:p w14:paraId="52EB167D" w14:textId="77777777" w:rsidR="002239ED" w:rsidRDefault="002239ED" w:rsidP="002239ED">
      <w:pPr>
        <w:jc w:val="both"/>
        <w:rPr>
          <w:lang w:eastAsia="en-GB"/>
        </w:rPr>
      </w:pPr>
      <w:r>
        <w:rPr>
          <w:lang w:eastAsia="en-GB"/>
        </w:rPr>
        <w:t xml:space="preserve">Patches and updates will typically be issued by software vendors on a regular schedule as cumulative packages. These will be linked to the specific version of software that they relate to and may have dependencies stipulated with other software modules, </w:t>
      </w:r>
      <w:proofErr w:type="gramStart"/>
      <w:r>
        <w:rPr>
          <w:lang w:eastAsia="en-GB"/>
        </w:rPr>
        <w:t>products</w:t>
      </w:r>
      <w:proofErr w:type="gramEnd"/>
      <w:r>
        <w:rPr>
          <w:lang w:eastAsia="en-GB"/>
        </w:rPr>
        <w:t xml:space="preserve"> or operating systems.</w:t>
      </w:r>
    </w:p>
    <w:p w14:paraId="1FCA949A" w14:textId="77777777" w:rsidR="002239ED" w:rsidRDefault="002239ED" w:rsidP="002239ED">
      <w:pPr>
        <w:jc w:val="both"/>
        <w:rPr>
          <w:lang w:eastAsia="en-GB"/>
        </w:rPr>
      </w:pPr>
    </w:p>
    <w:p w14:paraId="39B38D98" w14:textId="38BAE405" w:rsidR="002239ED" w:rsidRDefault="002239ED" w:rsidP="002239ED">
      <w:pPr>
        <w:jc w:val="both"/>
        <w:rPr>
          <w:lang w:eastAsia="en-GB"/>
        </w:rPr>
      </w:pPr>
      <w:r>
        <w:rPr>
          <w:lang w:eastAsia="en-GB"/>
        </w:rPr>
        <w:t xml:space="preserve">Procedures should be put in place to obtain copies of the software updates electronically when they are issued by the vendor. The scheduling of the installation of updates will depend upon </w:t>
      </w:r>
      <w:r w:rsidR="00736A68">
        <w:rPr>
          <w:lang w:eastAsia="en-GB"/>
        </w:rPr>
        <w:t>a few</w:t>
      </w:r>
      <w:r>
        <w:rPr>
          <w:lang w:eastAsia="en-GB"/>
        </w:rPr>
        <w:t xml:space="preserve"> factors including:</w:t>
      </w:r>
    </w:p>
    <w:p w14:paraId="384BDC28" w14:textId="77777777" w:rsidR="002239ED" w:rsidRDefault="002239ED" w:rsidP="002239ED">
      <w:pPr>
        <w:jc w:val="both"/>
        <w:rPr>
          <w:lang w:eastAsia="en-GB"/>
        </w:rPr>
      </w:pPr>
    </w:p>
    <w:p w14:paraId="5149BF80" w14:textId="3378D7CF" w:rsidR="002239ED" w:rsidRDefault="002239ED" w:rsidP="002239ED">
      <w:pPr>
        <w:numPr>
          <w:ilvl w:val="0"/>
          <w:numId w:val="5"/>
        </w:numPr>
        <w:jc w:val="both"/>
        <w:rPr>
          <w:lang w:eastAsia="en-GB"/>
        </w:rPr>
      </w:pPr>
      <w:r>
        <w:rPr>
          <w:lang w:eastAsia="en-GB"/>
        </w:rPr>
        <w:t xml:space="preserve">The criticality of the systems being </w:t>
      </w:r>
      <w:r w:rsidR="00736A68">
        <w:rPr>
          <w:lang w:eastAsia="en-GB"/>
        </w:rPr>
        <w:t>updated.</w:t>
      </w:r>
    </w:p>
    <w:p w14:paraId="15446A98" w14:textId="3DFBEAFA" w:rsidR="002239ED" w:rsidRDefault="002239ED" w:rsidP="002239ED">
      <w:pPr>
        <w:numPr>
          <w:ilvl w:val="0"/>
          <w:numId w:val="5"/>
        </w:numPr>
        <w:jc w:val="both"/>
        <w:rPr>
          <w:lang w:eastAsia="en-GB"/>
        </w:rPr>
      </w:pPr>
      <w:r>
        <w:rPr>
          <w:lang w:eastAsia="en-GB"/>
        </w:rPr>
        <w:t>The expected time taken to install the updates (and requirements for service outages to users)</w:t>
      </w:r>
      <w:r w:rsidR="00736A68">
        <w:rPr>
          <w:lang w:eastAsia="en-GB"/>
        </w:rPr>
        <w:t>.</w:t>
      </w:r>
    </w:p>
    <w:p w14:paraId="7CB9FB91" w14:textId="04725D4E" w:rsidR="002239ED" w:rsidRDefault="002239ED" w:rsidP="002239ED">
      <w:pPr>
        <w:numPr>
          <w:ilvl w:val="0"/>
          <w:numId w:val="5"/>
        </w:numPr>
        <w:jc w:val="both"/>
        <w:rPr>
          <w:lang w:eastAsia="en-GB"/>
        </w:rPr>
      </w:pPr>
      <w:r>
        <w:rPr>
          <w:lang w:eastAsia="en-GB"/>
        </w:rPr>
        <w:t>The degree of risk associated with any vulnerabilities that are closed by the updates</w:t>
      </w:r>
      <w:r w:rsidR="00736A68">
        <w:rPr>
          <w:lang w:eastAsia="en-GB"/>
        </w:rPr>
        <w:t>.</w:t>
      </w:r>
    </w:p>
    <w:p w14:paraId="05F4EC48" w14:textId="77777777" w:rsidR="002239ED" w:rsidRDefault="002239ED" w:rsidP="002239ED">
      <w:pPr>
        <w:numPr>
          <w:ilvl w:val="0"/>
          <w:numId w:val="5"/>
        </w:numPr>
        <w:jc w:val="both"/>
        <w:rPr>
          <w:lang w:eastAsia="en-GB"/>
        </w:rPr>
      </w:pPr>
      <w:r>
        <w:rPr>
          <w:lang w:eastAsia="en-GB"/>
        </w:rPr>
        <w:t>Co-ordination of the updating of related components of the infrastructure</w:t>
      </w:r>
    </w:p>
    <w:p w14:paraId="20192A59" w14:textId="32721CB4" w:rsidR="002239ED" w:rsidRDefault="002239ED" w:rsidP="002239ED">
      <w:pPr>
        <w:numPr>
          <w:ilvl w:val="0"/>
          <w:numId w:val="5"/>
        </w:numPr>
        <w:jc w:val="both"/>
        <w:rPr>
          <w:lang w:eastAsia="en-GB"/>
        </w:rPr>
      </w:pPr>
      <w:r>
        <w:rPr>
          <w:lang w:eastAsia="en-GB"/>
        </w:rPr>
        <w:t>Dependencies between updates</w:t>
      </w:r>
      <w:r w:rsidR="00736A68">
        <w:rPr>
          <w:lang w:eastAsia="en-GB"/>
        </w:rPr>
        <w:t>.</w:t>
      </w:r>
    </w:p>
    <w:p w14:paraId="007A67E9" w14:textId="77777777" w:rsidR="002239ED" w:rsidRDefault="002239ED" w:rsidP="002239ED">
      <w:pPr>
        <w:rPr>
          <w:lang w:eastAsia="en-GB"/>
        </w:rPr>
      </w:pPr>
    </w:p>
    <w:p w14:paraId="72F1055F" w14:textId="1E9C5DB2" w:rsidR="002239ED" w:rsidRDefault="002239ED" w:rsidP="002239ED">
      <w:pPr>
        <w:jc w:val="both"/>
        <w:rPr>
          <w:lang w:eastAsia="en-GB"/>
        </w:rPr>
      </w:pPr>
      <w:r>
        <w:rPr>
          <w:lang w:eastAsia="en-GB"/>
        </w:rPr>
        <w:t xml:space="preserve">An update release plan should be created and maintained to keep track of when various system will be updated, </w:t>
      </w:r>
      <w:r w:rsidR="00736A68">
        <w:rPr>
          <w:lang w:eastAsia="en-GB"/>
        </w:rPr>
        <w:t>considering</w:t>
      </w:r>
      <w:r>
        <w:rPr>
          <w:lang w:eastAsia="en-GB"/>
        </w:rPr>
        <w:t xml:space="preserve"> the factors listed above. The plan must be managed through the change management process. For updates that are low risk and regular, a standard change may be defined within the change management process to allow this to happen without excess administrative overhead (see </w:t>
      </w:r>
      <w:hyperlink r:id="rId18" w:history="1">
        <w:r w:rsidRPr="006B1C49">
          <w:rPr>
            <w:rStyle w:val="Hyperlink"/>
            <w:lang w:eastAsia="en-GB"/>
          </w:rPr>
          <w:t>ISMS18004 Change Management Policy</w:t>
        </w:r>
      </w:hyperlink>
      <w:r>
        <w:rPr>
          <w:lang w:eastAsia="en-GB"/>
        </w:rPr>
        <w:t>).</w:t>
      </w:r>
    </w:p>
    <w:p w14:paraId="23680267" w14:textId="77777777" w:rsidR="002239ED" w:rsidRDefault="002239ED" w:rsidP="002239ED">
      <w:pPr>
        <w:rPr>
          <w:lang w:eastAsia="en-GB"/>
        </w:rPr>
      </w:pPr>
    </w:p>
    <w:p w14:paraId="6830F638" w14:textId="77777777" w:rsidR="002239ED" w:rsidRDefault="002239ED" w:rsidP="002239ED">
      <w:pPr>
        <w:pStyle w:val="Heading2"/>
        <w:keepLines w:val="0"/>
        <w:numPr>
          <w:ilvl w:val="1"/>
          <w:numId w:val="0"/>
        </w:numPr>
        <w:spacing w:before="120" w:after="120"/>
        <w:ind w:left="576" w:hanging="576"/>
        <w:rPr>
          <w:lang w:eastAsia="en-GB"/>
        </w:rPr>
      </w:pPr>
      <w:bookmarkStart w:id="23" w:name="_Toc379371175"/>
      <w:r>
        <w:rPr>
          <w:lang w:eastAsia="en-GB"/>
        </w:rPr>
        <w:t>Vulnerability Assessment</w:t>
      </w:r>
      <w:bookmarkEnd w:id="23"/>
    </w:p>
    <w:p w14:paraId="3962A327" w14:textId="77777777" w:rsidR="002239ED" w:rsidRDefault="002239ED" w:rsidP="002239ED">
      <w:pPr>
        <w:rPr>
          <w:lang w:eastAsia="en-GB"/>
        </w:rPr>
      </w:pPr>
    </w:p>
    <w:p w14:paraId="1819DCB9" w14:textId="7EDE6CA2" w:rsidR="002239ED" w:rsidRDefault="002239ED" w:rsidP="002239ED">
      <w:pPr>
        <w:jc w:val="both"/>
        <w:rPr>
          <w:lang w:eastAsia="en-GB"/>
        </w:rPr>
      </w:pPr>
      <w:r>
        <w:rPr>
          <w:lang w:eastAsia="en-GB"/>
        </w:rPr>
        <w:t xml:space="preserve">In addition to the regular application of vendor-supplied software updates, </w:t>
      </w:r>
      <w:r w:rsidRPr="00736A68">
        <w:rPr>
          <w:lang w:eastAsia="en-GB"/>
        </w:rPr>
        <w:t>Project Management Office (PMO)</w:t>
      </w:r>
      <w:r w:rsidRPr="00736A68">
        <w:rPr>
          <w:lang w:eastAsia="en-GB"/>
        </w:rPr>
        <w:t>will conduct a vulnerability assessment at least twice a year. The focus of the vulnerability assessment should be guided by the most</w:t>
      </w:r>
      <w:r>
        <w:rPr>
          <w:lang w:eastAsia="en-GB"/>
        </w:rPr>
        <w:t xml:space="preserve"> recent risk assessment.</w:t>
      </w:r>
    </w:p>
    <w:p w14:paraId="3335589C" w14:textId="77777777" w:rsidR="002239ED" w:rsidRDefault="002239ED" w:rsidP="002239ED">
      <w:pPr>
        <w:rPr>
          <w:lang w:eastAsia="en-GB"/>
        </w:rPr>
      </w:pPr>
    </w:p>
    <w:p w14:paraId="20952361" w14:textId="77777777" w:rsidR="002239ED" w:rsidRDefault="002239ED" w:rsidP="002239ED">
      <w:pPr>
        <w:jc w:val="both"/>
        <w:rPr>
          <w:lang w:eastAsia="en-GB"/>
        </w:rPr>
      </w:pPr>
      <w:r>
        <w:rPr>
          <w:lang w:eastAsia="en-GB"/>
        </w:rPr>
        <w:lastRenderedPageBreak/>
        <w:t>The purpose of this assessment is to identify existing vulnerabilities in systems that could be exploited by an attacker. These could include known software vulnerabilities that have not been patched, configuration errors that need to be corrected or examples of inadequate security practice that need to be addressed.</w:t>
      </w:r>
    </w:p>
    <w:p w14:paraId="147AF763" w14:textId="77777777" w:rsidR="002239ED" w:rsidRDefault="002239ED" w:rsidP="002239ED">
      <w:pPr>
        <w:rPr>
          <w:lang w:eastAsia="en-GB"/>
        </w:rPr>
      </w:pPr>
    </w:p>
    <w:p w14:paraId="4C715ED1" w14:textId="77777777" w:rsidR="002239ED" w:rsidRDefault="002239ED" w:rsidP="002239ED">
      <w:pPr>
        <w:jc w:val="both"/>
        <w:rPr>
          <w:lang w:eastAsia="en-GB"/>
        </w:rPr>
      </w:pPr>
      <w:r>
        <w:rPr>
          <w:lang w:eastAsia="en-GB"/>
        </w:rPr>
        <w:t>The assessment may be carried out in-house, by an external company or a combination of both and as a minimum should cover:</w:t>
      </w:r>
    </w:p>
    <w:p w14:paraId="344F4733" w14:textId="77777777" w:rsidR="002239ED" w:rsidRDefault="002239ED" w:rsidP="002239ED">
      <w:pPr>
        <w:jc w:val="both"/>
        <w:rPr>
          <w:lang w:eastAsia="en-GB"/>
        </w:rPr>
      </w:pPr>
    </w:p>
    <w:p w14:paraId="606B501C" w14:textId="310F37E2" w:rsidR="002239ED" w:rsidRDefault="002239ED" w:rsidP="002239ED">
      <w:pPr>
        <w:numPr>
          <w:ilvl w:val="0"/>
          <w:numId w:val="6"/>
        </w:numPr>
        <w:jc w:val="both"/>
        <w:rPr>
          <w:lang w:eastAsia="en-GB"/>
        </w:rPr>
      </w:pPr>
      <w:r>
        <w:rPr>
          <w:lang w:eastAsia="en-GB"/>
        </w:rPr>
        <w:t>Assessment of the security of all routes into the Service’s internal network from the Internet</w:t>
      </w:r>
      <w:r w:rsidR="00B022F1">
        <w:rPr>
          <w:lang w:eastAsia="en-GB"/>
        </w:rPr>
        <w:t>.</w:t>
      </w:r>
    </w:p>
    <w:p w14:paraId="0FED212F" w14:textId="5FE98C91" w:rsidR="002239ED" w:rsidRDefault="00B022F1" w:rsidP="002239ED">
      <w:pPr>
        <w:numPr>
          <w:ilvl w:val="0"/>
          <w:numId w:val="6"/>
        </w:numPr>
        <w:jc w:val="both"/>
        <w:rPr>
          <w:lang w:eastAsia="en-GB"/>
        </w:rPr>
      </w:pPr>
      <w:r>
        <w:rPr>
          <w:lang w:eastAsia="en-GB"/>
        </w:rPr>
        <w:t>Externally facing</w:t>
      </w:r>
      <w:r w:rsidR="002239ED">
        <w:rPr>
          <w:lang w:eastAsia="en-GB"/>
        </w:rPr>
        <w:t xml:space="preserve"> web servers</w:t>
      </w:r>
      <w:r>
        <w:rPr>
          <w:lang w:eastAsia="en-GB"/>
        </w:rPr>
        <w:t>.</w:t>
      </w:r>
    </w:p>
    <w:p w14:paraId="171EC7D7" w14:textId="32064E90" w:rsidR="002239ED" w:rsidRDefault="002239ED" w:rsidP="002239ED">
      <w:pPr>
        <w:numPr>
          <w:ilvl w:val="0"/>
          <w:numId w:val="6"/>
        </w:numPr>
        <w:jc w:val="both"/>
        <w:rPr>
          <w:lang w:eastAsia="en-GB"/>
        </w:rPr>
      </w:pPr>
      <w:r>
        <w:rPr>
          <w:lang w:eastAsia="en-GB"/>
        </w:rPr>
        <w:t>Business critical servers on the internal network</w:t>
      </w:r>
      <w:r w:rsidR="00B022F1">
        <w:rPr>
          <w:lang w:eastAsia="en-GB"/>
        </w:rPr>
        <w:t>.</w:t>
      </w:r>
    </w:p>
    <w:p w14:paraId="12E54CB0" w14:textId="3700B923" w:rsidR="002239ED" w:rsidRDefault="002239ED" w:rsidP="002239ED">
      <w:pPr>
        <w:numPr>
          <w:ilvl w:val="0"/>
          <w:numId w:val="6"/>
        </w:numPr>
        <w:jc w:val="both"/>
        <w:rPr>
          <w:lang w:eastAsia="en-GB"/>
        </w:rPr>
      </w:pPr>
      <w:r>
        <w:rPr>
          <w:lang w:eastAsia="en-GB"/>
        </w:rPr>
        <w:t>A selection of typical user computers</w:t>
      </w:r>
      <w:r w:rsidR="00B022F1">
        <w:rPr>
          <w:lang w:eastAsia="en-GB"/>
        </w:rPr>
        <w:t>.</w:t>
      </w:r>
    </w:p>
    <w:p w14:paraId="01BBBDA7" w14:textId="77777777" w:rsidR="002239ED" w:rsidRDefault="002239ED" w:rsidP="002239ED">
      <w:pPr>
        <w:jc w:val="both"/>
        <w:rPr>
          <w:lang w:eastAsia="en-GB"/>
        </w:rPr>
      </w:pPr>
    </w:p>
    <w:p w14:paraId="1A676E9C" w14:textId="77777777" w:rsidR="002239ED" w:rsidRDefault="002239ED" w:rsidP="002239ED">
      <w:pPr>
        <w:jc w:val="both"/>
        <w:rPr>
          <w:lang w:eastAsia="en-GB"/>
        </w:rPr>
      </w:pPr>
      <w:r>
        <w:rPr>
          <w:lang w:eastAsia="en-GB"/>
        </w:rPr>
        <w:t>If resources permit, additional areas should be assessed such as the vulnerability of employees to phishing attacks.</w:t>
      </w:r>
    </w:p>
    <w:p w14:paraId="0D0B2055" w14:textId="77777777" w:rsidR="002239ED" w:rsidRDefault="002239ED" w:rsidP="002239ED">
      <w:pPr>
        <w:jc w:val="both"/>
        <w:rPr>
          <w:lang w:eastAsia="en-GB"/>
        </w:rPr>
      </w:pPr>
    </w:p>
    <w:p w14:paraId="7EE41632" w14:textId="77777777" w:rsidR="002239ED" w:rsidRDefault="002239ED" w:rsidP="002239ED">
      <w:pPr>
        <w:jc w:val="both"/>
        <w:rPr>
          <w:lang w:eastAsia="en-GB"/>
        </w:rPr>
      </w:pPr>
      <w:r>
        <w:rPr>
          <w:lang w:eastAsia="en-GB"/>
        </w:rPr>
        <w:t>It is not the Service’s policy to attempt to exploit the vulnerabilities found as a matter of course. This type of penetration test may be commissioned as required using external specialist resources as part of a carefully planned exercise performed outside of normal business hours.</w:t>
      </w:r>
    </w:p>
    <w:p w14:paraId="0F347AA5" w14:textId="77777777" w:rsidR="002239ED" w:rsidRDefault="002239ED" w:rsidP="002239ED">
      <w:pPr>
        <w:rPr>
          <w:lang w:eastAsia="en-GB"/>
        </w:rPr>
      </w:pPr>
    </w:p>
    <w:p w14:paraId="6B51D6CB" w14:textId="77777777" w:rsidR="002239ED" w:rsidRDefault="002239ED" w:rsidP="002239ED">
      <w:pPr>
        <w:pStyle w:val="Heading2"/>
        <w:keepLines w:val="0"/>
        <w:numPr>
          <w:ilvl w:val="1"/>
          <w:numId w:val="0"/>
        </w:numPr>
        <w:spacing w:before="120" w:after="120"/>
        <w:ind w:left="576" w:hanging="576"/>
        <w:rPr>
          <w:lang w:eastAsia="en-GB"/>
        </w:rPr>
      </w:pPr>
      <w:bookmarkStart w:id="24" w:name="_Toc379371176"/>
      <w:r>
        <w:rPr>
          <w:lang w:eastAsia="en-GB"/>
        </w:rPr>
        <w:t>Hardening</w:t>
      </w:r>
      <w:bookmarkEnd w:id="24"/>
    </w:p>
    <w:p w14:paraId="3DAA1532" w14:textId="77777777" w:rsidR="002239ED" w:rsidRDefault="002239ED" w:rsidP="002239ED">
      <w:pPr>
        <w:rPr>
          <w:lang w:eastAsia="en-GB"/>
        </w:rPr>
      </w:pPr>
    </w:p>
    <w:p w14:paraId="40FBE4EC" w14:textId="46E6E6ED" w:rsidR="002239ED" w:rsidRDefault="002239ED" w:rsidP="002239ED">
      <w:pPr>
        <w:jc w:val="both"/>
        <w:rPr>
          <w:lang w:eastAsia="en-GB"/>
        </w:rPr>
      </w:pPr>
      <w:r>
        <w:rPr>
          <w:lang w:eastAsia="en-GB"/>
        </w:rPr>
        <w:t xml:space="preserve">A further action that should be taken to reduce the number and extent of vulnerabilities within </w:t>
      </w:r>
      <w:r w:rsidRPr="00B022F1">
        <w:rPr>
          <w:lang w:eastAsia="en-GB"/>
        </w:rPr>
        <w:t>Project Management Office (PMO)</w:t>
      </w:r>
      <w:proofErr w:type="spellStart"/>
      <w:r w:rsidRPr="00B022F1">
        <w:rPr>
          <w:lang w:eastAsia="en-GB"/>
        </w:rPr>
        <w:t>s</w:t>
      </w:r>
      <w:r w:rsidR="0080516F">
        <w:rPr>
          <w:lang w:eastAsia="en-GB"/>
        </w:rPr>
        <w:t>s</w:t>
      </w:r>
      <w:r>
        <w:rPr>
          <w:lang w:eastAsia="en-GB"/>
        </w:rPr>
        <w:t>ystems</w:t>
      </w:r>
      <w:proofErr w:type="spellEnd"/>
      <w:r>
        <w:rPr>
          <w:lang w:eastAsia="en-GB"/>
        </w:rPr>
        <w:t xml:space="preserve"> is the hardening of server and other device configurations. This involves the shutting down of services and protocols that are not needed so that the attack surface is reduced.</w:t>
      </w:r>
    </w:p>
    <w:p w14:paraId="1A8A0FB2" w14:textId="77777777" w:rsidR="002239ED" w:rsidRDefault="002239ED" w:rsidP="002239ED">
      <w:pPr>
        <w:jc w:val="both"/>
        <w:rPr>
          <w:lang w:eastAsia="en-GB"/>
        </w:rPr>
      </w:pPr>
    </w:p>
    <w:p w14:paraId="3D88F0F6" w14:textId="77777777" w:rsidR="002239ED" w:rsidRDefault="002239ED" w:rsidP="002239ED">
      <w:pPr>
        <w:jc w:val="both"/>
        <w:rPr>
          <w:lang w:eastAsia="en-GB"/>
        </w:rPr>
      </w:pPr>
      <w:r>
        <w:rPr>
          <w:lang w:eastAsia="en-GB"/>
        </w:rPr>
        <w:t xml:space="preserve">These hardening activities should be carried out according to vendors’ guidelines and under the control of the change management process. </w:t>
      </w:r>
    </w:p>
    <w:p w14:paraId="4990EA47" w14:textId="77777777" w:rsidR="002239ED" w:rsidRDefault="002239ED" w:rsidP="002239ED">
      <w:pPr>
        <w:rPr>
          <w:lang w:eastAsia="en-GB"/>
        </w:rPr>
      </w:pPr>
    </w:p>
    <w:p w14:paraId="5778889F" w14:textId="77777777" w:rsidR="002239ED" w:rsidRDefault="002239ED" w:rsidP="002239ED">
      <w:pPr>
        <w:pStyle w:val="Heading2"/>
        <w:keepLines w:val="0"/>
        <w:numPr>
          <w:ilvl w:val="1"/>
          <w:numId w:val="0"/>
        </w:numPr>
        <w:spacing w:before="120" w:after="120"/>
        <w:ind w:left="576" w:hanging="576"/>
        <w:rPr>
          <w:lang w:eastAsia="en-GB"/>
        </w:rPr>
      </w:pPr>
      <w:bookmarkStart w:id="25" w:name="_Toc379371177"/>
      <w:r>
        <w:rPr>
          <w:lang w:eastAsia="en-GB"/>
        </w:rPr>
        <w:t>Awareness Training</w:t>
      </w:r>
      <w:bookmarkEnd w:id="25"/>
    </w:p>
    <w:p w14:paraId="461E2C01" w14:textId="77777777" w:rsidR="002239ED" w:rsidRPr="0042176C" w:rsidRDefault="002239ED" w:rsidP="002239ED">
      <w:pPr>
        <w:rPr>
          <w:lang w:eastAsia="en-GB"/>
        </w:rPr>
      </w:pPr>
    </w:p>
    <w:p w14:paraId="0E8AFFF4" w14:textId="77777777" w:rsidR="002239ED" w:rsidRPr="0042176C" w:rsidRDefault="002239ED" w:rsidP="002239ED">
      <w:pPr>
        <w:jc w:val="both"/>
        <w:rPr>
          <w:lang w:eastAsia="en-GB"/>
        </w:rPr>
      </w:pPr>
      <w:r>
        <w:rPr>
          <w:lang w:eastAsia="en-GB"/>
        </w:rPr>
        <w:t xml:space="preserve">As a result of vulnerability </w:t>
      </w:r>
      <w:proofErr w:type="gramStart"/>
      <w:r>
        <w:rPr>
          <w:lang w:eastAsia="en-GB"/>
        </w:rPr>
        <w:t>assessment</w:t>
      </w:r>
      <w:proofErr w:type="gramEnd"/>
      <w:r>
        <w:rPr>
          <w:lang w:eastAsia="en-GB"/>
        </w:rPr>
        <w:t xml:space="preserve"> it may be necessary to increase efforts in security awareness training for employees and third-</w:t>
      </w:r>
      <w:proofErr w:type="spellStart"/>
      <w:r>
        <w:rPr>
          <w:lang w:eastAsia="en-GB"/>
        </w:rPr>
        <w:t>partiesS</w:t>
      </w:r>
      <w:proofErr w:type="spellEnd"/>
      <w:r>
        <w:rPr>
          <w:lang w:eastAsia="en-GB"/>
        </w:rPr>
        <w:t>. This training should explain the nature of vulnerabilities and what can be done to reduce them.</w:t>
      </w:r>
    </w:p>
    <w:p w14:paraId="0589E21A" w14:textId="77777777" w:rsidR="002239ED" w:rsidRPr="00F853B8" w:rsidRDefault="002239ED" w:rsidP="002239ED">
      <w:pPr>
        <w:rPr>
          <w:lang w:eastAsia="en-GB"/>
        </w:rPr>
      </w:pPr>
      <w:r w:rsidRPr="00F853B8">
        <w:rPr>
          <w:lang w:eastAsia="en-GB"/>
        </w:rPr>
        <w:t xml:space="preserve"> </w:t>
      </w:r>
    </w:p>
    <w:p w14:paraId="67BF1FAD" w14:textId="77777777" w:rsidR="00FC76A1" w:rsidRDefault="00FC76A1"/>
    <w:sectPr w:rsidR="00FC76A1" w:rsidSect="00EC317E">
      <w:headerReference w:type="even" r:id="rId19"/>
      <w:headerReference w:type="default" r:id="rId20"/>
      <w:footerReference w:type="even" r:id="rId21"/>
      <w:footerReference w:type="default" r:id="rId22"/>
      <w:headerReference w:type="first" r:id="rId23"/>
      <w:footerReference w:type="first" r:id="rId24"/>
      <w:pgSz w:w="11907" w:h="16840" w:code="9"/>
      <w:pgMar w:top="1440" w:right="1797" w:bottom="1440" w:left="1797"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4FA50" w14:textId="77777777" w:rsidR="00EC317E" w:rsidRDefault="00EC317E" w:rsidP="001B09D1">
      <w:r>
        <w:separator/>
      </w:r>
    </w:p>
  </w:endnote>
  <w:endnote w:type="continuationSeparator" w:id="0">
    <w:p w14:paraId="6305DB14" w14:textId="77777777" w:rsidR="00EC317E" w:rsidRDefault="00EC317E" w:rsidP="001B0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0FAAC" w14:textId="77777777" w:rsidR="001B09D1" w:rsidRDefault="001B09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82306" w14:textId="15FA82C0" w:rsidR="00000000" w:rsidRDefault="002239ED">
    <w:pPr>
      <w:rPr>
        <w:rFonts w:cs="Arial"/>
        <w:b/>
        <w:bCs/>
        <w:i/>
        <w:iCs/>
        <w:sz w:val="20"/>
      </w:rPr>
    </w:pPr>
    <w:r>
      <w:rPr>
        <w:noProof/>
        <w:sz w:val="20"/>
        <w:lang w:eastAsia="en-GB"/>
      </w:rPr>
      <mc:AlternateContent>
        <mc:Choice Requires="wps">
          <w:drawing>
            <wp:anchor distT="0" distB="0" distL="114300" distR="114300" simplePos="0" relativeHeight="251660288" behindDoc="0" locked="0" layoutInCell="1" allowOverlap="1" wp14:anchorId="27B072C2" wp14:editId="4238BEBF">
              <wp:simplePos x="0" y="0"/>
              <wp:positionH relativeFrom="column">
                <wp:posOffset>0</wp:posOffset>
              </wp:positionH>
              <wp:positionV relativeFrom="paragraph">
                <wp:posOffset>-165100</wp:posOffset>
              </wp:positionV>
              <wp:extent cx="5401945" cy="0"/>
              <wp:effectExtent l="0" t="0" r="0" b="0"/>
              <wp:wrapNone/>
              <wp:docPr id="147910417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1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6C28B"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25.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"/>
          </w:pict>
        </mc:Fallback>
      </mc:AlternateContent>
    </w:r>
    <w:r w:rsidR="00000000">
      <w:rPr>
        <w:sz w:val="20"/>
      </w:rPr>
      <w:t xml:space="preserve">V 1.0 </w:t>
    </w:r>
    <w:r w:rsidR="00000000">
      <w:rPr>
        <w:sz w:val="20"/>
      </w:rPr>
      <w:t>Draft 1</w:t>
    </w:r>
    <w:r w:rsidR="00000000">
      <w:rPr>
        <w:sz w:val="20"/>
      </w:rPr>
      <w:tab/>
    </w:r>
    <w:r w:rsidR="00000000">
      <w:rPr>
        <w:sz w:val="20"/>
      </w:rPr>
      <w:tab/>
    </w:r>
    <w:r w:rsidR="00000000">
      <w:rPr>
        <w:sz w:val="20"/>
      </w:rPr>
      <w:tab/>
    </w:r>
    <w:r w:rsidR="00000000">
      <w:rPr>
        <w:sz w:val="20"/>
      </w:rPr>
      <w:tab/>
    </w:r>
    <w:r w:rsidR="00000000">
      <w:rPr>
        <w:sz w:val="20"/>
        <w:lang w:val="en-US"/>
      </w:rPr>
      <w:t xml:space="preserve">Page </w:t>
    </w:r>
    <w:r w:rsidR="00000000">
      <w:rPr>
        <w:sz w:val="20"/>
        <w:lang w:val="en-US"/>
      </w:rPr>
      <w:fldChar w:fldCharType="begin"/>
    </w:r>
    <w:r w:rsidR="00000000">
      <w:rPr>
        <w:sz w:val="20"/>
        <w:lang w:val="en-US"/>
      </w:rPr>
      <w:instrText xml:space="preserve"> PAGE </w:instrText>
    </w:r>
    <w:r w:rsidR="00000000">
      <w:rPr>
        <w:sz w:val="20"/>
        <w:lang w:val="en-US"/>
      </w:rPr>
      <w:fldChar w:fldCharType="separate"/>
    </w:r>
    <w:r w:rsidR="00000000">
      <w:rPr>
        <w:noProof/>
        <w:sz w:val="20"/>
        <w:lang w:val="en-US"/>
      </w:rPr>
      <w:t>3</w:t>
    </w:r>
    <w:r w:rsidR="00000000">
      <w:rPr>
        <w:sz w:val="20"/>
        <w:lang w:val="en-US"/>
      </w:rPr>
      <w:fldChar w:fldCharType="end"/>
    </w:r>
    <w:r w:rsidR="00000000">
      <w:rPr>
        <w:sz w:val="20"/>
        <w:lang w:val="en-US"/>
      </w:rPr>
      <w:t xml:space="preserve"> of </w:t>
    </w:r>
    <w:r w:rsidR="00000000">
      <w:rPr>
        <w:sz w:val="20"/>
        <w:lang w:val="en-US"/>
      </w:rPr>
      <w:fldChar w:fldCharType="begin"/>
    </w:r>
    <w:r w:rsidR="00000000">
      <w:rPr>
        <w:sz w:val="20"/>
        <w:lang w:val="en-US"/>
      </w:rPr>
      <w:instrText xml:space="preserve"> NUMPAGES </w:instrText>
    </w:r>
    <w:r w:rsidR="00000000">
      <w:rPr>
        <w:sz w:val="20"/>
        <w:lang w:val="en-US"/>
      </w:rPr>
      <w:fldChar w:fldCharType="separate"/>
    </w:r>
    <w:r w:rsidR="00000000">
      <w:rPr>
        <w:noProof/>
        <w:sz w:val="20"/>
        <w:lang w:val="en-US"/>
      </w:rPr>
      <w:t>10</w:t>
    </w:r>
    <w:r w:rsidR="00000000">
      <w:rPr>
        <w:sz w:val="20"/>
        <w:lang w:val="en-US"/>
      </w:rPr>
      <w:fldChar w:fldCharType="end"/>
    </w:r>
    <w:r w:rsidR="00000000">
      <w:rPr>
        <w:rFonts w:cs="Arial"/>
        <w:b/>
        <w:bCs/>
        <w:i/>
        <w:iCs/>
        <w:sz w:val="20"/>
      </w:rPr>
      <w:t xml:space="preserve"> </w:t>
    </w:r>
    <w:r w:rsidR="00000000">
      <w:rPr>
        <w:rFonts w:cs="Arial"/>
        <w:b/>
        <w:bCs/>
        <w:i/>
        <w:iCs/>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4B2E5" w14:textId="77777777" w:rsidR="001B09D1" w:rsidRDefault="001B0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48C1A" w14:textId="77777777" w:rsidR="00EC317E" w:rsidRDefault="00EC317E" w:rsidP="001B09D1">
      <w:r>
        <w:separator/>
      </w:r>
    </w:p>
  </w:footnote>
  <w:footnote w:type="continuationSeparator" w:id="0">
    <w:p w14:paraId="38CDB50E" w14:textId="77777777" w:rsidR="00EC317E" w:rsidRDefault="00EC317E" w:rsidP="001B0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F35D0" w14:textId="6BA103D7" w:rsidR="001B09D1" w:rsidRDefault="001B09D1">
    <w:pPr>
      <w:pStyle w:val="Header"/>
    </w:pPr>
    <w:r>
      <w:rPr>
        <w:noProof/>
      </w:rPr>
      <w:pict w14:anchorId="2AE699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936313" o:spid="_x0000_s1028" type="#_x0000_t136" style="position:absolute;margin-left:0;margin-top:0;width:418.55pt;height:167.4pt;rotation:315;z-index:-251652096;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F319A" w14:textId="6A92902D" w:rsidR="00000000" w:rsidRPr="00C45104" w:rsidRDefault="001B09D1" w:rsidP="00AB671A">
    <w:pPr>
      <w:pStyle w:val="Header"/>
      <w:jc w:val="center"/>
      <w:rPr>
        <w:sz w:val="20"/>
        <w:szCs w:val="20"/>
      </w:rPr>
    </w:pPr>
    <w:r>
      <w:rPr>
        <w:noProof/>
      </w:rPr>
      <w:pict w14:anchorId="11D66F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936314" o:spid="_x0000_s1029" type="#_x0000_t136" style="position:absolute;left:0;text-align:left;margin-left:0;margin-top:0;width:418.55pt;height:167.4pt;rotation:315;z-index:-251650048;mso-position-horizontal:center;mso-position-horizontal-relative:margin;mso-position-vertical:center;mso-position-vertical-relative:margin" o:allowincell="f" fillcolor="silver" stroked="f">
          <v:fill opacity=".5"/>
          <v:textpath style="font-family:&quot;Arial&quot;;font-size:1pt" string="DRAFT"/>
        </v:shape>
      </w:pict>
    </w:r>
    <w:r w:rsidR="00000000">
      <w:rPr>
        <w:sz w:val="20"/>
        <w:szCs w:val="20"/>
      </w:rPr>
      <w:t xml:space="preserve">Draft </w:t>
    </w:r>
    <w:r w:rsidR="00000000">
      <w:rPr>
        <w:sz w:val="20"/>
        <w:szCs w:val="20"/>
      </w:rPr>
      <w:t xml:space="preserve">Technical </w:t>
    </w:r>
    <w:r w:rsidR="00000000">
      <w:rPr>
        <w:sz w:val="20"/>
        <w:szCs w:val="20"/>
      </w:rPr>
      <w:t xml:space="preserve">Vulnerability Management </w:t>
    </w:r>
    <w:r w:rsidR="00000000">
      <w:rPr>
        <w:sz w:val="20"/>
        <w:szCs w:val="20"/>
      </w:rPr>
      <w:t>Policy</w:t>
    </w:r>
  </w:p>
  <w:p w14:paraId="288EB278" w14:textId="29E49E4E" w:rsidR="00000000" w:rsidRDefault="002239ED">
    <w:pPr>
      <w:pStyle w:val="Header"/>
    </w:pPr>
    <w:r>
      <w:rPr>
        <w:b/>
        <w:noProof/>
        <w:sz w:val="20"/>
        <w:szCs w:val="20"/>
        <w:lang w:eastAsia="en-GB"/>
      </w:rPr>
      <mc:AlternateContent>
        <mc:Choice Requires="wps">
          <w:drawing>
            <wp:anchor distT="0" distB="0" distL="114300" distR="114300" simplePos="0" relativeHeight="251659264" behindDoc="0" locked="0" layoutInCell="1" allowOverlap="1" wp14:anchorId="15B3A43D" wp14:editId="06CE0D65">
              <wp:simplePos x="0" y="0"/>
              <wp:positionH relativeFrom="column">
                <wp:posOffset>0</wp:posOffset>
              </wp:positionH>
              <wp:positionV relativeFrom="paragraph">
                <wp:posOffset>165100</wp:posOffset>
              </wp:positionV>
              <wp:extent cx="5257800" cy="0"/>
              <wp:effectExtent l="0" t="0" r="0" b="0"/>
              <wp:wrapNone/>
              <wp:docPr id="131442476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7590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1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4u7rg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"/>
          </w:pict>
        </mc:Fallback>
      </mc:AlternateContent>
    </w:r>
  </w:p>
  <w:p w14:paraId="0561710D"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E7F48" w14:textId="02ABED96" w:rsidR="001B09D1" w:rsidRDefault="001B09D1">
    <w:pPr>
      <w:pStyle w:val="Header"/>
    </w:pPr>
    <w:r>
      <w:rPr>
        <w:noProof/>
      </w:rPr>
      <w:pict w14:anchorId="083F62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936312" o:spid="_x0000_s1027" type="#_x0000_t136" style="position:absolute;margin-left:0;margin-top:0;width:418.55pt;height:167.4pt;rotation:315;z-index:-251654144;mso-position-horizontal:center;mso-position-horizontal-relative:margin;mso-position-vertical:center;mso-position-vertical-relative:margin" o:allowincell="f" fillcolor="silver" stroked="f">
          <v:fill opacity=".5"/>
          <v:textpath style="font-family:&quot;Arial&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256A2"/>
    <w:multiLevelType w:val="hybridMultilevel"/>
    <w:tmpl w:val="7DD23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273BCD"/>
    <w:multiLevelType w:val="hybridMultilevel"/>
    <w:tmpl w:val="BE08E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7B6177"/>
    <w:multiLevelType w:val="hybridMultilevel"/>
    <w:tmpl w:val="A998D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824FD0"/>
    <w:multiLevelType w:val="hybridMultilevel"/>
    <w:tmpl w:val="3B08E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BE3EEE"/>
    <w:multiLevelType w:val="hybridMultilevel"/>
    <w:tmpl w:val="CFBE4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4F4512"/>
    <w:multiLevelType w:val="hybridMultilevel"/>
    <w:tmpl w:val="EB76D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706878">
    <w:abstractNumId w:val="2"/>
  </w:num>
  <w:num w:numId="2" w16cid:durableId="1755663636">
    <w:abstractNumId w:val="3"/>
  </w:num>
  <w:num w:numId="3" w16cid:durableId="693191304">
    <w:abstractNumId w:val="5"/>
  </w:num>
  <w:num w:numId="4" w16cid:durableId="1334408381">
    <w:abstractNumId w:val="1"/>
  </w:num>
  <w:num w:numId="5" w16cid:durableId="1135180213">
    <w:abstractNumId w:val="4"/>
  </w:num>
  <w:num w:numId="6" w16cid:durableId="198249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ED"/>
    <w:rsid w:val="001B09D1"/>
    <w:rsid w:val="002239ED"/>
    <w:rsid w:val="00736A68"/>
    <w:rsid w:val="007A3769"/>
    <w:rsid w:val="0080516F"/>
    <w:rsid w:val="00B022F1"/>
    <w:rsid w:val="00EC317E"/>
    <w:rsid w:val="00F302C2"/>
    <w:rsid w:val="00FC76A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8E5FE"/>
  <w15:chartTrackingRefBased/>
  <w15:docId w15:val="{0EDE7BE1-5437-40DF-B26B-5B4BE4296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9ED"/>
    <w:pPr>
      <w:spacing w:after="0" w:line="240" w:lineRule="auto"/>
    </w:pPr>
    <w:rPr>
      <w:rFonts w:ascii="Arial" w:eastAsia="Times New Roman" w:hAnsi="Arial" w:cs="Times New Roman"/>
      <w:sz w:val="24"/>
      <w:szCs w:val="24"/>
      <w:lang w:val="en-GB"/>
    </w:rPr>
  </w:style>
  <w:style w:type="paragraph" w:styleId="Heading1">
    <w:name w:val="heading 1"/>
    <w:basedOn w:val="Normal"/>
    <w:next w:val="Normal"/>
    <w:link w:val="Heading1Char"/>
    <w:qFormat/>
    <w:rsid w:val="00223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2"/>
    <w:basedOn w:val="Normal"/>
    <w:next w:val="Normal"/>
    <w:link w:val="Heading2Char"/>
    <w:unhideWhenUsed/>
    <w:qFormat/>
    <w:rsid w:val="00223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223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223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223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2239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2239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2239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2239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3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223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9ED"/>
    <w:rPr>
      <w:rFonts w:eastAsiaTheme="majorEastAsia" w:cstheme="majorBidi"/>
      <w:color w:val="272727" w:themeColor="text1" w:themeTint="D8"/>
    </w:rPr>
  </w:style>
  <w:style w:type="paragraph" w:styleId="Title">
    <w:name w:val="Title"/>
    <w:basedOn w:val="Normal"/>
    <w:next w:val="Normal"/>
    <w:link w:val="TitleChar"/>
    <w:uiPriority w:val="10"/>
    <w:qFormat/>
    <w:rsid w:val="002239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9ED"/>
    <w:pPr>
      <w:spacing w:before="160"/>
      <w:jc w:val="center"/>
    </w:pPr>
    <w:rPr>
      <w:i/>
      <w:iCs/>
      <w:color w:val="404040" w:themeColor="text1" w:themeTint="BF"/>
    </w:rPr>
  </w:style>
  <w:style w:type="character" w:customStyle="1" w:styleId="QuoteChar">
    <w:name w:val="Quote Char"/>
    <w:basedOn w:val="DefaultParagraphFont"/>
    <w:link w:val="Quote"/>
    <w:uiPriority w:val="29"/>
    <w:rsid w:val="002239ED"/>
    <w:rPr>
      <w:i/>
      <w:iCs/>
      <w:color w:val="404040" w:themeColor="text1" w:themeTint="BF"/>
    </w:rPr>
  </w:style>
  <w:style w:type="paragraph" w:styleId="ListParagraph">
    <w:name w:val="List Paragraph"/>
    <w:basedOn w:val="Normal"/>
    <w:uiPriority w:val="34"/>
    <w:qFormat/>
    <w:rsid w:val="002239ED"/>
    <w:pPr>
      <w:ind w:left="720"/>
      <w:contextualSpacing/>
    </w:pPr>
  </w:style>
  <w:style w:type="character" w:styleId="IntenseEmphasis">
    <w:name w:val="Intense Emphasis"/>
    <w:basedOn w:val="DefaultParagraphFont"/>
    <w:uiPriority w:val="21"/>
    <w:qFormat/>
    <w:rsid w:val="002239ED"/>
    <w:rPr>
      <w:i/>
      <w:iCs/>
      <w:color w:val="0F4761" w:themeColor="accent1" w:themeShade="BF"/>
    </w:rPr>
  </w:style>
  <w:style w:type="paragraph" w:styleId="IntenseQuote">
    <w:name w:val="Intense Quote"/>
    <w:basedOn w:val="Normal"/>
    <w:next w:val="Normal"/>
    <w:link w:val="IntenseQuoteChar"/>
    <w:uiPriority w:val="30"/>
    <w:qFormat/>
    <w:rsid w:val="00223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9ED"/>
    <w:rPr>
      <w:i/>
      <w:iCs/>
      <w:color w:val="0F4761" w:themeColor="accent1" w:themeShade="BF"/>
    </w:rPr>
  </w:style>
  <w:style w:type="character" w:styleId="IntenseReference">
    <w:name w:val="Intense Reference"/>
    <w:basedOn w:val="DefaultParagraphFont"/>
    <w:uiPriority w:val="32"/>
    <w:qFormat/>
    <w:rsid w:val="002239ED"/>
    <w:rPr>
      <w:b/>
      <w:bCs/>
      <w:smallCaps/>
      <w:color w:val="0F4761" w:themeColor="accent1" w:themeShade="BF"/>
      <w:spacing w:val="5"/>
    </w:rPr>
  </w:style>
  <w:style w:type="paragraph" w:styleId="BodyText">
    <w:name w:val="Body Text"/>
    <w:basedOn w:val="Normal"/>
    <w:link w:val="BodyTextChar"/>
    <w:semiHidden/>
    <w:rsid w:val="002239ED"/>
  </w:style>
  <w:style w:type="character" w:customStyle="1" w:styleId="BodyTextChar">
    <w:name w:val="Body Text Char"/>
    <w:basedOn w:val="DefaultParagraphFont"/>
    <w:link w:val="BodyText"/>
    <w:semiHidden/>
    <w:rsid w:val="002239ED"/>
    <w:rPr>
      <w:rFonts w:ascii="Arial" w:eastAsia="Times New Roman" w:hAnsi="Arial" w:cs="Times New Roman"/>
      <w:sz w:val="24"/>
      <w:szCs w:val="24"/>
      <w:lang w:val="en-GB"/>
    </w:rPr>
  </w:style>
  <w:style w:type="paragraph" w:styleId="Header">
    <w:name w:val="header"/>
    <w:basedOn w:val="Normal"/>
    <w:link w:val="HeaderChar"/>
    <w:semiHidden/>
    <w:rsid w:val="002239ED"/>
    <w:pPr>
      <w:tabs>
        <w:tab w:val="center" w:pos="4153"/>
        <w:tab w:val="right" w:pos="8306"/>
      </w:tabs>
    </w:pPr>
  </w:style>
  <w:style w:type="character" w:customStyle="1" w:styleId="HeaderChar">
    <w:name w:val="Header Char"/>
    <w:basedOn w:val="DefaultParagraphFont"/>
    <w:link w:val="Header"/>
    <w:semiHidden/>
    <w:rsid w:val="002239ED"/>
    <w:rPr>
      <w:rFonts w:ascii="Arial" w:eastAsia="Times New Roman" w:hAnsi="Arial" w:cs="Times New Roman"/>
      <w:sz w:val="24"/>
      <w:szCs w:val="24"/>
      <w:lang w:val="en-GB"/>
    </w:rPr>
  </w:style>
  <w:style w:type="paragraph" w:styleId="Footer">
    <w:name w:val="footer"/>
    <w:basedOn w:val="Normal"/>
    <w:link w:val="FooterChar"/>
    <w:semiHidden/>
    <w:rsid w:val="002239ED"/>
    <w:pPr>
      <w:tabs>
        <w:tab w:val="center" w:pos="4153"/>
        <w:tab w:val="right" w:pos="8306"/>
      </w:tabs>
    </w:pPr>
  </w:style>
  <w:style w:type="character" w:customStyle="1" w:styleId="FooterChar">
    <w:name w:val="Footer Char"/>
    <w:basedOn w:val="DefaultParagraphFont"/>
    <w:link w:val="Footer"/>
    <w:semiHidden/>
    <w:rsid w:val="002239ED"/>
    <w:rPr>
      <w:rFonts w:ascii="Arial" w:eastAsia="Times New Roman" w:hAnsi="Arial" w:cs="Times New Roman"/>
      <w:sz w:val="24"/>
      <w:szCs w:val="24"/>
      <w:lang w:val="en-GB"/>
    </w:rPr>
  </w:style>
  <w:style w:type="paragraph" w:styleId="TOC1">
    <w:name w:val="toc 1"/>
    <w:basedOn w:val="Normal"/>
    <w:next w:val="Normal"/>
    <w:autoRedefine/>
    <w:uiPriority w:val="39"/>
    <w:rsid w:val="002239ED"/>
    <w:pPr>
      <w:tabs>
        <w:tab w:val="left" w:pos="480"/>
        <w:tab w:val="right" w:leader="dot" w:pos="8303"/>
      </w:tabs>
      <w:spacing w:before="120" w:after="120"/>
    </w:pPr>
    <w:rPr>
      <w:rFonts w:ascii="Times New Roman" w:hAnsi="Times New Roman"/>
      <w:b/>
      <w:caps/>
      <w:noProof/>
      <w:sz w:val="20"/>
      <w:szCs w:val="28"/>
    </w:rPr>
  </w:style>
  <w:style w:type="paragraph" w:styleId="TOC2">
    <w:name w:val="toc 2"/>
    <w:basedOn w:val="Normal"/>
    <w:next w:val="Normal"/>
    <w:autoRedefine/>
    <w:uiPriority w:val="39"/>
    <w:rsid w:val="002239ED"/>
    <w:pPr>
      <w:ind w:left="240"/>
    </w:pPr>
    <w:rPr>
      <w:rFonts w:ascii="Times New Roman" w:hAnsi="Times New Roman"/>
      <w:smallCaps/>
      <w:sz w:val="20"/>
    </w:rPr>
  </w:style>
  <w:style w:type="paragraph" w:styleId="BodyText2">
    <w:name w:val="Body Text 2"/>
    <w:basedOn w:val="Normal"/>
    <w:link w:val="BodyText2Char"/>
    <w:semiHidden/>
    <w:rsid w:val="002239ED"/>
    <w:rPr>
      <w:b/>
    </w:rPr>
  </w:style>
  <w:style w:type="character" w:customStyle="1" w:styleId="BodyText2Char">
    <w:name w:val="Body Text 2 Char"/>
    <w:basedOn w:val="DefaultParagraphFont"/>
    <w:link w:val="BodyText2"/>
    <w:semiHidden/>
    <w:rsid w:val="002239ED"/>
    <w:rPr>
      <w:rFonts w:ascii="Arial" w:eastAsia="Times New Roman" w:hAnsi="Arial" w:cs="Times New Roman"/>
      <w:b/>
      <w:sz w:val="24"/>
      <w:szCs w:val="24"/>
      <w:lang w:val="en-GB"/>
    </w:rPr>
  </w:style>
  <w:style w:type="character" w:styleId="Hyperlink">
    <w:name w:val="Hyperlink"/>
    <w:uiPriority w:val="99"/>
    <w:rsid w:val="002239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6.%20Organisation%20of%20information%20security/ISMS12002%20Mobile%20Computing%20Policy.doc" TargetMode="External"/><Relationship Id="rId13" Type="http://schemas.openxmlformats.org/officeDocument/2006/relationships/hyperlink" Target="../A7.%20Human%20resources%20security/ISMS13003%20Internet%20Acceptable%20Use%20Policy.doc" TargetMode="External"/><Relationship Id="rId18" Type="http://schemas.openxmlformats.org/officeDocument/2006/relationships/hyperlink" Target="ISMS18004%20Change%20Management%20Policy.do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06.%20Planning/ISMS06004%20Information%20Security%20Risk%20Treatment%20Plan.doc" TargetMode="External"/><Relationship Id="rId12" Type="http://schemas.openxmlformats.org/officeDocument/2006/relationships/hyperlink" Target="../A7.%20Human%20resources%20security/ISMS13002%20Email%20Policy.doc" TargetMode="External"/><Relationship Id="rId17" Type="http://schemas.openxmlformats.org/officeDocument/2006/relationships/hyperlink" Target="ISMS18014%20Software%20Catalogue.do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ISMS18010%20Anti-Malware%20Policy.doc"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7.%20Human%20resources%20security/ISMS13001%20AUP%20and%20Personal%20Commitment%20Statement.doc"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ISMS18008%20Software%20Policy.doc" TargetMode="External"/><Relationship Id="rId23" Type="http://schemas.openxmlformats.org/officeDocument/2006/relationships/header" Target="header3.xml"/><Relationship Id="rId10" Type="http://schemas.openxmlformats.org/officeDocument/2006/relationships/hyperlink" Target="../A6.%20Organisation%20of%20information%20security/ISMS12004%20Bring%20Your%20Own%20Device%20Policy.doc"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A6.%20Organisation%20of%20information%20security/ISMS12003%20Teleworking%20Policy.doc" TargetMode="External"/><Relationship Id="rId14" Type="http://schemas.openxmlformats.org/officeDocument/2006/relationships/hyperlink" Target="ISMS18004%20Change%20Management%20Policy.doc"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1735</Words>
  <Characters>9893</Characters>
  <Application>Microsoft Office Word</Application>
  <DocSecurity>0</DocSecurity>
  <Lines>82</Lines>
  <Paragraphs>23</Paragraphs>
  <ScaleCrop>false</ScaleCrop>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Farouk Farouk</dc:creator>
  <cp:keywords/>
  <dc:description/>
  <cp:lastModifiedBy>Umar Farouk Farouk</cp:lastModifiedBy>
  <cp:revision>7</cp:revision>
  <dcterms:created xsi:type="dcterms:W3CDTF">2024-05-01T05:51:00Z</dcterms:created>
  <dcterms:modified xsi:type="dcterms:W3CDTF">2024-05-01T05:56:00Z</dcterms:modified>
</cp:coreProperties>
</file>