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CA1FB" w14:textId="7A5E8180" w:rsidR="00DD0729" w:rsidRDefault="00DD0729" w:rsidP="00773CC1"/>
    <w:p w14:paraId="169B008A" w14:textId="53707D7B" w:rsidR="00AC0160" w:rsidRDefault="00AC0160" w:rsidP="00773CC1"/>
    <w:p w14:paraId="26900769" w14:textId="77777777" w:rsidR="00BE7880" w:rsidRDefault="00BE7880" w:rsidP="006D31AB">
      <w:pPr>
        <w:pStyle w:val="Heading1"/>
      </w:pPr>
      <w:bookmarkStart w:id="0" w:name="_Toc107570234"/>
      <w:r>
        <w:t>COD Services API</w:t>
      </w:r>
      <w:bookmarkEnd w:id="0"/>
    </w:p>
    <w:p w14:paraId="32BBF554" w14:textId="11B25B06" w:rsidR="00045EB1" w:rsidRDefault="00F9607C" w:rsidP="00045EB1">
      <w:pPr>
        <w:pStyle w:val="Heading1"/>
      </w:pPr>
      <w:bookmarkStart w:id="1" w:name="_Toc107570235"/>
      <w:r>
        <w:t>Bulk P-Code</w:t>
      </w:r>
      <w:bookmarkEnd w:id="1"/>
    </w:p>
    <w:p w14:paraId="248F42B5" w14:textId="77777777" w:rsidR="00810203" w:rsidRPr="00810203" w:rsidRDefault="00810203" w:rsidP="00810203"/>
    <w:p w14:paraId="73C29367" w14:textId="7475FBDC" w:rsidR="00AC0160" w:rsidRDefault="00AC0160" w:rsidP="00773CC1"/>
    <w:p w14:paraId="6D4C192F" w14:textId="5E8905C4" w:rsidR="006D31AB" w:rsidRDefault="006D31AB" w:rsidP="006D31AB">
      <w:pPr>
        <w:pStyle w:val="Heading2"/>
      </w:pPr>
      <w:bookmarkStart w:id="2" w:name="_Toc107570236"/>
      <w:r>
        <w:t>Contacts</w:t>
      </w:r>
      <w:bookmarkEnd w:id="2"/>
    </w:p>
    <w:p w14:paraId="49AF0984" w14:textId="77777777" w:rsidR="006D31AB" w:rsidRDefault="006D31AB" w:rsidP="00773CC1"/>
    <w:p w14:paraId="308601F9" w14:textId="67020784" w:rsidR="0028443D" w:rsidRDefault="0028443D" w:rsidP="0028443D">
      <w:r>
        <w:t>Tom Haythornthwaite, United Nations, Office for the Coordination of Humanitarian Affairs</w:t>
      </w:r>
      <w:r w:rsidR="005912FF">
        <w:t>, haythornthwaite@un.org</w:t>
      </w:r>
    </w:p>
    <w:p w14:paraId="1ED6BE61" w14:textId="77777777" w:rsidR="0028443D" w:rsidRDefault="0028443D" w:rsidP="0028443D"/>
    <w:p w14:paraId="7F80D053" w14:textId="0BC4FAD0" w:rsidR="0028443D" w:rsidRDefault="0028443D" w:rsidP="0028443D">
      <w:r>
        <w:t xml:space="preserve">Anita Russo, University of Georgia, Carl Vinson Institute of Government, Information Technology </w:t>
      </w:r>
    </w:p>
    <w:p w14:paraId="3DE2943D" w14:textId="03B1AD94" w:rsidR="0028443D" w:rsidRDefault="0028443D" w:rsidP="0028443D">
      <w:r>
        <w:t>Outreach Services</w:t>
      </w:r>
      <w:r w:rsidR="005912FF">
        <w:t xml:space="preserve">, </w:t>
      </w:r>
      <w:hyperlink r:id="rId8" w:history="1">
        <w:r w:rsidR="00AB4441" w:rsidRPr="00AA30E5">
          <w:rPr>
            <w:rStyle w:val="Hyperlink"/>
          </w:rPr>
          <w:t>arusso@uga.edu</w:t>
        </w:r>
      </w:hyperlink>
    </w:p>
    <w:p w14:paraId="792E86D5" w14:textId="4F25F7DD" w:rsidR="00AB4441" w:rsidRDefault="00AB4441" w:rsidP="0028443D"/>
    <w:p w14:paraId="2FFFC83F" w14:textId="05C19A0F" w:rsidR="00AC0160" w:rsidRDefault="00AC0160" w:rsidP="00AC0160"/>
    <w:p w14:paraId="6F3FD88F" w14:textId="7F63DF1B" w:rsidR="00AC0160" w:rsidRDefault="00AC0160" w:rsidP="00AC0160"/>
    <w:p w14:paraId="35730413" w14:textId="7405D3A3" w:rsidR="00AC0160" w:rsidRDefault="00AC0160" w:rsidP="006D31AB">
      <w:pPr>
        <w:pStyle w:val="Heading2"/>
      </w:pPr>
      <w:bookmarkStart w:id="3" w:name="_Toc107570237"/>
      <w:r>
        <w:t>History</w:t>
      </w:r>
      <w:bookmarkEnd w:id="3"/>
    </w:p>
    <w:p w14:paraId="1E9517B7" w14:textId="071CE0BD" w:rsidR="00AB4441" w:rsidRDefault="00AB4441" w:rsidP="00AB4441">
      <w:r>
        <w:t xml:space="preserve">First draft: </w:t>
      </w:r>
      <w:r w:rsidR="000A4EC6">
        <w:t>16</w:t>
      </w:r>
      <w:r>
        <w:t xml:space="preserve"> June 2021</w:t>
      </w:r>
    </w:p>
    <w:sdt>
      <w:sdtPr>
        <w:rPr>
          <w:rFonts w:ascii="Calibri" w:eastAsiaTheme="minorHAnsi" w:hAnsi="Calibri" w:cs="Times New Roman"/>
          <w:color w:val="auto"/>
          <w:sz w:val="22"/>
          <w:szCs w:val="22"/>
        </w:rPr>
        <w:id w:val="7440721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D131AE" w14:textId="07EDFBA8" w:rsidR="00045EB1" w:rsidRDefault="00045EB1">
          <w:pPr>
            <w:pStyle w:val="TOCHeading"/>
          </w:pPr>
          <w:r>
            <w:t>Contents</w:t>
          </w:r>
        </w:p>
        <w:p w14:paraId="211961AF" w14:textId="63E4A68F" w:rsidR="00B228E8" w:rsidRDefault="00045EB1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70234" w:history="1">
            <w:r w:rsidR="00B228E8" w:rsidRPr="007E3659">
              <w:rPr>
                <w:rStyle w:val="Hyperlink"/>
                <w:noProof/>
              </w:rPr>
              <w:t>COD Services API</w:t>
            </w:r>
            <w:r w:rsidR="00B228E8">
              <w:rPr>
                <w:noProof/>
                <w:webHidden/>
              </w:rPr>
              <w:tab/>
            </w:r>
            <w:r w:rsidR="00B228E8">
              <w:rPr>
                <w:noProof/>
                <w:webHidden/>
              </w:rPr>
              <w:fldChar w:fldCharType="begin"/>
            </w:r>
            <w:r w:rsidR="00B228E8">
              <w:rPr>
                <w:noProof/>
                <w:webHidden/>
              </w:rPr>
              <w:instrText xml:space="preserve"> PAGEREF _Toc107570234 \h </w:instrText>
            </w:r>
            <w:r w:rsidR="00B228E8">
              <w:rPr>
                <w:noProof/>
                <w:webHidden/>
              </w:rPr>
            </w:r>
            <w:r w:rsidR="00B228E8">
              <w:rPr>
                <w:noProof/>
                <w:webHidden/>
              </w:rPr>
              <w:fldChar w:fldCharType="separate"/>
            </w:r>
            <w:r w:rsidR="00B228E8">
              <w:rPr>
                <w:noProof/>
                <w:webHidden/>
              </w:rPr>
              <w:t>1</w:t>
            </w:r>
            <w:r w:rsidR="00B228E8">
              <w:rPr>
                <w:noProof/>
                <w:webHidden/>
              </w:rPr>
              <w:fldChar w:fldCharType="end"/>
            </w:r>
          </w:hyperlink>
        </w:p>
        <w:p w14:paraId="65C54A31" w14:textId="5F2479F9" w:rsidR="00B228E8" w:rsidRDefault="00B228E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35" w:history="1">
            <w:r w:rsidRPr="007E3659">
              <w:rPr>
                <w:rStyle w:val="Hyperlink"/>
                <w:noProof/>
              </w:rPr>
              <w:t>Bulk P-Code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C2EEA" w14:textId="4D81A09A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36" w:history="1">
            <w:r w:rsidRPr="007E3659">
              <w:rPr>
                <w:rStyle w:val="Hyperlink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9D2D" w14:textId="1021B469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37" w:history="1">
            <w:r w:rsidRPr="007E3659">
              <w:rPr>
                <w:rStyle w:val="Hyperlink"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7A9CD8" w14:textId="5431A004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38" w:history="1">
            <w:r w:rsidRPr="007E3659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FC79D" w14:textId="2D3D10EF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39" w:history="1">
            <w:r w:rsidRPr="007E3659">
              <w:rPr>
                <w:rStyle w:val="Hyperlink"/>
                <w:noProof/>
              </w:rPr>
              <w:t>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98DE8" w14:textId="5EB8B05C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40" w:history="1">
            <w:r w:rsidRPr="007E3659">
              <w:rPr>
                <w:rStyle w:val="Hyperlink"/>
                <w:noProof/>
              </w:rPr>
              <w:t>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5B5C7" w14:textId="0AF03222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41" w:history="1">
            <w:r w:rsidRPr="007E3659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B6B7B" w14:textId="7FCDA9E8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42" w:history="1">
            <w:r w:rsidRPr="007E3659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745DE" w14:textId="7BE57893" w:rsidR="00B228E8" w:rsidRDefault="00B228E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7570243" w:history="1">
            <w:r w:rsidRPr="007E3659">
              <w:rPr>
                <w:rStyle w:val="Hyperlink"/>
                <w:noProof/>
              </w:rPr>
              <w:t>Credits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_Toc107570243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BD8C5" w14:textId="45003CF9" w:rsidR="00045EB1" w:rsidRDefault="00045EB1">
          <w:r>
            <w:rPr>
              <w:b/>
              <w:bCs/>
              <w:noProof/>
            </w:rPr>
            <w:fldChar w:fldCharType="end"/>
          </w:r>
        </w:p>
      </w:sdtContent>
    </w:sdt>
    <w:p w14:paraId="779B2C45" w14:textId="77777777" w:rsidR="00045EB1" w:rsidRPr="00AB4441" w:rsidRDefault="00045EB1" w:rsidP="00AB4441"/>
    <w:p w14:paraId="56BDEAA4" w14:textId="4EDF6AD9" w:rsidR="00AC0160" w:rsidRDefault="00AC0160" w:rsidP="00AC0160"/>
    <w:p w14:paraId="2FE7CA38" w14:textId="77777777" w:rsidR="00045EB1" w:rsidRDefault="00045EB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75C3396" w14:textId="77777777" w:rsidR="00045EB1" w:rsidRDefault="00045EB1" w:rsidP="006D31AB">
      <w:pPr>
        <w:pStyle w:val="Heading2"/>
      </w:pPr>
    </w:p>
    <w:p w14:paraId="6C12D56E" w14:textId="6A458069" w:rsidR="00AC0160" w:rsidRDefault="00AC0160" w:rsidP="006D31AB">
      <w:pPr>
        <w:pStyle w:val="Heading2"/>
      </w:pPr>
      <w:bookmarkStart w:id="4" w:name="_Toc107570238"/>
      <w:r>
        <w:t>Summary</w:t>
      </w:r>
      <w:bookmarkEnd w:id="4"/>
    </w:p>
    <w:p w14:paraId="71B9FA1E" w14:textId="77777777" w:rsidR="001E0628" w:rsidRDefault="001E0628" w:rsidP="003831F6">
      <w:pPr>
        <w:pStyle w:val="ListParagraph"/>
      </w:pPr>
    </w:p>
    <w:p w14:paraId="4A4869F7" w14:textId="45A205ED" w:rsidR="008B666A" w:rsidRDefault="00B941E7" w:rsidP="001E0628">
      <w:pPr>
        <w:pStyle w:val="ListParagraph"/>
        <w:ind w:left="0"/>
      </w:pPr>
      <w:r>
        <w:t xml:space="preserve">This document describes the form to </w:t>
      </w:r>
      <w:r w:rsidR="007C5722">
        <w:t>update an Excel spreadsheet with Common Operational Dataset (COD) administrative boundary theme P-Code and names values given the spreadsheet’s latitude and longitude columns. The feature is available through the</w:t>
      </w:r>
      <w:r>
        <w:t xml:space="preserve"> COD Services API. </w:t>
      </w:r>
      <w:r w:rsidR="00AB4441">
        <w:t xml:space="preserve">The COD Services API is </w:t>
      </w:r>
      <w:r>
        <w:t xml:space="preserve">meant to </w:t>
      </w:r>
      <w:proofErr w:type="gramStart"/>
      <w:r>
        <w:t xml:space="preserve">be </w:t>
      </w:r>
      <w:r w:rsidR="00AB4441">
        <w:t>updated</w:t>
      </w:r>
      <w:proofErr w:type="gramEnd"/>
      <w:r w:rsidR="00AB4441">
        <w:t xml:space="preserve"> </w:t>
      </w:r>
      <w:r>
        <w:t xml:space="preserve">frequently </w:t>
      </w:r>
      <w:r w:rsidR="00AB4441">
        <w:t xml:space="preserve">to reflect the current state COD availability and service deployments through the </w:t>
      </w:r>
      <w:r>
        <w:t xml:space="preserve">ITOS </w:t>
      </w:r>
      <w:r w:rsidR="00AB4441">
        <w:t xml:space="preserve">vetting processes. </w:t>
      </w:r>
      <w:r w:rsidR="00F60838">
        <w:t xml:space="preserve">Therefore, the output </w:t>
      </w:r>
      <w:r w:rsidR="000B42E5">
        <w:t>results</w:t>
      </w:r>
      <w:r w:rsidR="00F60838">
        <w:t xml:space="preserve"> </w:t>
      </w:r>
      <w:r w:rsidR="000B42E5">
        <w:t>are</w:t>
      </w:r>
      <w:r w:rsidR="00F60838">
        <w:t xml:space="preserve"> based on this routine maintenance. To understand the time and other aspects of the output, the API provides the details through the request as shown in the help documentation here:</w:t>
      </w:r>
      <w:r w:rsidR="000B42E5">
        <w:t xml:space="preserve"> </w:t>
      </w:r>
      <w:hyperlink r:id="rId9" w:history="1">
        <w:r w:rsidR="000B42E5" w:rsidRPr="000B42E5">
          <w:rPr>
            <w:rStyle w:val="Hyperlink"/>
          </w:rPr>
          <w:t>https://apps.itos.uga.edu/CODV2API/Help/Api/GET-api-v1-themes-cod-ab-locations-pCode</w:t>
        </w:r>
      </w:hyperlink>
      <w:r w:rsidR="00F60838">
        <w:t xml:space="preserve"> with an example here: </w:t>
      </w:r>
      <w:r w:rsidR="00F60838" w:rsidRPr="00F60838">
        <w:t>https://apps.itos.uga.edu/CODV2API/api/v1/themes/cod-ab/locations/</w:t>
      </w:r>
      <w:r w:rsidR="000B42E5">
        <w:t>moz.</w:t>
      </w:r>
      <w:r w:rsidR="00F60838">
        <w:t xml:space="preserve"> </w:t>
      </w:r>
      <w:r w:rsidR="007F04E9">
        <w:t xml:space="preserve">The feature is in beta as of June 2022. </w:t>
      </w:r>
      <w:r w:rsidR="000B42E5">
        <w:t>Please read on for more information on how to use the feature and examples.</w:t>
      </w:r>
    </w:p>
    <w:p w14:paraId="002E8695" w14:textId="77777777" w:rsidR="008B666A" w:rsidRDefault="008B666A" w:rsidP="001E0628">
      <w:pPr>
        <w:pStyle w:val="ListParagraph"/>
        <w:ind w:left="0"/>
      </w:pPr>
    </w:p>
    <w:p w14:paraId="4B317F19" w14:textId="73F53A0D" w:rsidR="003831F6" w:rsidRDefault="007F04E9" w:rsidP="001E0628">
      <w:pPr>
        <w:pStyle w:val="ListParagraph"/>
        <w:ind w:left="0"/>
      </w:pPr>
      <w:r>
        <w:t>Guest</w:t>
      </w:r>
      <w:r w:rsidR="00B941E7">
        <w:t xml:space="preserve"> </w:t>
      </w:r>
      <w:r w:rsidR="00786083">
        <w:t xml:space="preserve">or elevated </w:t>
      </w:r>
      <w:r w:rsidR="00B941E7">
        <w:t xml:space="preserve">access </w:t>
      </w:r>
      <w:proofErr w:type="gramStart"/>
      <w:r w:rsidR="00B941E7">
        <w:t>is required</w:t>
      </w:r>
      <w:proofErr w:type="gramEnd"/>
      <w:r>
        <w:t xml:space="preserve"> while the feature is in beta test</w:t>
      </w:r>
      <w:r w:rsidR="00B941E7">
        <w:t xml:space="preserve"> and a login page ensures that only </w:t>
      </w:r>
      <w:r>
        <w:t>registered users</w:t>
      </w:r>
      <w:r w:rsidR="00B941E7">
        <w:t xml:space="preserve"> may access the form </w:t>
      </w:r>
      <w:r>
        <w:t>to provide the spreadsheet and obtain results</w:t>
      </w:r>
      <w:r w:rsidR="00B941E7">
        <w:t xml:space="preserve">. </w:t>
      </w:r>
      <w:r w:rsidR="004809D6">
        <w:t>To have an account created for you, contact either contact listed in the contacts section of this document.</w:t>
      </w:r>
    </w:p>
    <w:p w14:paraId="5818B436" w14:textId="44E5C61D" w:rsidR="00AB4441" w:rsidRPr="00AB4441" w:rsidRDefault="00AB4441" w:rsidP="00AB4441"/>
    <w:p w14:paraId="0FC59A7A" w14:textId="513A3E14" w:rsidR="00BE7880" w:rsidRPr="00BE7880" w:rsidRDefault="00BE7880" w:rsidP="00BE7880"/>
    <w:p w14:paraId="50DBC618" w14:textId="433B1353" w:rsidR="00BE7880" w:rsidRDefault="00BE7880" w:rsidP="00BE7880">
      <w:pPr>
        <w:pStyle w:val="Heading2"/>
      </w:pPr>
      <w:bookmarkStart w:id="5" w:name="_Toc107570239"/>
      <w:r>
        <w:t>Instructions</w:t>
      </w:r>
      <w:bookmarkEnd w:id="5"/>
    </w:p>
    <w:p w14:paraId="4C613650" w14:textId="486D68C3" w:rsidR="004809D6" w:rsidRDefault="004809D6" w:rsidP="004809D6"/>
    <w:p w14:paraId="2858E88B" w14:textId="05FE77A0" w:rsidR="004809D6" w:rsidRDefault="004809D6" w:rsidP="00EE034D">
      <w:pPr>
        <w:pStyle w:val="ListParagraph"/>
        <w:numPr>
          <w:ilvl w:val="0"/>
          <w:numId w:val="21"/>
        </w:numPr>
      </w:pPr>
      <w:r>
        <w:t xml:space="preserve">Visit the website here: </w:t>
      </w:r>
      <w:hyperlink r:id="rId10" w:history="1">
        <w:r w:rsidRPr="00A71F2C">
          <w:rPr>
            <w:rStyle w:val="Hyperlink"/>
          </w:rPr>
          <w:t>https://apps.itos.uga.edu/CODV2API</w:t>
        </w:r>
      </w:hyperlink>
    </w:p>
    <w:p w14:paraId="6686FC51" w14:textId="6614E134" w:rsidR="004809D6" w:rsidRDefault="004809D6" w:rsidP="004809D6">
      <w:r>
        <w:rPr>
          <w:noProof/>
        </w:rPr>
        <w:drawing>
          <wp:inline distT="0" distB="0" distL="0" distR="0" wp14:anchorId="02735868" wp14:editId="350042F1">
            <wp:extent cx="5943600" cy="86487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76EF" w14:textId="2A689F97" w:rsidR="004809D6" w:rsidRDefault="004809D6" w:rsidP="00EE034D">
      <w:pPr>
        <w:pStyle w:val="ListParagraph"/>
        <w:numPr>
          <w:ilvl w:val="0"/>
          <w:numId w:val="21"/>
        </w:numPr>
      </w:pPr>
      <w:r>
        <w:t>Click the login option circled in red to log in.</w:t>
      </w:r>
    </w:p>
    <w:p w14:paraId="4FD0BDB8" w14:textId="160B263F" w:rsidR="004809D6" w:rsidRDefault="004809D6" w:rsidP="004809D6"/>
    <w:p w14:paraId="44C6EFAA" w14:textId="23EC5831" w:rsidR="004809D6" w:rsidRPr="004809D6" w:rsidRDefault="004809D6" w:rsidP="004809D6">
      <w:r>
        <w:rPr>
          <w:noProof/>
        </w:rPr>
        <w:drawing>
          <wp:inline distT="0" distB="0" distL="0" distR="0" wp14:anchorId="3D0022F9" wp14:editId="66EDE7CE">
            <wp:extent cx="5943600" cy="2647950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9E68" w14:textId="7D9299AA" w:rsidR="00EE034D" w:rsidRDefault="004A66C2" w:rsidP="00652F34">
      <w:pPr>
        <w:pStyle w:val="ListParagraph"/>
        <w:pageBreakBefore/>
        <w:numPr>
          <w:ilvl w:val="0"/>
          <w:numId w:val="21"/>
        </w:numPr>
        <w:spacing w:after="160" w:line="259" w:lineRule="auto"/>
      </w:pPr>
      <w:r>
        <w:t>Ensure the d</w:t>
      </w:r>
      <w:r w:rsidR="00EE034D">
        <w:t>isclaimer che</w:t>
      </w:r>
      <w:r>
        <w:t>c</w:t>
      </w:r>
      <w:r w:rsidR="00EE034D">
        <w:t xml:space="preserve">kbox </w:t>
      </w:r>
      <w:proofErr w:type="gramStart"/>
      <w:r w:rsidR="00EE034D">
        <w:t>is checked</w:t>
      </w:r>
      <w:proofErr w:type="gramEnd"/>
      <w:r w:rsidR="00EE034D">
        <w:t xml:space="preserve">. Enter </w:t>
      </w:r>
      <w:proofErr w:type="gramStart"/>
      <w:r w:rsidR="00EE034D">
        <w:t>User name</w:t>
      </w:r>
      <w:proofErr w:type="gramEnd"/>
      <w:r w:rsidR="00EE034D">
        <w:t xml:space="preserve"> and Password in the form and click Log in. If either </w:t>
      </w:r>
      <w:proofErr w:type="gramStart"/>
      <w:r w:rsidR="00EE034D">
        <w:t>User name</w:t>
      </w:r>
      <w:proofErr w:type="gramEnd"/>
      <w:r w:rsidR="00EE034D">
        <w:t xml:space="preserve"> or Password is forgotten, the means to reset these are available in the links below the form.</w:t>
      </w:r>
    </w:p>
    <w:p w14:paraId="677A4BEB" w14:textId="7B3856DB" w:rsidR="005E340D" w:rsidRDefault="005E340D" w:rsidP="004A66C2">
      <w:pPr>
        <w:pStyle w:val="ListParagraph"/>
        <w:numPr>
          <w:ilvl w:val="0"/>
          <w:numId w:val="21"/>
        </w:numPr>
      </w:pPr>
      <w:r>
        <w:t xml:space="preserve">Once Logged in, the BulkPCoder link is shown on the top menu of the site and also can be accessed directly from here: </w:t>
      </w:r>
      <w:hyperlink r:id="rId13" w:history="1">
        <w:r w:rsidRPr="00A71F2C">
          <w:rPr>
            <w:rStyle w:val="Hyperlink"/>
          </w:rPr>
          <w:t>https://apps.itos.uga.edu/CODV2API/CODInputForm/BulkPCoder</w:t>
        </w:r>
      </w:hyperlink>
    </w:p>
    <w:p w14:paraId="60115DB1" w14:textId="77777777" w:rsidR="005E340D" w:rsidRDefault="005E340D" w:rsidP="00EE034D">
      <w:pPr>
        <w:pStyle w:val="ListParagraph"/>
        <w:numPr>
          <w:ilvl w:val="0"/>
          <w:numId w:val="21"/>
        </w:numPr>
      </w:pPr>
      <w:r>
        <w:t>The means to provide the spreadsheet is through the form.</w:t>
      </w:r>
    </w:p>
    <w:p w14:paraId="5BBCF364" w14:textId="7944E6D5" w:rsidR="00EA13DC" w:rsidRDefault="005E340D" w:rsidP="005E340D">
      <w:pPr>
        <w:pStyle w:val="ListParagraph"/>
      </w:pPr>
      <w:r>
        <w:rPr>
          <w:noProof/>
        </w:rPr>
        <w:drawing>
          <wp:inline distT="0" distB="0" distL="0" distR="0" wp14:anchorId="0F337383" wp14:editId="43E324D5">
            <wp:extent cx="4895850" cy="2562225"/>
            <wp:effectExtent l="0" t="0" r="0" b="952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7203" w14:textId="0657F6FF" w:rsidR="005E340D" w:rsidRDefault="005E340D" w:rsidP="005E340D">
      <w:pPr>
        <w:pStyle w:val="ListParagraph"/>
        <w:numPr>
          <w:ilvl w:val="0"/>
          <w:numId w:val="21"/>
        </w:numPr>
      </w:pPr>
      <w:r>
        <w:t xml:space="preserve">Click the Choose File button and use the dialog to navigate to </w:t>
      </w:r>
      <w:r w:rsidR="004A792E">
        <w:t>a valid spreadsheet</w:t>
      </w:r>
      <w:r>
        <w:t xml:space="preserve"> to process. An example of an input spreadsheet </w:t>
      </w:r>
      <w:proofErr w:type="gramStart"/>
      <w:r>
        <w:t>is shown</w:t>
      </w:r>
      <w:proofErr w:type="gramEnd"/>
      <w:r>
        <w:t xml:space="preserve"> in the Examples section listed later in this document.</w:t>
      </w:r>
    </w:p>
    <w:p w14:paraId="7F335541" w14:textId="3E5C95F5" w:rsidR="005E340D" w:rsidRDefault="00D12641" w:rsidP="005E340D">
      <w:pPr>
        <w:pStyle w:val="ListParagraph"/>
        <w:numPr>
          <w:ilvl w:val="0"/>
          <w:numId w:val="21"/>
        </w:numPr>
      </w:pPr>
      <w:r>
        <w:t xml:space="preserve">Note the filename of the spreadsheet will </w:t>
      </w:r>
      <w:proofErr w:type="gramStart"/>
      <w:r>
        <w:t>be shown</w:t>
      </w:r>
      <w:proofErr w:type="gramEnd"/>
      <w:r>
        <w:t xml:space="preserve"> in the form after selecting the file and dismissing the dialog. </w:t>
      </w:r>
    </w:p>
    <w:p w14:paraId="00F1B764" w14:textId="1DA95446" w:rsidR="00D12641" w:rsidRDefault="00D12641" w:rsidP="005E340D">
      <w:pPr>
        <w:pStyle w:val="ListParagraph"/>
        <w:numPr>
          <w:ilvl w:val="0"/>
          <w:numId w:val="21"/>
        </w:numPr>
      </w:pPr>
      <w:r>
        <w:t>Click the Get P-codes button.</w:t>
      </w:r>
    </w:p>
    <w:p w14:paraId="54FE82E1" w14:textId="6FE640A8" w:rsidR="004A792E" w:rsidRDefault="00D12641" w:rsidP="005E340D">
      <w:pPr>
        <w:pStyle w:val="ListParagraph"/>
        <w:numPr>
          <w:ilvl w:val="0"/>
          <w:numId w:val="21"/>
        </w:numPr>
      </w:pPr>
      <w:r>
        <w:t xml:space="preserve">The browser in use state should show </w:t>
      </w:r>
      <w:r w:rsidR="004A792E">
        <w:t>wher</w:t>
      </w:r>
      <w:r>
        <w:t xml:space="preserve">e files </w:t>
      </w:r>
      <w:r w:rsidR="004A792E">
        <w:t>containing more</w:t>
      </w:r>
      <w:r>
        <w:t xml:space="preserve"> than </w:t>
      </w:r>
      <w:proofErr w:type="gramStart"/>
      <w:r>
        <w:t>1000</w:t>
      </w:r>
      <w:proofErr w:type="gramEnd"/>
      <w:r>
        <w:t xml:space="preserve"> records to process</w:t>
      </w:r>
      <w:r w:rsidR="004A792E">
        <w:t xml:space="preserve"> is provided</w:t>
      </w:r>
      <w:r>
        <w:t>. For less records, the download may occur momentarily.</w:t>
      </w:r>
      <w:r w:rsidR="004A792E">
        <w:t xml:space="preserve"> The button shows </w:t>
      </w:r>
      <w:r w:rsidR="008A5DC1">
        <w:t xml:space="preserve">as </w:t>
      </w:r>
      <w:r w:rsidR="004A792E">
        <w:t xml:space="preserve">highlighted in this case. </w:t>
      </w:r>
    </w:p>
    <w:p w14:paraId="0412CE29" w14:textId="619913ED" w:rsidR="00D12641" w:rsidRDefault="004A792E" w:rsidP="004A792E">
      <w:pPr>
        <w:ind w:left="360"/>
      </w:pPr>
      <w:r>
        <w:rPr>
          <w:noProof/>
        </w:rPr>
        <w:drawing>
          <wp:inline distT="0" distB="0" distL="0" distR="0" wp14:anchorId="489E636F" wp14:editId="7F596838">
            <wp:extent cx="5124450" cy="2600325"/>
            <wp:effectExtent l="0" t="0" r="0" b="9525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2641">
        <w:t xml:space="preserve"> </w:t>
      </w:r>
    </w:p>
    <w:p w14:paraId="1F668AAD" w14:textId="10F723A1" w:rsidR="00D12641" w:rsidRDefault="00D12641" w:rsidP="005E340D">
      <w:pPr>
        <w:pStyle w:val="ListParagraph"/>
        <w:numPr>
          <w:ilvl w:val="0"/>
          <w:numId w:val="21"/>
        </w:numPr>
      </w:pPr>
      <w:r>
        <w:t xml:space="preserve">The output will </w:t>
      </w:r>
      <w:proofErr w:type="gramStart"/>
      <w:r>
        <w:t xml:space="preserve">be </w:t>
      </w:r>
      <w:r w:rsidR="008A5DC1">
        <w:t>downloaded</w:t>
      </w:r>
      <w:proofErr w:type="gramEnd"/>
      <w:r w:rsidR="008A5DC1">
        <w:t>,</w:t>
      </w:r>
      <w:r>
        <w:t xml:space="preserve"> and you should see your browser indicate the file is available in downloads on your computer.</w:t>
      </w:r>
    </w:p>
    <w:p w14:paraId="722535EE" w14:textId="77777777" w:rsidR="004A792E" w:rsidRDefault="004A792E" w:rsidP="00BE7880">
      <w:pPr>
        <w:pStyle w:val="Heading2"/>
      </w:pPr>
    </w:p>
    <w:p w14:paraId="55D67A75" w14:textId="003E53E5" w:rsidR="005E340D" w:rsidRDefault="005E340D" w:rsidP="00BE7880">
      <w:pPr>
        <w:pStyle w:val="Heading2"/>
      </w:pPr>
      <w:bookmarkStart w:id="6" w:name="_Toc107570240"/>
      <w:r>
        <w:t>Examples</w:t>
      </w:r>
      <w:bookmarkEnd w:id="6"/>
    </w:p>
    <w:p w14:paraId="6E1B26AD" w14:textId="7CAFA9D9" w:rsidR="005E340D" w:rsidRDefault="004A792E" w:rsidP="005E340D">
      <w:r>
        <w:t>Input spreadsheet</w:t>
      </w:r>
      <w:r w:rsidR="004105EB">
        <w:t xml:space="preserve">: </w:t>
      </w:r>
      <w:r>
        <w:t xml:space="preserve">The requirements for a valid </w:t>
      </w:r>
      <w:r w:rsidR="004105EB">
        <w:t xml:space="preserve">input </w:t>
      </w:r>
      <w:r>
        <w:t>spreadsheet is that there should be two</w:t>
      </w:r>
      <w:r w:rsidR="004105EB">
        <w:t xml:space="preserve"> or more columns</w:t>
      </w:r>
      <w:r w:rsidR="00E55299">
        <w:t xml:space="preserve">. Two columns </w:t>
      </w:r>
      <w:r w:rsidR="0051011E">
        <w:t xml:space="preserve">should contain </w:t>
      </w:r>
      <w:r w:rsidR="00E55299">
        <w:t xml:space="preserve">geographic coordinates for latitude and longitude </w:t>
      </w:r>
      <w:r w:rsidR="004105EB">
        <w:t xml:space="preserve">with the latitude and longitude </w:t>
      </w:r>
      <w:r w:rsidR="0051011E">
        <w:t xml:space="preserve">terms </w:t>
      </w:r>
      <w:r w:rsidR="004105EB">
        <w:t>provided as at least part of the name of the column in the first row.</w:t>
      </w:r>
    </w:p>
    <w:p w14:paraId="546F8F2C" w14:textId="56D47049" w:rsidR="004105EB" w:rsidRDefault="004105EB" w:rsidP="005E340D"/>
    <w:p w14:paraId="74080C68" w14:textId="60C1FCE8" w:rsidR="00E55299" w:rsidRDefault="004105EB" w:rsidP="005E340D">
      <w:r>
        <w:rPr>
          <w:noProof/>
        </w:rPr>
        <w:drawing>
          <wp:inline distT="0" distB="0" distL="0" distR="0" wp14:anchorId="367DB864" wp14:editId="658F2541">
            <wp:extent cx="5943600" cy="1816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57810" w14:textId="599BD2C8" w:rsidR="004105EB" w:rsidRDefault="004105EB" w:rsidP="005E340D"/>
    <w:p w14:paraId="49F21BBF" w14:textId="127D0CCE" w:rsidR="004105EB" w:rsidRDefault="004105EB" w:rsidP="005E340D">
      <w:r>
        <w:t>The above image shows the spreadsheet contents for a valid spreadsheet and the geographic coordinates are in “GPS_Coordinates_latitude” and “GPS_Coordinates_longitude” columns with the term “latitude” and “longitude” as part of the names.</w:t>
      </w:r>
    </w:p>
    <w:p w14:paraId="290FE840" w14:textId="1B026182" w:rsidR="004105EB" w:rsidRDefault="004105EB" w:rsidP="005E340D"/>
    <w:p w14:paraId="76B0C405" w14:textId="1DD5C45F" w:rsidR="004105EB" w:rsidRDefault="004105EB" w:rsidP="005E340D">
      <w:r>
        <w:t xml:space="preserve">A file named pcoded is the result. An example </w:t>
      </w:r>
      <w:proofErr w:type="gramStart"/>
      <w:r>
        <w:t>is shown</w:t>
      </w:r>
      <w:proofErr w:type="gramEnd"/>
      <w:r>
        <w:t xml:space="preserve"> below. No changes </w:t>
      </w:r>
      <w:proofErr w:type="gramStart"/>
      <w:r>
        <w:t>are made</w:t>
      </w:r>
      <w:proofErr w:type="gramEnd"/>
      <w:r>
        <w:t xml:space="preserve"> to the contents of the original file except the following:</w:t>
      </w:r>
    </w:p>
    <w:p w14:paraId="2CDB2736" w14:textId="6E7C0D05" w:rsidR="004105EB" w:rsidRDefault="004105EB" w:rsidP="005E340D"/>
    <w:p w14:paraId="280C60D2" w14:textId="121696C7" w:rsidR="004105EB" w:rsidRDefault="004105EB" w:rsidP="004105EB">
      <w:pPr>
        <w:pStyle w:val="ListParagraph"/>
        <w:numPr>
          <w:ilvl w:val="0"/>
          <w:numId w:val="22"/>
        </w:numPr>
      </w:pPr>
      <w:r>
        <w:t xml:space="preserve">A new row to indicate </w:t>
      </w:r>
      <w:r w:rsidR="006F1F56">
        <w:t xml:space="preserve">new column names </w:t>
      </w:r>
      <w:proofErr w:type="gramStart"/>
      <w:r w:rsidR="006F1F56">
        <w:t>are added</w:t>
      </w:r>
      <w:proofErr w:type="gramEnd"/>
      <w:r w:rsidR="006F1F56">
        <w:t xml:space="preserve"> with the new column names appended to the end of the pre-existing columns of the original spreadsheet. </w:t>
      </w:r>
    </w:p>
    <w:p w14:paraId="298DEBB3" w14:textId="1D257C21" w:rsidR="006F1F56" w:rsidRDefault="006F1F56" w:rsidP="004105EB">
      <w:pPr>
        <w:pStyle w:val="ListParagraph"/>
        <w:numPr>
          <w:ilvl w:val="0"/>
          <w:numId w:val="22"/>
        </w:numPr>
      </w:pPr>
      <w:r>
        <w:t xml:space="preserve">The new columns and data pertinent to the latitude and longitude </w:t>
      </w:r>
      <w:proofErr w:type="gramStart"/>
      <w:r>
        <w:t>are also appended</w:t>
      </w:r>
      <w:proofErr w:type="gramEnd"/>
      <w:r>
        <w:t xml:space="preserve"> as rows in these new columns.</w:t>
      </w:r>
    </w:p>
    <w:p w14:paraId="62726087" w14:textId="77777777" w:rsidR="00E55299" w:rsidRDefault="00E55299" w:rsidP="00E55299">
      <w:pPr>
        <w:pStyle w:val="ListParagraph"/>
      </w:pPr>
    </w:p>
    <w:p w14:paraId="2F04265B" w14:textId="34D71D74" w:rsidR="00E55299" w:rsidRDefault="00E55299" w:rsidP="00E55299">
      <w:r>
        <w:lastRenderedPageBreak/>
        <w:t>Output results:</w:t>
      </w:r>
    </w:p>
    <w:p w14:paraId="7AE00DB0" w14:textId="100CC744" w:rsidR="006F1F56" w:rsidRDefault="00E55299" w:rsidP="006F1F56">
      <w:pPr>
        <w:pStyle w:val="ListParagraph"/>
      </w:pPr>
      <w:r>
        <w:rPr>
          <w:noProof/>
        </w:rPr>
        <w:drawing>
          <wp:inline distT="0" distB="0" distL="0" distR="0" wp14:anchorId="55453420" wp14:editId="417B30B5">
            <wp:extent cx="5943600" cy="2301240"/>
            <wp:effectExtent l="0" t="0" r="0" b="381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abl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863C0" w14:textId="77468A34" w:rsidR="006F1F56" w:rsidRDefault="006F1F56" w:rsidP="006F1F56">
      <w:pPr>
        <w:pStyle w:val="ListParagraph"/>
      </w:pPr>
    </w:p>
    <w:p w14:paraId="7A65D5E4" w14:textId="426C7522" w:rsidR="0041150B" w:rsidRDefault="00CC3624" w:rsidP="00BE7880">
      <w:pPr>
        <w:pStyle w:val="Heading2"/>
      </w:pPr>
      <w:bookmarkStart w:id="7" w:name="_Toc107570241"/>
      <w:r>
        <w:t>Assumptions</w:t>
      </w:r>
      <w:bookmarkEnd w:id="7"/>
    </w:p>
    <w:p w14:paraId="5B78C1BE" w14:textId="77777777" w:rsidR="001E0628" w:rsidRDefault="001E0628" w:rsidP="00F33D91"/>
    <w:p w14:paraId="7FCC7278" w14:textId="06609876" w:rsidR="00F33D91" w:rsidRDefault="004C7C6A" w:rsidP="00F33D91">
      <w:r>
        <w:t>The input file meets requirements. If not, a message appears:</w:t>
      </w:r>
    </w:p>
    <w:p w14:paraId="42C59DF1" w14:textId="0BC059B0" w:rsidR="004C7C6A" w:rsidRDefault="004C7C6A" w:rsidP="00F33D91">
      <w:r>
        <w:rPr>
          <w:noProof/>
        </w:rPr>
        <w:drawing>
          <wp:inline distT="0" distB="0" distL="0" distR="0" wp14:anchorId="57DE1FD5" wp14:editId="52330E81">
            <wp:extent cx="5943600" cy="49403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5AD9" w14:textId="65D33396" w:rsidR="004C7C6A" w:rsidRDefault="004C7C6A" w:rsidP="00F33D91"/>
    <w:p w14:paraId="726EEBF6" w14:textId="16D035C0" w:rsidR="004C7C6A" w:rsidRDefault="004C7C6A" w:rsidP="00F33D91">
      <w:r>
        <w:t xml:space="preserve">If data cannot </w:t>
      </w:r>
      <w:proofErr w:type="gramStart"/>
      <w:r>
        <w:t>be matched</w:t>
      </w:r>
      <w:proofErr w:type="gramEnd"/>
      <w:r>
        <w:t xml:space="preserve">. Null values </w:t>
      </w:r>
      <w:proofErr w:type="gramStart"/>
      <w:r>
        <w:t>are given</w:t>
      </w:r>
      <w:proofErr w:type="gramEnd"/>
      <w:r>
        <w:t xml:space="preserve">. </w:t>
      </w:r>
      <w:r w:rsidR="008A5DC1">
        <w:t>So,</w:t>
      </w:r>
      <w:r>
        <w:t xml:space="preserve"> there are cases where a coordinate falls outside the administrative boundary, for example: </w:t>
      </w:r>
    </w:p>
    <w:p w14:paraId="3A696FFC" w14:textId="41E64CAE" w:rsidR="004C7C6A" w:rsidRDefault="004C7C6A" w:rsidP="00F33D91">
      <w:r>
        <w:rPr>
          <w:noProof/>
        </w:rPr>
        <w:drawing>
          <wp:inline distT="0" distB="0" distL="0" distR="0" wp14:anchorId="2940CF77" wp14:editId="3FA1EBF8">
            <wp:extent cx="5943600" cy="5361940"/>
            <wp:effectExtent l="0" t="0" r="0" b="0"/>
            <wp:docPr id="23" name="Picture 2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Map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899E9" w14:textId="39D54C4C" w:rsidR="004C7C6A" w:rsidRDefault="004C7C6A" w:rsidP="00F33D91"/>
    <w:p w14:paraId="46DCD27B" w14:textId="4CA02774" w:rsidR="004C7C6A" w:rsidRDefault="004C7C6A" w:rsidP="00F33D91">
      <w:r>
        <w:t>A good practice may be to check the services</w:t>
      </w:r>
      <w:r w:rsidR="00120C30">
        <w:t xml:space="preserve"> for the COD</w:t>
      </w:r>
      <w:r w:rsidR="002077F6">
        <w:t xml:space="preserve"> by loading the service in a map or application to determine the coincident service data for the coordinate.</w:t>
      </w:r>
    </w:p>
    <w:p w14:paraId="37166CD3" w14:textId="7259B2C4" w:rsidR="002077F6" w:rsidRDefault="002077F6" w:rsidP="00F33D91"/>
    <w:p w14:paraId="762BFA6B" w14:textId="797DB48D" w:rsidR="002077F6" w:rsidRDefault="002077F6" w:rsidP="00F33D91">
      <w:r>
        <w:t xml:space="preserve">There are no checks to validate if the coordinates </w:t>
      </w:r>
      <w:proofErr w:type="gramStart"/>
      <w:r>
        <w:t>are reversed</w:t>
      </w:r>
      <w:proofErr w:type="gramEnd"/>
      <w:r>
        <w:t xml:space="preserve"> or missing decimal points or negative signs. Whatever data is present </w:t>
      </w:r>
      <w:proofErr w:type="gramStart"/>
      <w:r>
        <w:t>is used</w:t>
      </w:r>
      <w:proofErr w:type="gramEnd"/>
      <w:r>
        <w:t xml:space="preserve"> to query the service. It </w:t>
      </w:r>
      <w:proofErr w:type="gramStart"/>
      <w:r>
        <w:t>is assumed</w:t>
      </w:r>
      <w:proofErr w:type="gramEnd"/>
      <w:r>
        <w:t xml:space="preserve"> the user has validated the spreadsheet and is confident of the coordinate values present.</w:t>
      </w:r>
    </w:p>
    <w:p w14:paraId="46D356FD" w14:textId="34BCFFF4" w:rsidR="00120C30" w:rsidRDefault="00120C30" w:rsidP="00F33D91"/>
    <w:p w14:paraId="51B3F786" w14:textId="77777777" w:rsidR="00120C30" w:rsidRPr="00F33D91" w:rsidRDefault="00120C30" w:rsidP="00F33D91"/>
    <w:p w14:paraId="5587F4E4" w14:textId="3C4D7A0C" w:rsidR="004A0CC5" w:rsidRDefault="004A0CC5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03500025" w14:textId="77777777" w:rsidR="001E0628" w:rsidRDefault="001E0628" w:rsidP="003D75F9">
      <w:pPr>
        <w:pStyle w:val="Heading2"/>
      </w:pPr>
    </w:p>
    <w:p w14:paraId="5DCF7836" w14:textId="7B4396A4" w:rsidR="004D71A0" w:rsidRDefault="004D71A0" w:rsidP="004D71A0"/>
    <w:p w14:paraId="0B2BC8FE" w14:textId="7ED4137F" w:rsidR="00EC3250" w:rsidRDefault="00045EB1" w:rsidP="00E871E0">
      <w:pPr>
        <w:pStyle w:val="Heading2"/>
      </w:pPr>
      <w:bookmarkStart w:id="8" w:name="_Toc107570242"/>
      <w:r>
        <w:t>Appendix</w:t>
      </w:r>
      <w:bookmarkEnd w:id="8"/>
    </w:p>
    <w:p w14:paraId="28FCE141" w14:textId="085A46AB" w:rsidR="00045EB1" w:rsidRDefault="00045EB1" w:rsidP="00045EB1"/>
    <w:p w14:paraId="7330B437" w14:textId="66847922" w:rsidR="001A58DA" w:rsidRDefault="001A58DA" w:rsidP="001A58DA">
      <w:pPr>
        <w:pStyle w:val="Heading4"/>
      </w:pPr>
      <w:r>
        <w:t>Resources</w:t>
      </w:r>
    </w:p>
    <w:p w14:paraId="03280D8F" w14:textId="60ABC084" w:rsidR="002077F6" w:rsidRDefault="002077F6" w:rsidP="002077F6">
      <w:r>
        <w:t>The COD Services API</w:t>
      </w:r>
    </w:p>
    <w:p w14:paraId="44614983" w14:textId="77777777" w:rsidR="00A65D46" w:rsidRDefault="00A65D46" w:rsidP="002077F6"/>
    <w:p w14:paraId="380561DE" w14:textId="4E76F351" w:rsidR="002077F6" w:rsidRDefault="002077F6" w:rsidP="002077F6">
      <w:r>
        <w:t>The GitHub Repository for the COD Services API:</w:t>
      </w:r>
    </w:p>
    <w:p w14:paraId="12F6C5B3" w14:textId="634DED52" w:rsidR="002077F6" w:rsidRDefault="00A65D46" w:rsidP="002077F6">
      <w:hyperlink r:id="rId21" w:history="1">
        <w:r w:rsidRPr="00A71F2C">
          <w:rPr>
            <w:rStyle w:val="Hyperlink"/>
          </w:rPr>
          <w:t>https://github.com/UGA-ITOSHumanitarianGIS/CODV2API/</w:t>
        </w:r>
      </w:hyperlink>
    </w:p>
    <w:p w14:paraId="3F964E9C" w14:textId="04529F20" w:rsidR="00A65D46" w:rsidRDefault="00A65D46" w:rsidP="002077F6"/>
    <w:p w14:paraId="70AF4A0A" w14:textId="2278F92F" w:rsidR="00A65D46" w:rsidRDefault="00A65D46" w:rsidP="002077F6">
      <w:r>
        <w:t>The COD Services endpoints available through the HDX site: data.humdata.org</w:t>
      </w:r>
    </w:p>
    <w:p w14:paraId="15FC5532" w14:textId="0C5D1FD5" w:rsidR="00A65D46" w:rsidRDefault="00A65D46" w:rsidP="002077F6"/>
    <w:p w14:paraId="6B9AD87C" w14:textId="1B961CE5" w:rsidR="00A65D46" w:rsidRDefault="00A65D46" w:rsidP="00A65D46">
      <w:pPr>
        <w:pStyle w:val="Heading2"/>
      </w:pPr>
      <w:bookmarkStart w:id="9" w:name="_Toc107570243"/>
      <w:r>
        <w:t>Credits</w:t>
      </w:r>
      <w:bookmarkEnd w:id="9"/>
    </w:p>
    <w:p w14:paraId="36CE31F8" w14:textId="77777777" w:rsidR="00A65D46" w:rsidRPr="002077F6" w:rsidRDefault="00A65D46" w:rsidP="002077F6"/>
    <w:p w14:paraId="35B3D3B1" w14:textId="77777777" w:rsidR="00810203" w:rsidRDefault="00810203" w:rsidP="001A58DA">
      <w:pPr>
        <w:spacing w:after="160" w:line="259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10203" w14:paraId="1EB6A910" w14:textId="77777777" w:rsidTr="00810203">
        <w:tc>
          <w:tcPr>
            <w:tcW w:w="4675" w:type="dxa"/>
          </w:tcPr>
          <w:p w14:paraId="5A3BD046" w14:textId="5F4322D4" w:rsidR="00810203" w:rsidRDefault="00810203" w:rsidP="001A58DA">
            <w:pPr>
              <w:spacing w:after="160" w:line="259" w:lineRule="auto"/>
            </w:pPr>
            <w:r w:rsidRPr="00810203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C1B6194" wp14:editId="2D9C0FE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2050267" cy="2858823"/>
                  <wp:effectExtent l="0" t="0" r="7620" b="0"/>
                  <wp:wrapNone/>
                  <wp:docPr id="17" name="Picture 2" descr="A picture containing plate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F5BC7C-026A-4652-880B-38C55B6DEC60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picture containing plate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E9F5BC7C-026A-4652-880B-38C55B6DEC6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0267" cy="2858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675" w:type="dxa"/>
          </w:tcPr>
          <w:p w14:paraId="43B1FFFF" w14:textId="1E969E05" w:rsidR="00810203" w:rsidRDefault="00810203" w:rsidP="001A58DA">
            <w:pPr>
              <w:spacing w:after="160" w:line="259" w:lineRule="auto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338D5C6" wp14:editId="2DB1BCFF">
                  <wp:simplePos x="0" y="0"/>
                  <wp:positionH relativeFrom="column">
                    <wp:posOffset>3175</wp:posOffset>
                  </wp:positionH>
                  <wp:positionV relativeFrom="paragraph">
                    <wp:posOffset>-635</wp:posOffset>
                  </wp:positionV>
                  <wp:extent cx="3695700" cy="1409699"/>
                  <wp:effectExtent l="0" t="0" r="0" b="0"/>
                  <wp:wrapNone/>
                  <wp:docPr id="14" name="Picture 2" descr="http://alpha.itos.uga.edu/USAID.MapCODLocationsPreviewer/Content/Images/usaid.p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3915209-A65B-427D-8113-A6702BC6DB0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" descr="http://alpha.itos.uga.edu/USAID.MapCODLocationsPreviewer/Content/Images/usaid.png">
                            <a:extLst>
                              <a:ext uri="{FF2B5EF4-FFF2-40B4-BE49-F238E27FC236}">
                                <a16:creationId xmlns:a16="http://schemas.microsoft.com/office/drawing/2014/main" id="{43915209-A65B-427D-8113-A6702BC6DB03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5700" cy="14096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293351CA" w14:textId="77777777" w:rsidR="00810203" w:rsidRDefault="00810203" w:rsidP="001A58DA">
      <w:pPr>
        <w:spacing w:after="160" w:line="259" w:lineRule="auto"/>
      </w:pPr>
    </w:p>
    <w:p w14:paraId="43B4668D" w14:textId="57E8F1F1" w:rsidR="00AC0160" w:rsidRDefault="00AC0160" w:rsidP="001A58DA">
      <w:pPr>
        <w:spacing w:after="160" w:line="259" w:lineRule="auto"/>
      </w:pPr>
    </w:p>
    <w:sectPr w:rsidR="00AC0160" w:rsidSect="004A66C2">
      <w:headerReference w:type="default" r:id="rId24"/>
      <w:footerReference w:type="default" r:id="rId25"/>
      <w:pgSz w:w="12240" w:h="15840" w:code="1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D11C1" w14:textId="77777777" w:rsidR="00CF4E4D" w:rsidRDefault="00CF4E4D" w:rsidP="008A3C7F">
      <w:r>
        <w:separator/>
      </w:r>
    </w:p>
  </w:endnote>
  <w:endnote w:type="continuationSeparator" w:id="0">
    <w:p w14:paraId="6174EF28" w14:textId="77777777" w:rsidR="00CF4E4D" w:rsidRDefault="00CF4E4D" w:rsidP="008A3C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67984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39CEA" w14:textId="1BCAFDE4" w:rsidR="000A34E1" w:rsidRDefault="000A34E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D62F1E" w14:textId="77777777" w:rsidR="00BC1B9F" w:rsidRDefault="00BC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EED5B" w14:textId="77777777" w:rsidR="00CF4E4D" w:rsidRDefault="00CF4E4D" w:rsidP="008A3C7F">
      <w:r>
        <w:separator/>
      </w:r>
    </w:p>
  </w:footnote>
  <w:footnote w:type="continuationSeparator" w:id="0">
    <w:p w14:paraId="3CB9C351" w14:textId="77777777" w:rsidR="00CF4E4D" w:rsidRDefault="00CF4E4D" w:rsidP="008A3C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AB1F3" w14:textId="797D2B1E" w:rsidR="008A3C7F" w:rsidRDefault="00A4163D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 wp14:anchorId="1B1B7CFF" wp14:editId="08970B79">
          <wp:simplePos x="0" y="0"/>
          <wp:positionH relativeFrom="page">
            <wp:align>left</wp:align>
          </wp:positionH>
          <wp:positionV relativeFrom="paragraph">
            <wp:posOffset>-457199</wp:posOffset>
          </wp:positionV>
          <wp:extent cx="7792623" cy="12033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VIOG Word Template Head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2623" cy="1203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39AF63" w14:textId="77777777" w:rsidR="008A3C7F" w:rsidRDefault="008A3C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6107A"/>
    <w:multiLevelType w:val="hybridMultilevel"/>
    <w:tmpl w:val="4476D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E2D67"/>
    <w:multiLevelType w:val="hybridMultilevel"/>
    <w:tmpl w:val="5636D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345D"/>
    <w:multiLevelType w:val="hybridMultilevel"/>
    <w:tmpl w:val="1D96842E"/>
    <w:lvl w:ilvl="0" w:tplc="74101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FE3B69"/>
    <w:multiLevelType w:val="hybridMultilevel"/>
    <w:tmpl w:val="C752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BA37ED"/>
    <w:multiLevelType w:val="hybridMultilevel"/>
    <w:tmpl w:val="82240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5705D"/>
    <w:multiLevelType w:val="hybridMultilevel"/>
    <w:tmpl w:val="EEF00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FB4F7E"/>
    <w:multiLevelType w:val="hybridMultilevel"/>
    <w:tmpl w:val="BF42C614"/>
    <w:lvl w:ilvl="0" w:tplc="E80CB0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82185D"/>
    <w:multiLevelType w:val="hybridMultilevel"/>
    <w:tmpl w:val="13BC6F8C"/>
    <w:lvl w:ilvl="0" w:tplc="8BB40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5F3E47"/>
    <w:multiLevelType w:val="multilevel"/>
    <w:tmpl w:val="017A22B4"/>
    <w:styleLink w:val="ITOSList1"/>
    <w:lvl w:ilvl="0">
      <w:start w:val="1"/>
      <w:numFmt w:val="decimal"/>
      <w:pStyle w:val="ITOSHeading1Numbered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ITOSHeading2Numbered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ITOSHeading3Numbered"/>
      <w:lvlText w:val="%1.%2.%3"/>
      <w:lvlJc w:val="left"/>
      <w:pPr>
        <w:ind w:left="720" w:hanging="72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3163611E"/>
    <w:multiLevelType w:val="hybridMultilevel"/>
    <w:tmpl w:val="F8F2E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72159B"/>
    <w:multiLevelType w:val="hybridMultilevel"/>
    <w:tmpl w:val="835E2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713DD"/>
    <w:multiLevelType w:val="hybridMultilevel"/>
    <w:tmpl w:val="DE24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192A"/>
    <w:multiLevelType w:val="hybridMultilevel"/>
    <w:tmpl w:val="7580257C"/>
    <w:lvl w:ilvl="0" w:tplc="0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9C4424"/>
    <w:multiLevelType w:val="hybridMultilevel"/>
    <w:tmpl w:val="D7A2E9D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93EE6"/>
    <w:multiLevelType w:val="hybridMultilevel"/>
    <w:tmpl w:val="C7520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5E1549"/>
    <w:multiLevelType w:val="hybridMultilevel"/>
    <w:tmpl w:val="E4507D3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17F29"/>
    <w:multiLevelType w:val="hybridMultilevel"/>
    <w:tmpl w:val="96747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12B79"/>
    <w:multiLevelType w:val="multilevel"/>
    <w:tmpl w:val="049C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D15F5C"/>
    <w:multiLevelType w:val="hybridMultilevel"/>
    <w:tmpl w:val="A016E94A"/>
    <w:lvl w:ilvl="0" w:tplc="FDD433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5C1245"/>
    <w:multiLevelType w:val="hybridMultilevel"/>
    <w:tmpl w:val="D47C5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B303C2"/>
    <w:multiLevelType w:val="hybridMultilevel"/>
    <w:tmpl w:val="9056C2D6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2060357">
    <w:abstractNumId w:val="8"/>
  </w:num>
  <w:num w:numId="2" w16cid:durableId="1237739922">
    <w:abstractNumId w:val="8"/>
  </w:num>
  <w:num w:numId="3" w16cid:durableId="161940265">
    <w:abstractNumId w:val="17"/>
  </w:num>
  <w:num w:numId="4" w16cid:durableId="1677537946">
    <w:abstractNumId w:val="3"/>
  </w:num>
  <w:num w:numId="5" w16cid:durableId="1265766145">
    <w:abstractNumId w:val="19"/>
  </w:num>
  <w:num w:numId="6" w16cid:durableId="1213661975">
    <w:abstractNumId w:val="10"/>
  </w:num>
  <w:num w:numId="7" w16cid:durableId="827942941">
    <w:abstractNumId w:val="16"/>
  </w:num>
  <w:num w:numId="8" w16cid:durableId="934675852">
    <w:abstractNumId w:val="11"/>
  </w:num>
  <w:num w:numId="9" w16cid:durableId="1230992271">
    <w:abstractNumId w:val="15"/>
  </w:num>
  <w:num w:numId="10" w16cid:durableId="1388140330">
    <w:abstractNumId w:val="0"/>
  </w:num>
  <w:num w:numId="11" w16cid:durableId="327758943">
    <w:abstractNumId w:val="18"/>
  </w:num>
  <w:num w:numId="12" w16cid:durableId="1472016995">
    <w:abstractNumId w:val="4"/>
  </w:num>
  <w:num w:numId="13" w16cid:durableId="124203592">
    <w:abstractNumId w:val="14"/>
  </w:num>
  <w:num w:numId="14" w16cid:durableId="494416546">
    <w:abstractNumId w:val="2"/>
  </w:num>
  <w:num w:numId="15" w16cid:durableId="1781489473">
    <w:abstractNumId w:val="9"/>
  </w:num>
  <w:num w:numId="16" w16cid:durableId="676737137">
    <w:abstractNumId w:val="12"/>
  </w:num>
  <w:num w:numId="17" w16cid:durableId="851459170">
    <w:abstractNumId w:val="1"/>
  </w:num>
  <w:num w:numId="18" w16cid:durableId="203710756">
    <w:abstractNumId w:val="5"/>
  </w:num>
  <w:num w:numId="19" w16cid:durableId="1747342448">
    <w:abstractNumId w:val="13"/>
  </w:num>
  <w:num w:numId="20" w16cid:durableId="1388991717">
    <w:abstractNumId w:val="20"/>
  </w:num>
  <w:num w:numId="21" w16cid:durableId="219442024">
    <w:abstractNumId w:val="7"/>
  </w:num>
  <w:num w:numId="22" w16cid:durableId="229449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C7F"/>
    <w:rsid w:val="00001318"/>
    <w:rsid w:val="00015E68"/>
    <w:rsid w:val="0002013C"/>
    <w:rsid w:val="00020D7E"/>
    <w:rsid w:val="00045EB1"/>
    <w:rsid w:val="00093CA3"/>
    <w:rsid w:val="000A1B8A"/>
    <w:rsid w:val="000A34E1"/>
    <w:rsid w:val="000A4EC6"/>
    <w:rsid w:val="000B42E5"/>
    <w:rsid w:val="000C71D3"/>
    <w:rsid w:val="000D5F7A"/>
    <w:rsid w:val="000D6EA7"/>
    <w:rsid w:val="000E65AD"/>
    <w:rsid w:val="000F7E6F"/>
    <w:rsid w:val="00120C30"/>
    <w:rsid w:val="00170E44"/>
    <w:rsid w:val="00172580"/>
    <w:rsid w:val="001762A4"/>
    <w:rsid w:val="00183DC9"/>
    <w:rsid w:val="001A21D9"/>
    <w:rsid w:val="001A58DA"/>
    <w:rsid w:val="001D51C8"/>
    <w:rsid w:val="001E0628"/>
    <w:rsid w:val="001E4CF2"/>
    <w:rsid w:val="001E6C41"/>
    <w:rsid w:val="001F272D"/>
    <w:rsid w:val="0020599C"/>
    <w:rsid w:val="002077F6"/>
    <w:rsid w:val="00212548"/>
    <w:rsid w:val="00220D69"/>
    <w:rsid w:val="00246EA0"/>
    <w:rsid w:val="0026368E"/>
    <w:rsid w:val="00277C87"/>
    <w:rsid w:val="002819BA"/>
    <w:rsid w:val="0028443D"/>
    <w:rsid w:val="0029445A"/>
    <w:rsid w:val="0029649E"/>
    <w:rsid w:val="002B3C94"/>
    <w:rsid w:val="002B3DEF"/>
    <w:rsid w:val="002C0E9D"/>
    <w:rsid w:val="002E62F2"/>
    <w:rsid w:val="002E66CC"/>
    <w:rsid w:val="002F7AA3"/>
    <w:rsid w:val="003058D8"/>
    <w:rsid w:val="00312663"/>
    <w:rsid w:val="00312CF6"/>
    <w:rsid w:val="0031537D"/>
    <w:rsid w:val="0036233C"/>
    <w:rsid w:val="003771A2"/>
    <w:rsid w:val="003831F6"/>
    <w:rsid w:val="00383FD1"/>
    <w:rsid w:val="00391FBB"/>
    <w:rsid w:val="0039478B"/>
    <w:rsid w:val="003A5719"/>
    <w:rsid w:val="003B65A7"/>
    <w:rsid w:val="003C116B"/>
    <w:rsid w:val="003C29B1"/>
    <w:rsid w:val="003C4787"/>
    <w:rsid w:val="003D75F9"/>
    <w:rsid w:val="004105EB"/>
    <w:rsid w:val="0041150B"/>
    <w:rsid w:val="00431FB2"/>
    <w:rsid w:val="00432FA0"/>
    <w:rsid w:val="00440E48"/>
    <w:rsid w:val="00462B65"/>
    <w:rsid w:val="00475C86"/>
    <w:rsid w:val="004809D6"/>
    <w:rsid w:val="00485E2D"/>
    <w:rsid w:val="00491A86"/>
    <w:rsid w:val="004A0CC5"/>
    <w:rsid w:val="004A66C2"/>
    <w:rsid w:val="004A792E"/>
    <w:rsid w:val="004C7C6A"/>
    <w:rsid w:val="004C7CCA"/>
    <w:rsid w:val="004D368D"/>
    <w:rsid w:val="004D71A0"/>
    <w:rsid w:val="004F75B4"/>
    <w:rsid w:val="0051011E"/>
    <w:rsid w:val="005175CC"/>
    <w:rsid w:val="00531128"/>
    <w:rsid w:val="005443A0"/>
    <w:rsid w:val="00552277"/>
    <w:rsid w:val="00565682"/>
    <w:rsid w:val="005866B9"/>
    <w:rsid w:val="00590E5A"/>
    <w:rsid w:val="005912FF"/>
    <w:rsid w:val="00597237"/>
    <w:rsid w:val="005A79AB"/>
    <w:rsid w:val="005E27A7"/>
    <w:rsid w:val="005E340D"/>
    <w:rsid w:val="00602E7A"/>
    <w:rsid w:val="00613542"/>
    <w:rsid w:val="0062583F"/>
    <w:rsid w:val="00634B3E"/>
    <w:rsid w:val="00666A8A"/>
    <w:rsid w:val="006B791F"/>
    <w:rsid w:val="006C7F68"/>
    <w:rsid w:val="006D31AB"/>
    <w:rsid w:val="006D7106"/>
    <w:rsid w:val="006E69BB"/>
    <w:rsid w:val="006F1F56"/>
    <w:rsid w:val="006F5C26"/>
    <w:rsid w:val="007165CD"/>
    <w:rsid w:val="007505BA"/>
    <w:rsid w:val="00773CC1"/>
    <w:rsid w:val="00786083"/>
    <w:rsid w:val="0079030A"/>
    <w:rsid w:val="007C0A9C"/>
    <w:rsid w:val="007C5722"/>
    <w:rsid w:val="007C649F"/>
    <w:rsid w:val="007D7359"/>
    <w:rsid w:val="007F04E9"/>
    <w:rsid w:val="007F743F"/>
    <w:rsid w:val="00801ED1"/>
    <w:rsid w:val="00804A2C"/>
    <w:rsid w:val="00810203"/>
    <w:rsid w:val="008149C1"/>
    <w:rsid w:val="0082756B"/>
    <w:rsid w:val="00835A93"/>
    <w:rsid w:val="00843DB2"/>
    <w:rsid w:val="00845C1D"/>
    <w:rsid w:val="00846DC7"/>
    <w:rsid w:val="00855C7B"/>
    <w:rsid w:val="00867FE9"/>
    <w:rsid w:val="0088193D"/>
    <w:rsid w:val="008A3C7F"/>
    <w:rsid w:val="008A5DC1"/>
    <w:rsid w:val="008A7AE8"/>
    <w:rsid w:val="008B666A"/>
    <w:rsid w:val="008C02E2"/>
    <w:rsid w:val="008E71BC"/>
    <w:rsid w:val="0097512E"/>
    <w:rsid w:val="009B0905"/>
    <w:rsid w:val="009B3AF8"/>
    <w:rsid w:val="009C360D"/>
    <w:rsid w:val="009E61D7"/>
    <w:rsid w:val="009F580D"/>
    <w:rsid w:val="00A12104"/>
    <w:rsid w:val="00A234B4"/>
    <w:rsid w:val="00A41452"/>
    <w:rsid w:val="00A4163D"/>
    <w:rsid w:val="00A47310"/>
    <w:rsid w:val="00A51E54"/>
    <w:rsid w:val="00A52AD3"/>
    <w:rsid w:val="00A65D46"/>
    <w:rsid w:val="00A669B1"/>
    <w:rsid w:val="00A70E6B"/>
    <w:rsid w:val="00AA3670"/>
    <w:rsid w:val="00AB4441"/>
    <w:rsid w:val="00AB44F4"/>
    <w:rsid w:val="00AB6E10"/>
    <w:rsid w:val="00AC0160"/>
    <w:rsid w:val="00AC65B7"/>
    <w:rsid w:val="00AD0853"/>
    <w:rsid w:val="00B06134"/>
    <w:rsid w:val="00B228E8"/>
    <w:rsid w:val="00B32D55"/>
    <w:rsid w:val="00B35F50"/>
    <w:rsid w:val="00B476BE"/>
    <w:rsid w:val="00B561A2"/>
    <w:rsid w:val="00B671D3"/>
    <w:rsid w:val="00B941E7"/>
    <w:rsid w:val="00BC1B9F"/>
    <w:rsid w:val="00BD42B1"/>
    <w:rsid w:val="00BE7880"/>
    <w:rsid w:val="00C21B24"/>
    <w:rsid w:val="00C307D9"/>
    <w:rsid w:val="00C36F62"/>
    <w:rsid w:val="00C50B88"/>
    <w:rsid w:val="00CA0BB2"/>
    <w:rsid w:val="00CB1D3C"/>
    <w:rsid w:val="00CC0409"/>
    <w:rsid w:val="00CC3624"/>
    <w:rsid w:val="00CF4E4D"/>
    <w:rsid w:val="00CF6CB2"/>
    <w:rsid w:val="00D12641"/>
    <w:rsid w:val="00D15AC0"/>
    <w:rsid w:val="00D32174"/>
    <w:rsid w:val="00D37A48"/>
    <w:rsid w:val="00D40322"/>
    <w:rsid w:val="00D65506"/>
    <w:rsid w:val="00D739B5"/>
    <w:rsid w:val="00D82D7C"/>
    <w:rsid w:val="00D86EFC"/>
    <w:rsid w:val="00D91628"/>
    <w:rsid w:val="00D936DC"/>
    <w:rsid w:val="00DA4441"/>
    <w:rsid w:val="00DA60E8"/>
    <w:rsid w:val="00DB0694"/>
    <w:rsid w:val="00DB4CBA"/>
    <w:rsid w:val="00DD0729"/>
    <w:rsid w:val="00DD3C47"/>
    <w:rsid w:val="00DD4491"/>
    <w:rsid w:val="00DE434D"/>
    <w:rsid w:val="00E0104B"/>
    <w:rsid w:val="00E171A3"/>
    <w:rsid w:val="00E232D0"/>
    <w:rsid w:val="00E55299"/>
    <w:rsid w:val="00E6355F"/>
    <w:rsid w:val="00E76FEE"/>
    <w:rsid w:val="00E871E0"/>
    <w:rsid w:val="00EA13DC"/>
    <w:rsid w:val="00EC3250"/>
    <w:rsid w:val="00EE034D"/>
    <w:rsid w:val="00EF6FA7"/>
    <w:rsid w:val="00F0057D"/>
    <w:rsid w:val="00F33D91"/>
    <w:rsid w:val="00F34B44"/>
    <w:rsid w:val="00F60531"/>
    <w:rsid w:val="00F60838"/>
    <w:rsid w:val="00F64729"/>
    <w:rsid w:val="00F9607C"/>
    <w:rsid w:val="00FA135D"/>
    <w:rsid w:val="00FB51A6"/>
    <w:rsid w:val="00FB6277"/>
    <w:rsid w:val="00FC4BCD"/>
    <w:rsid w:val="00FD3D28"/>
    <w:rsid w:val="00FD6A65"/>
    <w:rsid w:val="00FE2868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7D16157B"/>
  <w15:chartTrackingRefBased/>
  <w15:docId w15:val="{259DF7BE-5D94-4823-A0AF-F895CC625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491"/>
    <w:pPr>
      <w:spacing w:after="0" w:line="240" w:lineRule="auto"/>
    </w:pPr>
    <w:rPr>
      <w:rFonts w:ascii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44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7C8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C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B79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B791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3C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8A3C7F"/>
  </w:style>
  <w:style w:type="paragraph" w:styleId="Footer">
    <w:name w:val="footer"/>
    <w:basedOn w:val="Normal"/>
    <w:link w:val="FooterChar"/>
    <w:uiPriority w:val="99"/>
    <w:unhideWhenUsed/>
    <w:rsid w:val="008A3C7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8A3C7F"/>
  </w:style>
  <w:style w:type="character" w:styleId="Hyperlink">
    <w:name w:val="Hyperlink"/>
    <w:basedOn w:val="DefaultParagraphFont"/>
    <w:uiPriority w:val="99"/>
    <w:unhideWhenUsed/>
    <w:rsid w:val="00DD44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44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TOSHeading1Numbered">
    <w:name w:val="ITOS Heading 1 (Numbered)"/>
    <w:basedOn w:val="Heading1"/>
    <w:next w:val="ITOSBodyText"/>
    <w:qFormat/>
    <w:rsid w:val="00277C87"/>
    <w:pPr>
      <w:numPr>
        <w:numId w:val="1"/>
      </w:numPr>
      <w:spacing w:after="120" w:line="300" w:lineRule="auto"/>
    </w:pPr>
    <w:rPr>
      <w:color w:val="323E4F" w:themeColor="text2" w:themeShade="BF"/>
      <w:sz w:val="36"/>
      <w:szCs w:val="40"/>
    </w:rPr>
  </w:style>
  <w:style w:type="paragraph" w:customStyle="1" w:styleId="ITOSBodyText">
    <w:name w:val="ITOS Body Text"/>
    <w:basedOn w:val="Normal"/>
    <w:qFormat/>
    <w:rsid w:val="00277C87"/>
    <w:pPr>
      <w:spacing w:after="120" w:line="300" w:lineRule="auto"/>
    </w:pPr>
    <w:rPr>
      <w:rFonts w:asciiTheme="minorHAnsi" w:eastAsiaTheme="minorEastAsia" w:hAnsiTheme="minorHAnsi" w:cstheme="minorBidi"/>
      <w:szCs w:val="21"/>
    </w:rPr>
  </w:style>
  <w:style w:type="paragraph" w:customStyle="1" w:styleId="ITOSHeading2Numbered">
    <w:name w:val="ITOS Heading 2 (Numbered)"/>
    <w:basedOn w:val="Heading2"/>
    <w:next w:val="ITOSBodyText"/>
    <w:link w:val="ITOSHeading2NumberedChar"/>
    <w:qFormat/>
    <w:rsid w:val="00277C87"/>
    <w:pPr>
      <w:numPr>
        <w:ilvl w:val="1"/>
        <w:numId w:val="1"/>
      </w:numPr>
      <w:spacing w:before="160" w:after="120"/>
    </w:pPr>
    <w:rPr>
      <w:color w:val="323E4F" w:themeColor="text2" w:themeShade="BF"/>
      <w:sz w:val="32"/>
      <w:szCs w:val="32"/>
    </w:rPr>
  </w:style>
  <w:style w:type="character" w:customStyle="1" w:styleId="ITOSHeading2NumberedChar">
    <w:name w:val="ITOS Heading 2 (Numbered) Char"/>
    <w:basedOn w:val="DefaultParagraphFont"/>
    <w:link w:val="ITOSHeading2Numbered"/>
    <w:rsid w:val="00277C87"/>
    <w:rPr>
      <w:rFonts w:asciiTheme="majorHAnsi" w:eastAsiaTheme="majorEastAsia" w:hAnsiTheme="majorHAnsi" w:cstheme="majorBidi"/>
      <w:color w:val="323E4F" w:themeColor="text2" w:themeShade="BF"/>
      <w:sz w:val="32"/>
      <w:szCs w:val="32"/>
    </w:rPr>
  </w:style>
  <w:style w:type="paragraph" w:customStyle="1" w:styleId="ITOSHeading3Numbered">
    <w:name w:val="ITOS Heading 3 (Numbered)"/>
    <w:basedOn w:val="Heading3"/>
    <w:next w:val="ITOSBodyText"/>
    <w:qFormat/>
    <w:rsid w:val="00277C87"/>
    <w:pPr>
      <w:numPr>
        <w:ilvl w:val="2"/>
        <w:numId w:val="1"/>
      </w:numPr>
      <w:tabs>
        <w:tab w:val="num" w:pos="360"/>
      </w:tabs>
      <w:spacing w:before="160" w:after="80"/>
      <w:ind w:left="0" w:firstLine="0"/>
    </w:pPr>
    <w:rPr>
      <w:color w:val="323E4F" w:themeColor="text2" w:themeShade="BF"/>
      <w:sz w:val="28"/>
      <w:szCs w:val="22"/>
    </w:rPr>
  </w:style>
  <w:style w:type="table" w:styleId="TableGridLight">
    <w:name w:val="Grid Table Light"/>
    <w:basedOn w:val="TableNormal"/>
    <w:uiPriority w:val="40"/>
    <w:rsid w:val="00277C8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numbering" w:customStyle="1" w:styleId="ITOSList1">
    <w:name w:val="ITOS List 1"/>
    <w:uiPriority w:val="99"/>
    <w:rsid w:val="00277C87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277C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7C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B791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B791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A52AD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E71BC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E71B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E71BC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771A2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476BE"/>
    <w:pPr>
      <w:spacing w:after="200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DA60E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045EB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39"/>
    <w:rsid w:val="00810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russo@uga.edu" TargetMode="External"/><Relationship Id="rId13" Type="http://schemas.openxmlformats.org/officeDocument/2006/relationships/hyperlink" Target="https://apps.itos.uga.edu/CODV2API/CODInputForm/BulkPCoder" TargetMode="External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UGA-ITOSHumanitarianGIS/CODV2API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cid:image003.png@01D8871A.6A5081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0.png"/><Relationship Id="rId10" Type="http://schemas.openxmlformats.org/officeDocument/2006/relationships/hyperlink" Target="https://apps.itos.uga.edu/CODV2API" TargetMode="Externa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apps.itos.uga.edu/CODV2API/Help/Api/GET-api-v1-themes-cod-ab-locations-pCode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5FCF0-3DBF-4646-A3C4-2E20DADEC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6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UGA</Company>
  <LinksUpToDate>false</LinksUpToDate>
  <CharactersWithSpaces>5843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Howard</dc:creator>
  <cp:keywords/>
  <dc:description/>
  <cp:lastModifiedBy>Anita Russo</cp:lastModifiedBy>
  <cp:revision>12</cp:revision>
  <cp:lastPrinted>2019-09-30T12:47:00Z</cp:lastPrinted>
  <dcterms:created xsi:type="dcterms:W3CDTF">2022-06-28T20:56:00Z</dcterms:created>
  <dcterms:modified xsi:type="dcterms:W3CDTF">2022-07-01T18:29:00Z</dcterms:modified>
</cp:coreProperties>
</file>