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1909459303"/>
        <w:docPartObj>
          <w:docPartGallery w:val="Cover Pages"/>
          <w:docPartUnique/>
        </w:docPartObj>
      </w:sdtPr>
      <w:sdtEndPr>
        <w:rPr>
          <w:vanish/>
          <w:sz w:val="24"/>
          <w:highlight w:val="yellow"/>
        </w:rPr>
      </w:sdtEndPr>
      <w:sdtContent>
        <w:p w14:paraId="68104570" w14:textId="77777777" w:rsidR="00DA07C8" w:rsidRDefault="00DA07C8">
          <w:pPr>
            <w:rPr>
              <w:sz w:val="12"/>
            </w:rPr>
          </w:pPr>
        </w:p>
        <w:p w14:paraId="5344DADD" w14:textId="77777777" w:rsidR="00DA07C8" w:rsidRDefault="00B445AC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56"/>
                <w:szCs w:val="48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A07C8" w:rsidRPr="001D76D0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56"/>
                  <w:szCs w:val="48"/>
                </w:rPr>
                <w:t xml:space="preserve">Omanization: The Way Forward 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138D2FD2" w14:textId="22506F0A" w:rsidR="00DA07C8" w:rsidRDefault="00DA07C8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 xml:space="preserve"> </w:t>
              </w:r>
            </w:p>
          </w:sdtContent>
        </w:sdt>
        <w:p w14:paraId="2A705578" w14:textId="77777777" w:rsidR="00DA07C8" w:rsidRPr="007C686E" w:rsidRDefault="00B445AC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32"/>
              <w:szCs w:val="32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32"/>
                <w:szCs w:val="32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D76D0" w:rsidRPr="007C686E">
                <w:rPr>
                  <w:rFonts w:asciiTheme="majorHAnsi" w:hAnsiTheme="majorHAnsi"/>
                  <w:noProof/>
                  <w:color w:val="000000" w:themeColor="text1"/>
                  <w:sz w:val="32"/>
                  <w:szCs w:val="32"/>
                </w:rPr>
                <w:t>Ala</w:t>
              </w:r>
              <w:r w:rsidR="00DA07C8" w:rsidRPr="007C686E">
                <w:rPr>
                  <w:rFonts w:asciiTheme="majorHAnsi" w:hAnsiTheme="majorHAnsi"/>
                  <w:noProof/>
                  <w:color w:val="000000" w:themeColor="text1"/>
                  <w:sz w:val="32"/>
                  <w:szCs w:val="32"/>
                </w:rPr>
                <w:t>nood Al Bulushi</w:t>
              </w:r>
            </w:sdtContent>
          </w:sdt>
        </w:p>
        <w:p w14:paraId="328BAFB1" w14:textId="77777777" w:rsidR="00DA07C8" w:rsidRDefault="00DA07C8"/>
        <w:p w14:paraId="48D648DC" w14:textId="77777777" w:rsidR="00B330B4" w:rsidRDefault="00B330B4"/>
        <w:p w14:paraId="5FB5EBF9" w14:textId="77777777" w:rsidR="00B330B4" w:rsidRDefault="00B330B4"/>
        <w:p w14:paraId="612A974E" w14:textId="77777777" w:rsidR="00B330B4" w:rsidRDefault="00B330B4"/>
        <w:p w14:paraId="2E4682DE" w14:textId="789009D6" w:rsidR="0088765A" w:rsidRDefault="00B445AC"/>
      </w:sdtContent>
    </w:sdt>
    <w:p w14:paraId="39FB8219" w14:textId="77777777" w:rsidR="00B330B4" w:rsidRDefault="00B330B4"/>
    <w:p w14:paraId="7FAC4CFA" w14:textId="77777777" w:rsidR="00B330B4" w:rsidRDefault="00B330B4"/>
    <w:p w14:paraId="10120ED4" w14:textId="77777777" w:rsidR="00B330B4" w:rsidRDefault="00B330B4"/>
    <w:p w14:paraId="1FCFA62C" w14:textId="77777777" w:rsidR="00B330B4" w:rsidRDefault="00B330B4"/>
    <w:p w14:paraId="7C26A093" w14:textId="77777777" w:rsidR="00B330B4" w:rsidRDefault="00B330B4"/>
    <w:p w14:paraId="70EB2940" w14:textId="77777777" w:rsidR="00B330B4" w:rsidRDefault="00B330B4"/>
    <w:p w14:paraId="089A7437" w14:textId="77777777" w:rsidR="00B330B4" w:rsidRDefault="00B330B4"/>
    <w:p w14:paraId="28690E1D" w14:textId="77777777" w:rsidR="00B330B4" w:rsidRDefault="00B330B4"/>
    <w:p w14:paraId="614F47D9" w14:textId="77777777" w:rsidR="00B330B4" w:rsidRDefault="00B330B4"/>
    <w:p w14:paraId="39843D74" w14:textId="77777777" w:rsidR="00B330B4" w:rsidRDefault="00B330B4"/>
    <w:p w14:paraId="21365B04" w14:textId="77777777" w:rsidR="00B330B4" w:rsidRDefault="00B330B4"/>
    <w:p w14:paraId="3D4E740E" w14:textId="77777777" w:rsidR="00B330B4" w:rsidRDefault="00B330B4"/>
    <w:p w14:paraId="05C7217E" w14:textId="77777777" w:rsidR="00B330B4" w:rsidRDefault="00B330B4"/>
    <w:p w14:paraId="435CA189" w14:textId="77777777" w:rsidR="00B330B4" w:rsidRDefault="00B330B4"/>
    <w:p w14:paraId="53ADD88A" w14:textId="77777777" w:rsidR="00B330B4" w:rsidRDefault="00B330B4"/>
    <w:p w14:paraId="4F5902D2" w14:textId="77777777" w:rsidR="00B330B4" w:rsidRDefault="00B330B4"/>
    <w:p w14:paraId="24CE0037" w14:textId="77777777" w:rsidR="00B330B4" w:rsidRDefault="00B330B4"/>
    <w:p w14:paraId="0DEB143A" w14:textId="77777777" w:rsidR="00B330B4" w:rsidRDefault="00B330B4"/>
    <w:p w14:paraId="0E73AB2C" w14:textId="77777777" w:rsidR="00B330B4" w:rsidRDefault="00B330B4"/>
    <w:p w14:paraId="067A7002" w14:textId="77777777" w:rsidR="00B330B4" w:rsidRDefault="00B330B4"/>
    <w:p w14:paraId="2227B8F9" w14:textId="77777777" w:rsidR="00B330B4" w:rsidRDefault="00B330B4"/>
    <w:p w14:paraId="68EFDD6E" w14:textId="77777777" w:rsidR="00B330B4" w:rsidRDefault="00B330B4"/>
    <w:p w14:paraId="550EAEE9" w14:textId="77777777" w:rsidR="00B330B4" w:rsidRDefault="00B330B4"/>
    <w:p w14:paraId="2F58F457" w14:textId="77777777" w:rsidR="00B330B4" w:rsidRDefault="00B330B4"/>
    <w:p w14:paraId="02A28354" w14:textId="77777777" w:rsidR="00B330B4" w:rsidRDefault="00B330B4"/>
    <w:p w14:paraId="2F94D933" w14:textId="77777777" w:rsidR="00B330B4" w:rsidRDefault="00B330B4"/>
    <w:p w14:paraId="7C5D4F65" w14:textId="77777777" w:rsidR="00B330B4" w:rsidRDefault="00B330B4"/>
    <w:p w14:paraId="22BBCCAE" w14:textId="77777777" w:rsidR="00B330B4" w:rsidRDefault="00B330B4"/>
    <w:p w14:paraId="19A7F3C6" w14:textId="77777777" w:rsidR="00B330B4" w:rsidRDefault="00B330B4"/>
    <w:p w14:paraId="5B3FAE1F" w14:textId="77777777" w:rsidR="00B330B4" w:rsidRDefault="00B330B4"/>
    <w:p w14:paraId="3507C822" w14:textId="77777777" w:rsidR="00B330B4" w:rsidRDefault="00B330B4"/>
    <w:p w14:paraId="06959746" w14:textId="77777777" w:rsidR="00B330B4" w:rsidRDefault="00B330B4"/>
    <w:p w14:paraId="33D90084" w14:textId="77777777" w:rsidR="00B330B4" w:rsidRDefault="00B330B4"/>
    <w:p w14:paraId="26F5A89D" w14:textId="77777777" w:rsidR="00B330B4" w:rsidRDefault="00B330B4"/>
    <w:p w14:paraId="39524EA6" w14:textId="77777777" w:rsidR="00B330B4" w:rsidRDefault="00B330B4"/>
    <w:p w14:paraId="25A01850" w14:textId="77777777" w:rsidR="00B330B4" w:rsidRDefault="00B330B4"/>
    <w:p w14:paraId="09D17F05" w14:textId="77777777" w:rsidR="00B330B4" w:rsidRDefault="00B330B4"/>
    <w:p w14:paraId="0AEF5E66" w14:textId="62251C1B" w:rsidR="00141665" w:rsidRPr="003A67D2" w:rsidRDefault="00141665">
      <w:pPr>
        <w:rPr>
          <w:sz w:val="28"/>
          <w:szCs w:val="28"/>
        </w:rPr>
      </w:pPr>
      <w:r w:rsidRPr="003A67D2">
        <w:rPr>
          <w:sz w:val="28"/>
          <w:szCs w:val="28"/>
        </w:rPr>
        <w:lastRenderedPageBreak/>
        <w:t xml:space="preserve">The labor market nationalization policy, </w:t>
      </w:r>
      <w:r w:rsidRPr="003A67D2">
        <w:rPr>
          <w:i/>
          <w:sz w:val="28"/>
          <w:szCs w:val="28"/>
        </w:rPr>
        <w:t>Omanization</w:t>
      </w:r>
      <w:r w:rsidRPr="003A67D2">
        <w:rPr>
          <w:sz w:val="28"/>
          <w:szCs w:val="28"/>
        </w:rPr>
        <w:t xml:space="preserve"> has been </w:t>
      </w:r>
      <w:r w:rsidR="008B78DC" w:rsidRPr="003A67D2">
        <w:rPr>
          <w:sz w:val="28"/>
          <w:szCs w:val="28"/>
        </w:rPr>
        <w:t>pursued</w:t>
      </w:r>
      <w:r w:rsidR="00FF73EE" w:rsidRPr="003A67D2">
        <w:rPr>
          <w:sz w:val="28"/>
          <w:szCs w:val="28"/>
        </w:rPr>
        <w:t xml:space="preserve"> since 1994 </w:t>
      </w:r>
      <w:r w:rsidR="008B78DC" w:rsidRPr="003A67D2">
        <w:rPr>
          <w:sz w:val="28"/>
          <w:szCs w:val="28"/>
        </w:rPr>
        <w:t xml:space="preserve">merely by setting quotas </w:t>
      </w:r>
      <w:r w:rsidR="00B0211D" w:rsidRPr="003A67D2">
        <w:rPr>
          <w:sz w:val="28"/>
          <w:szCs w:val="28"/>
        </w:rPr>
        <w:t xml:space="preserve">and </w:t>
      </w:r>
      <w:r w:rsidR="00190F42">
        <w:rPr>
          <w:sz w:val="28"/>
          <w:szCs w:val="28"/>
        </w:rPr>
        <w:t>securing</w:t>
      </w:r>
      <w:r w:rsidR="00B0211D" w:rsidRPr="003A67D2">
        <w:rPr>
          <w:sz w:val="28"/>
          <w:szCs w:val="28"/>
        </w:rPr>
        <w:t xml:space="preserve"> jobs for nationals</w:t>
      </w:r>
      <w:r w:rsidR="008B78DC" w:rsidRPr="003A67D2">
        <w:rPr>
          <w:sz w:val="28"/>
          <w:szCs w:val="28"/>
        </w:rPr>
        <w:t xml:space="preserve"> in various sectors. </w:t>
      </w:r>
      <w:r w:rsidR="001C5008" w:rsidRPr="003A67D2">
        <w:rPr>
          <w:sz w:val="28"/>
          <w:szCs w:val="28"/>
        </w:rPr>
        <w:t>Albeit some modifications</w:t>
      </w:r>
      <w:r w:rsidR="009836A4" w:rsidRPr="003A67D2">
        <w:rPr>
          <w:sz w:val="28"/>
          <w:szCs w:val="28"/>
        </w:rPr>
        <w:t xml:space="preserve"> </w:t>
      </w:r>
      <w:r w:rsidR="001C5008" w:rsidRPr="003A67D2">
        <w:rPr>
          <w:sz w:val="28"/>
          <w:szCs w:val="28"/>
        </w:rPr>
        <w:t xml:space="preserve">to the </w:t>
      </w:r>
      <w:r w:rsidR="001C5008" w:rsidRPr="003A67D2">
        <w:rPr>
          <w:i/>
          <w:sz w:val="28"/>
          <w:szCs w:val="28"/>
        </w:rPr>
        <w:t xml:space="preserve">Omanization </w:t>
      </w:r>
      <w:r w:rsidR="001C5008" w:rsidRPr="003A67D2">
        <w:rPr>
          <w:sz w:val="28"/>
          <w:szCs w:val="28"/>
        </w:rPr>
        <w:t xml:space="preserve">policy since its implementation, </w:t>
      </w:r>
      <w:r w:rsidR="00E85373" w:rsidRPr="003A67D2">
        <w:rPr>
          <w:sz w:val="28"/>
          <w:szCs w:val="28"/>
        </w:rPr>
        <w:t xml:space="preserve">it is critical that </w:t>
      </w:r>
      <w:r w:rsidR="001C5008" w:rsidRPr="003A67D2">
        <w:rPr>
          <w:sz w:val="28"/>
          <w:szCs w:val="28"/>
        </w:rPr>
        <w:t>the government take</w:t>
      </w:r>
      <w:r w:rsidR="00E85373" w:rsidRPr="003A67D2">
        <w:rPr>
          <w:sz w:val="28"/>
          <w:szCs w:val="28"/>
        </w:rPr>
        <w:t>s</w:t>
      </w:r>
      <w:r w:rsidR="001C5008" w:rsidRPr="003A67D2">
        <w:rPr>
          <w:sz w:val="28"/>
          <w:szCs w:val="28"/>
        </w:rPr>
        <w:t xml:space="preserve"> a</w:t>
      </w:r>
      <w:r w:rsidR="00164592" w:rsidRPr="003A67D2">
        <w:rPr>
          <w:sz w:val="28"/>
          <w:szCs w:val="28"/>
        </w:rPr>
        <w:t>n even</w:t>
      </w:r>
      <w:r w:rsidR="001C5008" w:rsidRPr="003A67D2">
        <w:rPr>
          <w:sz w:val="28"/>
          <w:szCs w:val="28"/>
        </w:rPr>
        <w:t xml:space="preserve"> more sophisticated approach in tackling</w:t>
      </w:r>
      <w:r w:rsidR="009836A4" w:rsidRPr="003A67D2">
        <w:rPr>
          <w:sz w:val="28"/>
          <w:szCs w:val="28"/>
        </w:rPr>
        <w:t xml:space="preserve"> the issue</w:t>
      </w:r>
      <w:r w:rsidR="006E79D7" w:rsidRPr="003A67D2">
        <w:rPr>
          <w:sz w:val="28"/>
          <w:szCs w:val="28"/>
        </w:rPr>
        <w:t>s</w:t>
      </w:r>
      <w:r w:rsidR="001C5008" w:rsidRPr="003A67D2">
        <w:rPr>
          <w:sz w:val="28"/>
          <w:szCs w:val="28"/>
        </w:rPr>
        <w:t xml:space="preserve"> of unemployment</w:t>
      </w:r>
      <w:r w:rsidR="006E79D7" w:rsidRPr="003A67D2">
        <w:rPr>
          <w:sz w:val="28"/>
          <w:szCs w:val="28"/>
        </w:rPr>
        <w:t xml:space="preserve"> </w:t>
      </w:r>
      <w:r w:rsidR="00CB0BDF" w:rsidRPr="003A67D2">
        <w:rPr>
          <w:sz w:val="28"/>
          <w:szCs w:val="28"/>
        </w:rPr>
        <w:t xml:space="preserve">whilst </w:t>
      </w:r>
      <w:r w:rsidR="003D1E2E" w:rsidRPr="003A67D2">
        <w:rPr>
          <w:sz w:val="28"/>
          <w:szCs w:val="28"/>
        </w:rPr>
        <w:t>equally</w:t>
      </w:r>
      <w:r w:rsidR="00CB0BDF" w:rsidRPr="003A67D2">
        <w:rPr>
          <w:sz w:val="28"/>
          <w:szCs w:val="28"/>
        </w:rPr>
        <w:t xml:space="preserve"> improving human capital</w:t>
      </w:r>
      <w:r w:rsidR="006E79D7" w:rsidRPr="003A67D2">
        <w:rPr>
          <w:sz w:val="28"/>
          <w:szCs w:val="28"/>
        </w:rPr>
        <w:t xml:space="preserve">. </w:t>
      </w:r>
    </w:p>
    <w:p w14:paraId="4F252F81" w14:textId="77777777" w:rsidR="00C52D84" w:rsidRPr="003A67D2" w:rsidRDefault="00C52D84">
      <w:pPr>
        <w:rPr>
          <w:sz w:val="28"/>
          <w:szCs w:val="28"/>
        </w:rPr>
      </w:pPr>
    </w:p>
    <w:p w14:paraId="1C051545" w14:textId="73FD61A6" w:rsidR="00141665" w:rsidRDefault="003A67D2">
      <w:pPr>
        <w:rPr>
          <w:sz w:val="28"/>
          <w:szCs w:val="28"/>
        </w:rPr>
      </w:pPr>
      <w:r w:rsidRPr="003A67D2">
        <w:rPr>
          <w:noProof/>
          <w:sz w:val="20"/>
          <w:szCs w:val="28"/>
        </w:rPr>
        <w:drawing>
          <wp:anchor distT="0" distB="0" distL="114300" distR="114300" simplePos="0" relativeHeight="251658240" behindDoc="0" locked="0" layoutInCell="1" allowOverlap="1" wp14:anchorId="796C10BC" wp14:editId="7356416B">
            <wp:simplePos x="0" y="0"/>
            <wp:positionH relativeFrom="column">
              <wp:posOffset>-228600</wp:posOffset>
            </wp:positionH>
            <wp:positionV relativeFrom="paragraph">
              <wp:posOffset>2426970</wp:posOffset>
            </wp:positionV>
            <wp:extent cx="6400800" cy="2420620"/>
            <wp:effectExtent l="0" t="0" r="25400" b="1778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E21" w:rsidRPr="003A67D2">
        <w:rPr>
          <w:sz w:val="28"/>
          <w:szCs w:val="28"/>
        </w:rPr>
        <w:t>In order to provide an overview of the current situation</w:t>
      </w:r>
      <w:r w:rsidR="001C23D5" w:rsidRPr="003A67D2">
        <w:rPr>
          <w:sz w:val="28"/>
          <w:szCs w:val="28"/>
        </w:rPr>
        <w:t xml:space="preserve">, figure 1 below shows that the </w:t>
      </w:r>
      <w:r w:rsidR="0084419B" w:rsidRPr="003A67D2">
        <w:rPr>
          <w:sz w:val="28"/>
          <w:szCs w:val="28"/>
        </w:rPr>
        <w:t>total number of Omanis employed in the private sector has surpassed the number of employees in the public sector since 2007</w:t>
      </w:r>
      <w:r w:rsidR="008758FC" w:rsidRPr="003A67D2">
        <w:rPr>
          <w:sz w:val="28"/>
          <w:szCs w:val="28"/>
        </w:rPr>
        <w:t xml:space="preserve">. </w:t>
      </w:r>
      <w:r w:rsidR="0084419B" w:rsidRPr="003A67D2">
        <w:rPr>
          <w:sz w:val="28"/>
          <w:szCs w:val="28"/>
        </w:rPr>
        <w:t xml:space="preserve"> </w:t>
      </w:r>
      <w:r w:rsidR="008758FC" w:rsidRPr="003A67D2">
        <w:rPr>
          <w:sz w:val="28"/>
          <w:szCs w:val="28"/>
        </w:rPr>
        <w:t xml:space="preserve">Despite the slight stagnation in the years 2011-2012, there is an increasing trend of private sector employment, which potentially indicates that </w:t>
      </w:r>
      <w:r w:rsidR="008758FC" w:rsidRPr="003A67D2">
        <w:rPr>
          <w:i/>
          <w:sz w:val="28"/>
          <w:szCs w:val="28"/>
        </w:rPr>
        <w:t xml:space="preserve">Omanization </w:t>
      </w:r>
      <w:r w:rsidR="00276314" w:rsidRPr="003A67D2">
        <w:rPr>
          <w:sz w:val="28"/>
          <w:szCs w:val="28"/>
        </w:rPr>
        <w:t>has been successful</w:t>
      </w:r>
      <w:r w:rsidR="00494610" w:rsidRPr="003A67D2">
        <w:rPr>
          <w:sz w:val="28"/>
          <w:szCs w:val="28"/>
        </w:rPr>
        <w:t xml:space="preserve"> to a certain extent</w:t>
      </w:r>
      <w:r w:rsidR="00276314" w:rsidRPr="003A67D2">
        <w:rPr>
          <w:sz w:val="28"/>
          <w:szCs w:val="28"/>
        </w:rPr>
        <w:t xml:space="preserve"> in reducing the gap between private and public sector benefits</w:t>
      </w:r>
      <w:r w:rsidR="000F6AB6" w:rsidRPr="003A67D2">
        <w:rPr>
          <w:sz w:val="28"/>
          <w:szCs w:val="28"/>
        </w:rPr>
        <w:t>.</w:t>
      </w:r>
      <w:r w:rsidR="00CF2452" w:rsidRPr="003A67D2">
        <w:rPr>
          <w:sz w:val="28"/>
          <w:szCs w:val="28"/>
        </w:rPr>
        <w:t xml:space="preserve"> </w:t>
      </w:r>
      <w:r w:rsidR="00735F65" w:rsidRPr="003A67D2">
        <w:rPr>
          <w:sz w:val="28"/>
          <w:szCs w:val="28"/>
        </w:rPr>
        <w:t>The following factors</w:t>
      </w:r>
      <w:r w:rsidR="004B32A7" w:rsidRPr="003A67D2">
        <w:rPr>
          <w:sz w:val="28"/>
          <w:szCs w:val="28"/>
        </w:rPr>
        <w:t>;</w:t>
      </w:r>
      <w:r w:rsidR="00735F65" w:rsidRPr="003A67D2">
        <w:rPr>
          <w:sz w:val="28"/>
          <w:szCs w:val="28"/>
        </w:rPr>
        <w:t xml:space="preserve"> an </w:t>
      </w:r>
      <w:r w:rsidR="005062E7" w:rsidRPr="003A67D2">
        <w:rPr>
          <w:sz w:val="28"/>
          <w:szCs w:val="28"/>
        </w:rPr>
        <w:t>increase in the minimum wage</w:t>
      </w:r>
      <w:r w:rsidR="00362BAE" w:rsidRPr="003A67D2">
        <w:rPr>
          <w:sz w:val="28"/>
          <w:szCs w:val="28"/>
        </w:rPr>
        <w:t xml:space="preserve"> for Omanis</w:t>
      </w:r>
      <w:r w:rsidR="00890CB2" w:rsidRPr="003A67D2">
        <w:rPr>
          <w:sz w:val="28"/>
          <w:szCs w:val="28"/>
        </w:rPr>
        <w:t>,</w:t>
      </w:r>
      <w:r w:rsidR="005062E7" w:rsidRPr="003A67D2">
        <w:rPr>
          <w:sz w:val="28"/>
          <w:szCs w:val="28"/>
        </w:rPr>
        <w:t xml:space="preserve"> </w:t>
      </w:r>
      <w:r w:rsidR="000F6AB6" w:rsidRPr="003A67D2">
        <w:rPr>
          <w:sz w:val="28"/>
          <w:szCs w:val="28"/>
        </w:rPr>
        <w:t>alignment of private and public sector holidays</w:t>
      </w:r>
      <w:r w:rsidR="00890CB2" w:rsidRPr="003A67D2">
        <w:rPr>
          <w:sz w:val="28"/>
          <w:szCs w:val="28"/>
        </w:rPr>
        <w:t xml:space="preserve"> as well as </w:t>
      </w:r>
      <w:r w:rsidR="00EE3346" w:rsidRPr="003A67D2">
        <w:rPr>
          <w:sz w:val="28"/>
          <w:szCs w:val="28"/>
        </w:rPr>
        <w:t xml:space="preserve">free mobility of </w:t>
      </w:r>
      <w:r w:rsidR="005B509A">
        <w:rPr>
          <w:sz w:val="28"/>
          <w:szCs w:val="28"/>
        </w:rPr>
        <w:t xml:space="preserve">expat workers </w:t>
      </w:r>
      <w:r w:rsidR="00EE3346" w:rsidRPr="003A67D2">
        <w:rPr>
          <w:sz w:val="28"/>
          <w:szCs w:val="28"/>
        </w:rPr>
        <w:t>since 2006</w:t>
      </w:r>
      <w:r w:rsidR="002F40E6" w:rsidRPr="003A67D2">
        <w:rPr>
          <w:sz w:val="28"/>
          <w:szCs w:val="28"/>
        </w:rPr>
        <w:t xml:space="preserve"> </w:t>
      </w:r>
      <w:r w:rsidR="00FF194F" w:rsidRPr="003A67D2">
        <w:rPr>
          <w:sz w:val="28"/>
          <w:szCs w:val="28"/>
        </w:rPr>
        <w:t xml:space="preserve">led to this increase in private sector employment among Omanis. </w:t>
      </w:r>
    </w:p>
    <w:p w14:paraId="4D23DB02" w14:textId="3A940F75" w:rsidR="00141665" w:rsidRPr="003A67D2" w:rsidRDefault="0084419B">
      <w:pPr>
        <w:rPr>
          <w:sz w:val="28"/>
          <w:szCs w:val="28"/>
        </w:rPr>
      </w:pPr>
      <w:r w:rsidRPr="003A67D2">
        <w:rPr>
          <w:sz w:val="20"/>
          <w:szCs w:val="28"/>
        </w:rPr>
        <w:t xml:space="preserve">Source: Central Bank of Oman </w:t>
      </w:r>
    </w:p>
    <w:p w14:paraId="01FA9A2A" w14:textId="77777777" w:rsidR="0084419B" w:rsidRPr="003A67D2" w:rsidRDefault="0084419B">
      <w:pPr>
        <w:rPr>
          <w:sz w:val="28"/>
          <w:szCs w:val="28"/>
        </w:rPr>
      </w:pPr>
    </w:p>
    <w:p w14:paraId="51354F6B" w14:textId="47AD0E7F" w:rsidR="00141665" w:rsidRPr="003A67D2" w:rsidRDefault="00822D61">
      <w:pPr>
        <w:rPr>
          <w:b/>
          <w:bCs/>
          <w:sz w:val="28"/>
          <w:szCs w:val="28"/>
        </w:rPr>
      </w:pPr>
      <w:r w:rsidRPr="003A67D2">
        <w:rPr>
          <w:sz w:val="28"/>
          <w:szCs w:val="28"/>
        </w:rPr>
        <w:t>However</w:t>
      </w:r>
      <w:r w:rsidR="00276314" w:rsidRPr="003A67D2">
        <w:rPr>
          <w:sz w:val="28"/>
          <w:szCs w:val="28"/>
        </w:rPr>
        <w:t xml:space="preserve">, </w:t>
      </w:r>
      <w:r w:rsidR="00BD2A7E" w:rsidRPr="003A67D2">
        <w:rPr>
          <w:sz w:val="28"/>
          <w:szCs w:val="28"/>
        </w:rPr>
        <w:t>the proportion of Omanis in the private sector</w:t>
      </w:r>
      <w:r w:rsidR="00614F2B" w:rsidRPr="003A67D2">
        <w:rPr>
          <w:sz w:val="28"/>
          <w:szCs w:val="28"/>
        </w:rPr>
        <w:t xml:space="preserve"> compared to expatriates</w:t>
      </w:r>
      <w:r w:rsidR="00BD2A7E" w:rsidRPr="003A67D2">
        <w:rPr>
          <w:sz w:val="28"/>
          <w:szCs w:val="28"/>
        </w:rPr>
        <w:t xml:space="preserve"> is </w:t>
      </w:r>
      <w:r w:rsidR="00E4599E" w:rsidRPr="003A67D2">
        <w:rPr>
          <w:bCs/>
          <w:sz w:val="28"/>
          <w:szCs w:val="28"/>
        </w:rPr>
        <w:t>disappointingly</w:t>
      </w:r>
      <w:r w:rsidR="00593239" w:rsidRPr="003A67D2">
        <w:rPr>
          <w:b/>
          <w:bCs/>
          <w:sz w:val="28"/>
          <w:szCs w:val="28"/>
        </w:rPr>
        <w:t xml:space="preserve"> </w:t>
      </w:r>
      <w:r w:rsidR="00BD2A7E" w:rsidRPr="003A67D2">
        <w:rPr>
          <w:sz w:val="28"/>
          <w:szCs w:val="28"/>
        </w:rPr>
        <w:t xml:space="preserve">low and has </w:t>
      </w:r>
      <w:r w:rsidR="000F7953" w:rsidRPr="003A67D2">
        <w:rPr>
          <w:sz w:val="28"/>
          <w:szCs w:val="28"/>
        </w:rPr>
        <w:t xml:space="preserve">decreased from 21% in 2007 to 13% in 2015 </w:t>
      </w:r>
      <w:r w:rsidR="00BD2A7E" w:rsidRPr="003A67D2">
        <w:rPr>
          <w:sz w:val="28"/>
          <w:szCs w:val="28"/>
        </w:rPr>
        <w:t xml:space="preserve">as shown in figure 2 below. </w:t>
      </w:r>
      <w:r w:rsidRPr="003A67D2">
        <w:rPr>
          <w:sz w:val="28"/>
          <w:szCs w:val="28"/>
        </w:rPr>
        <w:t>T</w:t>
      </w:r>
      <w:r w:rsidR="00577710" w:rsidRPr="003A67D2">
        <w:rPr>
          <w:sz w:val="28"/>
          <w:szCs w:val="28"/>
        </w:rPr>
        <w:t xml:space="preserve">his decrease </w:t>
      </w:r>
      <w:r w:rsidR="00CF0C8B" w:rsidRPr="003A67D2">
        <w:rPr>
          <w:sz w:val="28"/>
          <w:szCs w:val="28"/>
        </w:rPr>
        <w:t>could be</w:t>
      </w:r>
      <w:r w:rsidR="00577710" w:rsidRPr="003A67D2">
        <w:rPr>
          <w:sz w:val="28"/>
          <w:szCs w:val="28"/>
        </w:rPr>
        <w:t xml:space="preserve"> attributed to </w:t>
      </w:r>
      <w:r w:rsidR="00507BAF" w:rsidRPr="003A67D2">
        <w:rPr>
          <w:sz w:val="28"/>
          <w:szCs w:val="28"/>
        </w:rPr>
        <w:t>an increase in the number of expatriates</w:t>
      </w:r>
      <w:r w:rsidR="00F76DE5" w:rsidRPr="003A67D2">
        <w:rPr>
          <w:rStyle w:val="FootnoteReference"/>
          <w:sz w:val="28"/>
          <w:szCs w:val="28"/>
        </w:rPr>
        <w:footnoteReference w:id="1"/>
      </w:r>
      <w:r w:rsidR="005211EA" w:rsidRPr="003A67D2">
        <w:rPr>
          <w:sz w:val="28"/>
          <w:szCs w:val="28"/>
        </w:rPr>
        <w:t xml:space="preserve">. </w:t>
      </w:r>
      <w:r w:rsidR="005A78BD">
        <w:rPr>
          <w:sz w:val="28"/>
          <w:szCs w:val="28"/>
        </w:rPr>
        <w:t>Further</w:t>
      </w:r>
      <w:r w:rsidR="005211EA" w:rsidRPr="003A67D2">
        <w:rPr>
          <w:sz w:val="28"/>
          <w:szCs w:val="28"/>
        </w:rPr>
        <w:t>,</w:t>
      </w:r>
      <w:r w:rsidR="00A726BF" w:rsidRPr="003A67D2">
        <w:rPr>
          <w:sz w:val="28"/>
          <w:szCs w:val="28"/>
        </w:rPr>
        <w:t xml:space="preserve"> </w:t>
      </w:r>
      <w:r w:rsidR="004D6E84" w:rsidRPr="003A67D2">
        <w:rPr>
          <w:sz w:val="28"/>
          <w:szCs w:val="28"/>
        </w:rPr>
        <w:t xml:space="preserve">more than 50% of registered Omanis on PASA have salaries less than 500 OMR a month, which implies that the </w:t>
      </w:r>
      <w:r w:rsidR="005A78BD" w:rsidRPr="003A67D2">
        <w:rPr>
          <w:sz w:val="28"/>
          <w:szCs w:val="28"/>
        </w:rPr>
        <w:t xml:space="preserve">majority </w:t>
      </w:r>
      <w:r w:rsidR="005A78BD">
        <w:rPr>
          <w:sz w:val="28"/>
          <w:szCs w:val="28"/>
        </w:rPr>
        <w:t>is</w:t>
      </w:r>
      <w:r w:rsidR="004D6E84" w:rsidRPr="003A67D2">
        <w:rPr>
          <w:sz w:val="28"/>
          <w:szCs w:val="28"/>
        </w:rPr>
        <w:t xml:space="preserve"> employed in low skill</w:t>
      </w:r>
      <w:r w:rsidR="005A78BD">
        <w:rPr>
          <w:sz w:val="28"/>
          <w:szCs w:val="28"/>
        </w:rPr>
        <w:t>ed</w:t>
      </w:r>
      <w:r w:rsidR="004D6E84" w:rsidRPr="003A67D2">
        <w:rPr>
          <w:sz w:val="28"/>
          <w:szCs w:val="28"/>
        </w:rPr>
        <w:t xml:space="preserve"> jobs</w:t>
      </w:r>
      <w:r w:rsidR="00B352C0" w:rsidRPr="003A67D2">
        <w:rPr>
          <w:rStyle w:val="FootnoteReference"/>
          <w:sz w:val="28"/>
          <w:szCs w:val="28"/>
        </w:rPr>
        <w:footnoteReference w:id="2"/>
      </w:r>
      <w:r w:rsidR="004D6E84" w:rsidRPr="003A67D2">
        <w:rPr>
          <w:sz w:val="28"/>
          <w:szCs w:val="28"/>
        </w:rPr>
        <w:t xml:space="preserve">. </w:t>
      </w:r>
    </w:p>
    <w:p w14:paraId="05348AA0" w14:textId="660D00D5" w:rsidR="00141665" w:rsidRDefault="00BD2A7E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AF78A" wp14:editId="69C38416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6057900" cy="2400300"/>
            <wp:effectExtent l="0" t="0" r="12700" b="1270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sz w:val="22"/>
          <w:szCs w:val="22"/>
        </w:rPr>
        <w:t xml:space="preserve">Source: Central Bank of Oman </w:t>
      </w:r>
    </w:p>
    <w:p w14:paraId="03B5871C" w14:textId="77777777" w:rsidR="00BD2A7E" w:rsidRDefault="00BD2A7E">
      <w:pPr>
        <w:rPr>
          <w:sz w:val="22"/>
          <w:szCs w:val="22"/>
        </w:rPr>
      </w:pPr>
    </w:p>
    <w:p w14:paraId="00832E8F" w14:textId="77777777" w:rsidR="00190F42" w:rsidRDefault="008E3D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02A102" w14:textId="6B19535E" w:rsidR="00B330B4" w:rsidRDefault="00411C98">
      <w:pPr>
        <w:rPr>
          <w:sz w:val="28"/>
          <w:szCs w:val="28"/>
        </w:rPr>
      </w:pPr>
      <w:r>
        <w:rPr>
          <w:sz w:val="28"/>
          <w:szCs w:val="28"/>
        </w:rPr>
        <w:t xml:space="preserve">Changes </w:t>
      </w:r>
      <w:r w:rsidR="00B67B4B">
        <w:rPr>
          <w:sz w:val="28"/>
          <w:szCs w:val="28"/>
        </w:rPr>
        <w:t xml:space="preserve">to the </w:t>
      </w:r>
      <w:r w:rsidR="00B67B4B">
        <w:rPr>
          <w:i/>
          <w:sz w:val="28"/>
          <w:szCs w:val="28"/>
        </w:rPr>
        <w:t xml:space="preserve">Omanization </w:t>
      </w:r>
      <w:r w:rsidR="00B67B4B">
        <w:rPr>
          <w:sz w:val="28"/>
          <w:szCs w:val="28"/>
        </w:rPr>
        <w:t xml:space="preserve">policy must </w:t>
      </w:r>
      <w:r w:rsidR="00EA4995">
        <w:rPr>
          <w:sz w:val="28"/>
          <w:szCs w:val="28"/>
        </w:rPr>
        <w:t>work in parallel</w:t>
      </w:r>
      <w:r w:rsidR="00C877DB">
        <w:rPr>
          <w:sz w:val="28"/>
          <w:szCs w:val="28"/>
        </w:rPr>
        <w:t xml:space="preserve"> with the </w:t>
      </w:r>
      <w:r w:rsidR="00C877DB" w:rsidRPr="00C877DB">
        <w:rPr>
          <w:i/>
          <w:sz w:val="28"/>
          <w:szCs w:val="28"/>
        </w:rPr>
        <w:t>Tanfeeth</w:t>
      </w:r>
      <w:r w:rsidR="00C877DB">
        <w:rPr>
          <w:sz w:val="28"/>
          <w:szCs w:val="28"/>
        </w:rPr>
        <w:t xml:space="preserve"> </w:t>
      </w:r>
      <w:r w:rsidR="00993094">
        <w:rPr>
          <w:sz w:val="28"/>
          <w:szCs w:val="28"/>
        </w:rPr>
        <w:t xml:space="preserve">initiative that aims to reduce unemployment by </w:t>
      </w:r>
      <w:r w:rsidR="00CA4779">
        <w:rPr>
          <w:sz w:val="28"/>
          <w:szCs w:val="28"/>
        </w:rPr>
        <w:t>at least</w:t>
      </w:r>
      <w:r w:rsidR="00993094">
        <w:rPr>
          <w:sz w:val="28"/>
          <w:szCs w:val="28"/>
        </w:rPr>
        <w:t xml:space="preserve"> </w:t>
      </w:r>
      <w:r w:rsidR="00C877DB">
        <w:rPr>
          <w:sz w:val="28"/>
          <w:szCs w:val="28"/>
        </w:rPr>
        <w:t xml:space="preserve">3% by 2020. </w:t>
      </w:r>
      <w:r w:rsidR="00BB507A">
        <w:rPr>
          <w:sz w:val="28"/>
          <w:szCs w:val="28"/>
        </w:rPr>
        <w:t>In addition to providing more opportunities in the private sector, i</w:t>
      </w:r>
      <w:r w:rsidR="00E55CEC">
        <w:rPr>
          <w:sz w:val="28"/>
          <w:szCs w:val="28"/>
        </w:rPr>
        <w:t xml:space="preserve">t is </w:t>
      </w:r>
      <w:r w:rsidR="00E24D54">
        <w:rPr>
          <w:sz w:val="28"/>
          <w:szCs w:val="28"/>
        </w:rPr>
        <w:t>likewise</w:t>
      </w:r>
      <w:r w:rsidR="00E55CEC">
        <w:rPr>
          <w:sz w:val="28"/>
          <w:szCs w:val="28"/>
        </w:rPr>
        <w:t xml:space="preserve"> </w:t>
      </w:r>
      <w:r w:rsidR="00926B80">
        <w:rPr>
          <w:sz w:val="28"/>
          <w:szCs w:val="28"/>
        </w:rPr>
        <w:t>important</w:t>
      </w:r>
      <w:r w:rsidR="00E55CEC">
        <w:rPr>
          <w:sz w:val="28"/>
          <w:szCs w:val="28"/>
        </w:rPr>
        <w:t xml:space="preserve"> to </w:t>
      </w:r>
      <w:r w:rsidR="00767883">
        <w:rPr>
          <w:sz w:val="28"/>
          <w:szCs w:val="28"/>
        </w:rPr>
        <w:t xml:space="preserve">prevent the practice of employing under qualified Omanis for the sake of achieving the </w:t>
      </w:r>
      <w:r w:rsidR="00767883">
        <w:rPr>
          <w:i/>
          <w:sz w:val="28"/>
          <w:szCs w:val="28"/>
        </w:rPr>
        <w:t xml:space="preserve">Omanization </w:t>
      </w:r>
      <w:r w:rsidR="00BB507A">
        <w:rPr>
          <w:sz w:val="28"/>
          <w:szCs w:val="28"/>
        </w:rPr>
        <w:t>percentage</w:t>
      </w:r>
      <w:r w:rsidR="00AA544E">
        <w:rPr>
          <w:sz w:val="28"/>
          <w:szCs w:val="28"/>
        </w:rPr>
        <w:t xml:space="preserve"> which causes </w:t>
      </w:r>
      <w:r w:rsidR="00AC254A">
        <w:rPr>
          <w:sz w:val="28"/>
          <w:szCs w:val="28"/>
        </w:rPr>
        <w:t>companies</w:t>
      </w:r>
      <w:r w:rsidR="00AA544E">
        <w:rPr>
          <w:sz w:val="28"/>
          <w:szCs w:val="28"/>
        </w:rPr>
        <w:t xml:space="preserve"> losses</w:t>
      </w:r>
      <w:r w:rsidR="00680258">
        <w:rPr>
          <w:sz w:val="28"/>
          <w:szCs w:val="28"/>
        </w:rPr>
        <w:t xml:space="preserve"> as</w:t>
      </w:r>
      <w:r w:rsidR="00AA544E">
        <w:rPr>
          <w:sz w:val="28"/>
          <w:szCs w:val="28"/>
        </w:rPr>
        <w:t xml:space="preserve"> well as</w:t>
      </w:r>
      <w:r w:rsidR="00680258">
        <w:rPr>
          <w:sz w:val="28"/>
          <w:szCs w:val="28"/>
        </w:rPr>
        <w:t xml:space="preserve"> harm the economy and labor market in the long run. </w:t>
      </w:r>
    </w:p>
    <w:p w14:paraId="1A6FA489" w14:textId="77777777" w:rsidR="00657356" w:rsidRDefault="00657356">
      <w:pPr>
        <w:rPr>
          <w:sz w:val="28"/>
          <w:szCs w:val="28"/>
        </w:rPr>
      </w:pPr>
    </w:p>
    <w:p w14:paraId="2FF00B81" w14:textId="71A1F4B3" w:rsidR="001C3DF9" w:rsidRDefault="001C3DF9">
      <w:pPr>
        <w:rPr>
          <w:sz w:val="28"/>
          <w:szCs w:val="28"/>
        </w:rPr>
      </w:pPr>
      <w:r>
        <w:rPr>
          <w:sz w:val="28"/>
          <w:szCs w:val="28"/>
        </w:rPr>
        <w:t xml:space="preserve">Currently, the Sultanate is encouraging the private sector to invest in new projects in order to reduce reliance on oil revenue, which will accordingly create more job opportunities. However a big portion of jobs created will account for construction workers who are typically expats. This will make it tougher for firms to meet their </w:t>
      </w:r>
      <w:r>
        <w:rPr>
          <w:i/>
          <w:sz w:val="28"/>
          <w:szCs w:val="28"/>
        </w:rPr>
        <w:t>Omanization</w:t>
      </w:r>
      <w:r>
        <w:rPr>
          <w:sz w:val="28"/>
          <w:szCs w:val="28"/>
        </w:rPr>
        <w:t xml:space="preserve"> targets and further encourage the recruitment of under qualified </w:t>
      </w:r>
      <w:r w:rsidR="00051BB5">
        <w:rPr>
          <w:sz w:val="28"/>
          <w:szCs w:val="28"/>
        </w:rPr>
        <w:t>nationals</w:t>
      </w:r>
      <w:r>
        <w:rPr>
          <w:sz w:val="28"/>
          <w:szCs w:val="28"/>
        </w:rPr>
        <w:t xml:space="preserve">. Or, in extreme cases, firms will hire </w:t>
      </w:r>
      <w:r w:rsidR="00051BB5">
        <w:rPr>
          <w:sz w:val="28"/>
          <w:szCs w:val="28"/>
        </w:rPr>
        <w:t>nationals</w:t>
      </w:r>
      <w:r>
        <w:rPr>
          <w:sz w:val="28"/>
          <w:szCs w:val="28"/>
        </w:rPr>
        <w:t xml:space="preserve"> to simply turn up and register their names daily. </w:t>
      </w:r>
    </w:p>
    <w:p w14:paraId="26F61295" w14:textId="77777777" w:rsidR="001C3DF9" w:rsidRDefault="001C3DF9">
      <w:pPr>
        <w:rPr>
          <w:sz w:val="28"/>
          <w:szCs w:val="28"/>
        </w:rPr>
      </w:pPr>
    </w:p>
    <w:p w14:paraId="56060149" w14:textId="699E5B25" w:rsidR="00B050C7" w:rsidRDefault="00E743D8">
      <w:pPr>
        <w:rPr>
          <w:sz w:val="28"/>
          <w:szCs w:val="28"/>
        </w:rPr>
      </w:pPr>
      <w:r>
        <w:rPr>
          <w:sz w:val="28"/>
          <w:szCs w:val="28"/>
        </w:rPr>
        <w:t xml:space="preserve">One way to overcome the issue of hiring under qualified </w:t>
      </w:r>
      <w:r w:rsidR="00051BB5">
        <w:rPr>
          <w:sz w:val="28"/>
          <w:szCs w:val="28"/>
        </w:rPr>
        <w:t>nationals</w:t>
      </w:r>
      <w:r>
        <w:rPr>
          <w:sz w:val="28"/>
          <w:szCs w:val="28"/>
        </w:rPr>
        <w:t xml:space="preserve"> just to meet the </w:t>
      </w:r>
      <w:r>
        <w:rPr>
          <w:i/>
          <w:sz w:val="28"/>
          <w:szCs w:val="28"/>
        </w:rPr>
        <w:t xml:space="preserve">Omanization </w:t>
      </w:r>
      <w:r>
        <w:rPr>
          <w:sz w:val="28"/>
          <w:szCs w:val="28"/>
        </w:rPr>
        <w:t>quota is to ensure employees go through a period of training before they ar</w:t>
      </w:r>
      <w:r w:rsidR="00DC40BE">
        <w:rPr>
          <w:sz w:val="28"/>
          <w:szCs w:val="28"/>
        </w:rPr>
        <w:t xml:space="preserve">e employed full time. This assures that </w:t>
      </w:r>
      <w:r w:rsidR="00051BB5">
        <w:rPr>
          <w:sz w:val="28"/>
          <w:szCs w:val="28"/>
        </w:rPr>
        <w:t>nationals</w:t>
      </w:r>
      <w:r w:rsidR="00DC40BE">
        <w:rPr>
          <w:sz w:val="28"/>
          <w:szCs w:val="28"/>
        </w:rPr>
        <w:t xml:space="preserve"> employed have skilled jobs and </w:t>
      </w:r>
      <w:r w:rsidR="005074B5">
        <w:rPr>
          <w:sz w:val="28"/>
          <w:szCs w:val="28"/>
        </w:rPr>
        <w:t xml:space="preserve">greater mobility to </w:t>
      </w:r>
      <w:r w:rsidR="006A7398">
        <w:rPr>
          <w:sz w:val="28"/>
          <w:szCs w:val="28"/>
        </w:rPr>
        <w:t>shift</w:t>
      </w:r>
      <w:r w:rsidR="005074B5">
        <w:rPr>
          <w:sz w:val="28"/>
          <w:szCs w:val="28"/>
        </w:rPr>
        <w:t xml:space="preserve"> to </w:t>
      </w:r>
      <w:r w:rsidR="006A7398">
        <w:rPr>
          <w:sz w:val="28"/>
          <w:szCs w:val="28"/>
        </w:rPr>
        <w:t>other</w:t>
      </w:r>
      <w:r w:rsidR="005074B5">
        <w:rPr>
          <w:sz w:val="28"/>
          <w:szCs w:val="28"/>
        </w:rPr>
        <w:t xml:space="preserve"> jobs in the </w:t>
      </w:r>
      <w:r w:rsidR="00CA6A43">
        <w:rPr>
          <w:sz w:val="28"/>
          <w:szCs w:val="28"/>
        </w:rPr>
        <w:t>future, as they will be more competent</w:t>
      </w:r>
      <w:r w:rsidR="005074B5">
        <w:rPr>
          <w:sz w:val="28"/>
          <w:szCs w:val="28"/>
        </w:rPr>
        <w:t xml:space="preserve">. </w:t>
      </w:r>
      <w:r w:rsidR="00B050C7">
        <w:rPr>
          <w:sz w:val="28"/>
          <w:szCs w:val="28"/>
        </w:rPr>
        <w:t xml:space="preserve">For example, </w:t>
      </w:r>
      <w:r w:rsidR="007E58CE">
        <w:rPr>
          <w:sz w:val="28"/>
          <w:szCs w:val="28"/>
        </w:rPr>
        <w:t>a company</w:t>
      </w:r>
      <w:r w:rsidR="006150EE">
        <w:rPr>
          <w:sz w:val="28"/>
          <w:szCs w:val="28"/>
        </w:rPr>
        <w:t xml:space="preserve"> could hire an employee with minimum wage during the training period and then offer a full time job with a higher salary. </w:t>
      </w:r>
      <w:r w:rsidR="00A97C64">
        <w:rPr>
          <w:sz w:val="28"/>
          <w:szCs w:val="28"/>
        </w:rPr>
        <w:t xml:space="preserve">As a way of encouragement, employees </w:t>
      </w:r>
      <w:r w:rsidR="00B445AC">
        <w:rPr>
          <w:sz w:val="28"/>
          <w:szCs w:val="28"/>
        </w:rPr>
        <w:t>who</w:t>
      </w:r>
      <w:r w:rsidR="00A97C64">
        <w:rPr>
          <w:sz w:val="28"/>
          <w:szCs w:val="28"/>
        </w:rPr>
        <w:t xml:space="preserve"> perform better during the training period could receive a higher salary or more benefits</w:t>
      </w:r>
      <w:r w:rsidR="009A2B5D">
        <w:rPr>
          <w:sz w:val="28"/>
          <w:szCs w:val="28"/>
        </w:rPr>
        <w:t xml:space="preserve"> when employed full time</w:t>
      </w:r>
      <w:r w:rsidR="00A97C64">
        <w:rPr>
          <w:sz w:val="28"/>
          <w:szCs w:val="28"/>
        </w:rPr>
        <w:t xml:space="preserve">. </w:t>
      </w:r>
    </w:p>
    <w:p w14:paraId="27EDB7AB" w14:textId="77777777" w:rsidR="002D0596" w:rsidRDefault="002D0596" w:rsidP="00A22959">
      <w:pPr>
        <w:rPr>
          <w:sz w:val="28"/>
          <w:szCs w:val="28"/>
        </w:rPr>
      </w:pPr>
    </w:p>
    <w:p w14:paraId="3AEC0EEE" w14:textId="3962FD0E" w:rsidR="005F711D" w:rsidRDefault="00BF4B61" w:rsidP="00A22959">
      <w:pPr>
        <w:rPr>
          <w:sz w:val="28"/>
          <w:szCs w:val="28"/>
        </w:rPr>
      </w:pPr>
      <w:r>
        <w:rPr>
          <w:sz w:val="28"/>
          <w:szCs w:val="28"/>
        </w:rPr>
        <w:t xml:space="preserve">An excess supply of labor due to a large number of new entrants to the job market coupled with increasing government debt owing to the </w:t>
      </w:r>
      <w:r w:rsidR="00B23A1A">
        <w:rPr>
          <w:sz w:val="28"/>
          <w:szCs w:val="28"/>
        </w:rPr>
        <w:t>budget</w:t>
      </w:r>
      <w:r>
        <w:rPr>
          <w:sz w:val="28"/>
          <w:szCs w:val="28"/>
        </w:rPr>
        <w:t xml:space="preserve"> deficit will limit the availability of public sector jobs in the </w:t>
      </w:r>
      <w:r w:rsidR="007636BE">
        <w:rPr>
          <w:sz w:val="28"/>
          <w:szCs w:val="28"/>
        </w:rPr>
        <w:t xml:space="preserve">coming years. </w:t>
      </w:r>
      <w:r w:rsidR="00393186">
        <w:rPr>
          <w:sz w:val="28"/>
          <w:szCs w:val="28"/>
        </w:rPr>
        <w:t xml:space="preserve">Therefore, the </w:t>
      </w:r>
      <w:r w:rsidR="00393186">
        <w:rPr>
          <w:i/>
          <w:sz w:val="28"/>
          <w:szCs w:val="28"/>
        </w:rPr>
        <w:t xml:space="preserve">Omanization </w:t>
      </w:r>
      <w:r w:rsidR="00393186">
        <w:rPr>
          <w:sz w:val="28"/>
          <w:szCs w:val="28"/>
        </w:rPr>
        <w:t xml:space="preserve">policy must be reformed to </w:t>
      </w:r>
      <w:r w:rsidR="00063246">
        <w:rPr>
          <w:sz w:val="28"/>
          <w:szCs w:val="28"/>
        </w:rPr>
        <w:t>generate</w:t>
      </w:r>
      <w:r w:rsidR="00393186">
        <w:rPr>
          <w:sz w:val="28"/>
          <w:szCs w:val="28"/>
        </w:rPr>
        <w:t xml:space="preserve"> </w:t>
      </w:r>
      <w:r w:rsidR="00063246">
        <w:rPr>
          <w:sz w:val="28"/>
          <w:szCs w:val="28"/>
        </w:rPr>
        <w:t>additional high-paying pri</w:t>
      </w:r>
      <w:r w:rsidR="001F54AF">
        <w:rPr>
          <w:sz w:val="28"/>
          <w:szCs w:val="28"/>
        </w:rPr>
        <w:t>vate sector jobs to make up fo</w:t>
      </w:r>
      <w:r w:rsidR="003525E2">
        <w:rPr>
          <w:sz w:val="28"/>
          <w:szCs w:val="28"/>
        </w:rPr>
        <w:t xml:space="preserve">r the decline in public sector jobs. </w:t>
      </w:r>
      <w:r w:rsidR="004B6B8E">
        <w:rPr>
          <w:sz w:val="28"/>
          <w:szCs w:val="28"/>
        </w:rPr>
        <w:t>Dividing the quota of local workers based on the job</w:t>
      </w:r>
      <w:r w:rsidR="00F46F6F">
        <w:rPr>
          <w:sz w:val="28"/>
          <w:szCs w:val="28"/>
        </w:rPr>
        <w:t xml:space="preserve"> level instead of having one </w:t>
      </w:r>
      <w:r w:rsidR="002C37EA">
        <w:rPr>
          <w:sz w:val="28"/>
          <w:szCs w:val="28"/>
        </w:rPr>
        <w:t xml:space="preserve">fixed </w:t>
      </w:r>
      <w:r w:rsidR="00F46F6F">
        <w:rPr>
          <w:sz w:val="28"/>
          <w:szCs w:val="28"/>
        </w:rPr>
        <w:t xml:space="preserve">quota </w:t>
      </w:r>
      <w:r w:rsidR="005D2DC9">
        <w:rPr>
          <w:sz w:val="28"/>
          <w:szCs w:val="28"/>
        </w:rPr>
        <w:t>for all job types</w:t>
      </w:r>
      <w:r w:rsidR="002C37EA">
        <w:rPr>
          <w:sz w:val="28"/>
          <w:szCs w:val="28"/>
        </w:rPr>
        <w:t xml:space="preserve"> can be used to ensure Omanis have </w:t>
      </w:r>
      <w:r w:rsidR="001A2FB8">
        <w:rPr>
          <w:sz w:val="28"/>
          <w:szCs w:val="28"/>
        </w:rPr>
        <w:t xml:space="preserve">more opportunities for </w:t>
      </w:r>
      <w:r w:rsidR="002C37EA">
        <w:rPr>
          <w:sz w:val="28"/>
          <w:szCs w:val="28"/>
        </w:rPr>
        <w:t>higher skilled and better paying jobs</w:t>
      </w:r>
      <w:r w:rsidR="005D2DC9">
        <w:rPr>
          <w:sz w:val="28"/>
          <w:szCs w:val="28"/>
        </w:rPr>
        <w:t xml:space="preserve">. </w:t>
      </w:r>
      <w:r w:rsidR="001A0FB6">
        <w:rPr>
          <w:sz w:val="28"/>
          <w:szCs w:val="28"/>
        </w:rPr>
        <w:t xml:space="preserve">For instance, a </w:t>
      </w:r>
      <w:r w:rsidR="001A2FB8">
        <w:rPr>
          <w:sz w:val="28"/>
          <w:szCs w:val="28"/>
        </w:rPr>
        <w:t xml:space="preserve">large </w:t>
      </w:r>
      <w:r w:rsidR="001A0FB6">
        <w:rPr>
          <w:sz w:val="28"/>
          <w:szCs w:val="28"/>
        </w:rPr>
        <w:t xml:space="preserve">private company will be required </w:t>
      </w:r>
      <w:r w:rsidR="00AF067F">
        <w:rPr>
          <w:sz w:val="28"/>
          <w:szCs w:val="28"/>
        </w:rPr>
        <w:t xml:space="preserve">to have </w:t>
      </w:r>
      <w:r w:rsidR="004C2EB5">
        <w:rPr>
          <w:sz w:val="28"/>
          <w:szCs w:val="28"/>
        </w:rPr>
        <w:t>65</w:t>
      </w:r>
      <w:r w:rsidR="00AF067F">
        <w:rPr>
          <w:sz w:val="28"/>
          <w:szCs w:val="28"/>
        </w:rPr>
        <w:t xml:space="preserve">% of senior level employees to be </w:t>
      </w:r>
      <w:r w:rsidR="00A60055">
        <w:rPr>
          <w:sz w:val="28"/>
          <w:szCs w:val="28"/>
        </w:rPr>
        <w:t>Omanis</w:t>
      </w:r>
      <w:r w:rsidR="00AF067F">
        <w:rPr>
          <w:sz w:val="28"/>
          <w:szCs w:val="28"/>
        </w:rPr>
        <w:t xml:space="preserve">, </w:t>
      </w:r>
      <w:r w:rsidR="004C2EB5">
        <w:rPr>
          <w:sz w:val="28"/>
          <w:szCs w:val="28"/>
        </w:rPr>
        <w:t>55% in middle level jobs and 45</w:t>
      </w:r>
      <w:r w:rsidR="00AF067F">
        <w:rPr>
          <w:sz w:val="28"/>
          <w:szCs w:val="28"/>
        </w:rPr>
        <w:t xml:space="preserve">% in lower level jobs. </w:t>
      </w:r>
      <w:r w:rsidR="00B445AC">
        <w:rPr>
          <w:sz w:val="28"/>
          <w:szCs w:val="28"/>
        </w:rPr>
        <w:t>Nonetheless, t</w:t>
      </w:r>
      <w:r w:rsidR="00682B9B">
        <w:rPr>
          <w:sz w:val="28"/>
          <w:szCs w:val="28"/>
        </w:rPr>
        <w:t xml:space="preserve">his approach </w:t>
      </w:r>
      <w:r w:rsidR="00112B91">
        <w:rPr>
          <w:sz w:val="28"/>
          <w:szCs w:val="28"/>
        </w:rPr>
        <w:t xml:space="preserve">necessitates a greater analysis of how it could be implemented, monitored and if it </w:t>
      </w:r>
      <w:r w:rsidR="002C4CA4">
        <w:rPr>
          <w:sz w:val="28"/>
          <w:szCs w:val="28"/>
        </w:rPr>
        <w:t>should be imposed to only certain companies</w:t>
      </w:r>
      <w:r w:rsidR="00112B91">
        <w:rPr>
          <w:sz w:val="28"/>
          <w:szCs w:val="28"/>
        </w:rPr>
        <w:t xml:space="preserve"> depending on size and sector. </w:t>
      </w:r>
    </w:p>
    <w:p w14:paraId="70D379C0" w14:textId="77777777" w:rsidR="001F54AF" w:rsidRDefault="001F54AF" w:rsidP="00A22959">
      <w:pPr>
        <w:rPr>
          <w:sz w:val="28"/>
          <w:szCs w:val="28"/>
        </w:rPr>
      </w:pPr>
    </w:p>
    <w:p w14:paraId="266F01CC" w14:textId="4A557D5F" w:rsidR="00424B0E" w:rsidRDefault="00E52B43" w:rsidP="00A22959">
      <w:pPr>
        <w:rPr>
          <w:sz w:val="28"/>
          <w:szCs w:val="28"/>
        </w:rPr>
      </w:pPr>
      <w:r>
        <w:rPr>
          <w:sz w:val="28"/>
          <w:szCs w:val="28"/>
        </w:rPr>
        <w:t xml:space="preserve">Ultimately, </w:t>
      </w:r>
      <w:r w:rsidR="002831BC">
        <w:rPr>
          <w:sz w:val="28"/>
          <w:szCs w:val="28"/>
        </w:rPr>
        <w:t xml:space="preserve">any intervention </w:t>
      </w:r>
      <w:r w:rsidR="00893AE4">
        <w:rPr>
          <w:sz w:val="28"/>
          <w:szCs w:val="28"/>
        </w:rPr>
        <w:t>in</w:t>
      </w:r>
      <w:r w:rsidR="002831BC">
        <w:rPr>
          <w:sz w:val="28"/>
          <w:szCs w:val="28"/>
        </w:rPr>
        <w:t xml:space="preserve"> the way firms manage their human resources whether by setting quotas, subsidizing the recruitment of </w:t>
      </w:r>
      <w:r w:rsidR="00051BB5">
        <w:rPr>
          <w:sz w:val="28"/>
          <w:szCs w:val="28"/>
        </w:rPr>
        <w:t>nationals</w:t>
      </w:r>
      <w:r w:rsidR="002831BC">
        <w:rPr>
          <w:sz w:val="28"/>
          <w:szCs w:val="28"/>
        </w:rPr>
        <w:t xml:space="preserve"> or imposing fees on exp</w:t>
      </w:r>
      <w:r w:rsidR="000058F3">
        <w:rPr>
          <w:sz w:val="28"/>
          <w:szCs w:val="28"/>
        </w:rPr>
        <w:t xml:space="preserve">ats will lead to distortions, deadweight losses and evasion. </w:t>
      </w:r>
      <w:r w:rsidR="002075EB">
        <w:rPr>
          <w:sz w:val="28"/>
          <w:szCs w:val="28"/>
        </w:rPr>
        <w:t xml:space="preserve">Prominently, </w:t>
      </w:r>
      <w:r w:rsidR="00424B0E">
        <w:rPr>
          <w:sz w:val="28"/>
          <w:szCs w:val="28"/>
        </w:rPr>
        <w:t xml:space="preserve">the government must decide on a policy that will not only favor nationals over expats but to have a </w:t>
      </w:r>
      <w:r w:rsidR="00FF7662">
        <w:rPr>
          <w:sz w:val="28"/>
          <w:szCs w:val="28"/>
        </w:rPr>
        <w:t>longer-term strategy</w:t>
      </w:r>
      <w:r w:rsidR="00424B0E">
        <w:rPr>
          <w:sz w:val="28"/>
          <w:szCs w:val="28"/>
        </w:rPr>
        <w:t xml:space="preserve"> of how this policy will affect economic diversification. </w:t>
      </w:r>
      <w:r w:rsidR="00BE5B93">
        <w:rPr>
          <w:sz w:val="28"/>
          <w:szCs w:val="28"/>
        </w:rPr>
        <w:t xml:space="preserve">Developing the skills of Omanis through investments in education and training to provide them with higher skilled job opportunities is a </w:t>
      </w:r>
      <w:r w:rsidR="00382137">
        <w:rPr>
          <w:sz w:val="28"/>
          <w:szCs w:val="28"/>
        </w:rPr>
        <w:t>long-term</w:t>
      </w:r>
      <w:r w:rsidR="00BE5B93">
        <w:rPr>
          <w:sz w:val="28"/>
          <w:szCs w:val="28"/>
        </w:rPr>
        <w:t xml:space="preserve"> strategy, but t</w:t>
      </w:r>
      <w:r w:rsidR="00BF4214">
        <w:rPr>
          <w:sz w:val="28"/>
          <w:szCs w:val="28"/>
        </w:rPr>
        <w:t xml:space="preserve">aking advantage of </w:t>
      </w:r>
      <w:r w:rsidR="00893AE4">
        <w:rPr>
          <w:sz w:val="28"/>
          <w:szCs w:val="28"/>
        </w:rPr>
        <w:t>low-cost</w:t>
      </w:r>
      <w:r w:rsidR="00BF4214">
        <w:rPr>
          <w:sz w:val="28"/>
          <w:szCs w:val="28"/>
        </w:rPr>
        <w:t xml:space="preserve"> foreign labor to increase the competitiveness of the non-oil sector </w:t>
      </w:r>
      <w:r w:rsidR="00BE5B93">
        <w:rPr>
          <w:sz w:val="28"/>
          <w:szCs w:val="28"/>
        </w:rPr>
        <w:t xml:space="preserve">will have </w:t>
      </w:r>
      <w:r w:rsidR="00382137">
        <w:rPr>
          <w:sz w:val="28"/>
          <w:szCs w:val="28"/>
        </w:rPr>
        <w:t xml:space="preserve">more effect in the short to medium term. </w:t>
      </w:r>
      <w:r w:rsidR="002640CD">
        <w:rPr>
          <w:sz w:val="28"/>
          <w:szCs w:val="28"/>
        </w:rPr>
        <w:t xml:space="preserve">It is worth examining the implementation of both options </w:t>
      </w:r>
      <w:r w:rsidR="003D6373">
        <w:rPr>
          <w:sz w:val="28"/>
          <w:szCs w:val="28"/>
        </w:rPr>
        <w:t>to achieve economic diversification whilst</w:t>
      </w:r>
      <w:r w:rsidR="009917D4">
        <w:rPr>
          <w:sz w:val="28"/>
          <w:szCs w:val="28"/>
        </w:rPr>
        <w:t xml:space="preserve"> also developing human capital in the long term. </w:t>
      </w:r>
    </w:p>
    <w:p w14:paraId="48B00720" w14:textId="77777777" w:rsidR="00424B0E" w:rsidRDefault="00424B0E" w:rsidP="00A22959">
      <w:pPr>
        <w:rPr>
          <w:sz w:val="28"/>
          <w:szCs w:val="28"/>
        </w:rPr>
      </w:pPr>
    </w:p>
    <w:p w14:paraId="2F91687D" w14:textId="77777777" w:rsidR="00372A69" w:rsidRDefault="00372A69" w:rsidP="00A22959">
      <w:pPr>
        <w:rPr>
          <w:sz w:val="28"/>
          <w:szCs w:val="28"/>
        </w:rPr>
      </w:pPr>
      <w:bookmarkStart w:id="0" w:name="_GoBack"/>
      <w:bookmarkEnd w:id="0"/>
    </w:p>
    <w:p w14:paraId="7862621E" w14:textId="77777777" w:rsidR="00372A69" w:rsidRDefault="00372A69" w:rsidP="00A22959">
      <w:pPr>
        <w:rPr>
          <w:sz w:val="28"/>
          <w:szCs w:val="28"/>
        </w:rPr>
      </w:pPr>
    </w:p>
    <w:p w14:paraId="715B0983" w14:textId="77777777" w:rsidR="00372A69" w:rsidRDefault="00372A69" w:rsidP="00A22959">
      <w:pPr>
        <w:rPr>
          <w:sz w:val="28"/>
          <w:szCs w:val="28"/>
        </w:rPr>
      </w:pPr>
    </w:p>
    <w:p w14:paraId="4C88E717" w14:textId="77777777" w:rsidR="00372A69" w:rsidRDefault="00372A69" w:rsidP="00A22959">
      <w:pPr>
        <w:rPr>
          <w:sz w:val="28"/>
          <w:szCs w:val="28"/>
        </w:rPr>
      </w:pPr>
    </w:p>
    <w:p w14:paraId="3B164AFA" w14:textId="77777777" w:rsidR="00372A69" w:rsidRDefault="00372A69" w:rsidP="00A22959">
      <w:pPr>
        <w:rPr>
          <w:sz w:val="28"/>
          <w:szCs w:val="28"/>
        </w:rPr>
      </w:pPr>
    </w:p>
    <w:p w14:paraId="614728B1" w14:textId="77777777" w:rsidR="00372A69" w:rsidRDefault="00372A69" w:rsidP="00A22959">
      <w:pPr>
        <w:rPr>
          <w:sz w:val="28"/>
          <w:szCs w:val="28"/>
        </w:rPr>
      </w:pPr>
    </w:p>
    <w:p w14:paraId="01F10045" w14:textId="77777777" w:rsidR="00372A69" w:rsidRDefault="00372A69" w:rsidP="00A22959">
      <w:pPr>
        <w:rPr>
          <w:sz w:val="28"/>
          <w:szCs w:val="28"/>
        </w:rPr>
      </w:pPr>
    </w:p>
    <w:p w14:paraId="15A4151C" w14:textId="77777777" w:rsidR="00372A69" w:rsidRDefault="00372A69" w:rsidP="00A22959">
      <w:pPr>
        <w:rPr>
          <w:sz w:val="28"/>
          <w:szCs w:val="28"/>
        </w:rPr>
      </w:pPr>
    </w:p>
    <w:p w14:paraId="52CA95EF" w14:textId="77777777" w:rsidR="00372A69" w:rsidRDefault="00372A69" w:rsidP="00A22959">
      <w:pPr>
        <w:rPr>
          <w:sz w:val="28"/>
          <w:szCs w:val="28"/>
        </w:rPr>
      </w:pPr>
    </w:p>
    <w:p w14:paraId="40E6DC99" w14:textId="77777777" w:rsidR="00372A69" w:rsidRDefault="00372A69" w:rsidP="00A22959">
      <w:pPr>
        <w:rPr>
          <w:sz w:val="28"/>
          <w:szCs w:val="28"/>
        </w:rPr>
      </w:pPr>
    </w:p>
    <w:p w14:paraId="73A9AD33" w14:textId="77777777" w:rsidR="00372A69" w:rsidRDefault="00372A69" w:rsidP="00A22959">
      <w:pPr>
        <w:rPr>
          <w:sz w:val="28"/>
          <w:szCs w:val="28"/>
        </w:rPr>
      </w:pPr>
    </w:p>
    <w:p w14:paraId="4F6672A4" w14:textId="77777777" w:rsidR="00372A69" w:rsidRDefault="00372A69" w:rsidP="00A22959">
      <w:pPr>
        <w:rPr>
          <w:sz w:val="28"/>
          <w:szCs w:val="28"/>
        </w:rPr>
      </w:pPr>
    </w:p>
    <w:p w14:paraId="2848D3D3" w14:textId="77777777" w:rsidR="00372A69" w:rsidRDefault="00372A69" w:rsidP="00A22959">
      <w:pPr>
        <w:rPr>
          <w:sz w:val="28"/>
          <w:szCs w:val="28"/>
        </w:rPr>
      </w:pPr>
    </w:p>
    <w:p w14:paraId="441229CE" w14:textId="77777777" w:rsidR="003904B0" w:rsidRPr="003904B0" w:rsidRDefault="003904B0" w:rsidP="003904B0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904B0">
        <w:rPr>
          <w:rFonts w:ascii="Times New Roman" w:eastAsia="Times New Roman" w:hAnsi="Times New Roman" w:cs="Times New Roman"/>
          <w:color w:val="000000"/>
          <w:sz w:val="36"/>
          <w:szCs w:val="36"/>
        </w:rPr>
        <w:t>References</w:t>
      </w:r>
    </w:p>
    <w:p w14:paraId="07DAA0FA" w14:textId="77777777" w:rsidR="003904B0" w:rsidRPr="0038006A" w:rsidRDefault="003904B0" w:rsidP="003904B0">
      <w:pPr>
        <w:shd w:val="clear" w:color="auto" w:fill="FFFFFF"/>
        <w:spacing w:after="180"/>
        <w:ind w:left="450" w:hanging="450"/>
        <w:rPr>
          <w:rFonts w:ascii="Times New Roman" w:hAnsi="Times New Roman" w:cs="Times New Roman"/>
          <w:color w:val="000000"/>
          <w:sz w:val="22"/>
          <w:szCs w:val="20"/>
        </w:rPr>
      </w:pPr>
      <w:proofErr w:type="gramStart"/>
      <w:r w:rsidRPr="0038006A">
        <w:rPr>
          <w:rFonts w:ascii="Times New Roman" w:hAnsi="Times New Roman" w:cs="Times New Roman"/>
          <w:color w:val="000000"/>
          <w:sz w:val="22"/>
          <w:szCs w:val="20"/>
        </w:rPr>
        <w:t>Eprints.lse.ac.uk. (2011).</w:t>
      </w:r>
      <w:proofErr w:type="gramEnd"/>
      <w:r w:rsidRPr="0038006A">
        <w:rPr>
          <w:rFonts w:ascii="Times New Roman" w:hAnsi="Times New Roman" w:cs="Times New Roman"/>
          <w:color w:val="000000"/>
          <w:sz w:val="22"/>
          <w:szCs w:val="20"/>
        </w:rPr>
        <w:t> </w:t>
      </w:r>
      <w:r w:rsidRPr="0038006A">
        <w:rPr>
          <w:rFonts w:ascii="Times New Roman" w:hAnsi="Times New Roman" w:cs="Times New Roman"/>
          <w:i/>
          <w:iCs/>
          <w:color w:val="000000"/>
          <w:sz w:val="22"/>
          <w:szCs w:val="20"/>
        </w:rPr>
        <w:t>Labour immigration and labour markets in the GCC countries: national patterns and trends - LSE Research Online</w:t>
      </w:r>
      <w:r w:rsidRPr="0038006A">
        <w:rPr>
          <w:rFonts w:ascii="Times New Roman" w:hAnsi="Times New Roman" w:cs="Times New Roman"/>
          <w:color w:val="000000"/>
          <w:sz w:val="22"/>
          <w:szCs w:val="20"/>
        </w:rPr>
        <w:t>. [</w:t>
      </w:r>
      <w:proofErr w:type="gramStart"/>
      <w:r w:rsidRPr="0038006A">
        <w:rPr>
          <w:rFonts w:ascii="Times New Roman" w:hAnsi="Times New Roman" w:cs="Times New Roman"/>
          <w:color w:val="000000"/>
          <w:sz w:val="22"/>
          <w:szCs w:val="20"/>
        </w:rPr>
        <w:t>online</w:t>
      </w:r>
      <w:proofErr w:type="gramEnd"/>
      <w:r w:rsidRPr="0038006A">
        <w:rPr>
          <w:rFonts w:ascii="Times New Roman" w:hAnsi="Times New Roman" w:cs="Times New Roman"/>
          <w:color w:val="000000"/>
          <w:sz w:val="22"/>
          <w:szCs w:val="20"/>
        </w:rPr>
        <w:t>] Available at: http://eprints.lse.ac.uk/55239/ [Accessed 6 Aug. 2017].</w:t>
      </w:r>
    </w:p>
    <w:p w14:paraId="695E41D4" w14:textId="77777777" w:rsidR="003904B0" w:rsidRPr="0038006A" w:rsidRDefault="003904B0" w:rsidP="003904B0">
      <w:pPr>
        <w:shd w:val="clear" w:color="auto" w:fill="FFFFFF"/>
        <w:spacing w:after="180"/>
        <w:ind w:left="450" w:hanging="450"/>
        <w:rPr>
          <w:rFonts w:ascii="Times New Roman" w:hAnsi="Times New Roman" w:cs="Times New Roman"/>
          <w:color w:val="000000"/>
          <w:sz w:val="22"/>
          <w:szCs w:val="20"/>
        </w:rPr>
      </w:pPr>
      <w:proofErr w:type="gramStart"/>
      <w:r w:rsidRPr="0038006A">
        <w:rPr>
          <w:rFonts w:ascii="Times New Roman" w:hAnsi="Times New Roman" w:cs="Times New Roman"/>
          <w:color w:val="000000"/>
          <w:sz w:val="22"/>
          <w:szCs w:val="20"/>
        </w:rPr>
        <w:t>Eprints.lse.ac.uk. (2012).</w:t>
      </w:r>
      <w:proofErr w:type="gramEnd"/>
      <w:r w:rsidRPr="0038006A">
        <w:rPr>
          <w:rFonts w:ascii="Times New Roman" w:hAnsi="Times New Roman" w:cs="Times New Roman"/>
          <w:color w:val="000000"/>
          <w:sz w:val="22"/>
          <w:szCs w:val="20"/>
        </w:rPr>
        <w:t> </w:t>
      </w:r>
      <w:proofErr w:type="gramStart"/>
      <w:r w:rsidRPr="0038006A">
        <w:rPr>
          <w:rFonts w:ascii="Times New Roman" w:hAnsi="Times New Roman" w:cs="Times New Roman"/>
          <w:i/>
          <w:iCs/>
          <w:color w:val="000000"/>
          <w:sz w:val="22"/>
          <w:szCs w:val="20"/>
        </w:rPr>
        <w:t>A comparative assessment of labor market nationalization policies in the GCC - LSE Research Online</w:t>
      </w:r>
      <w:r w:rsidRPr="0038006A">
        <w:rPr>
          <w:rFonts w:ascii="Times New Roman" w:hAnsi="Times New Roman" w:cs="Times New Roman"/>
          <w:color w:val="000000"/>
          <w:sz w:val="22"/>
          <w:szCs w:val="20"/>
        </w:rPr>
        <w:t>.</w:t>
      </w:r>
      <w:proofErr w:type="gramEnd"/>
      <w:r w:rsidRPr="0038006A">
        <w:rPr>
          <w:rFonts w:ascii="Times New Roman" w:hAnsi="Times New Roman" w:cs="Times New Roman"/>
          <w:color w:val="000000"/>
          <w:sz w:val="22"/>
          <w:szCs w:val="20"/>
        </w:rPr>
        <w:t xml:space="preserve"> [</w:t>
      </w:r>
      <w:proofErr w:type="gramStart"/>
      <w:r w:rsidRPr="0038006A">
        <w:rPr>
          <w:rFonts w:ascii="Times New Roman" w:hAnsi="Times New Roman" w:cs="Times New Roman"/>
          <w:color w:val="000000"/>
          <w:sz w:val="22"/>
          <w:szCs w:val="20"/>
        </w:rPr>
        <w:t>online</w:t>
      </w:r>
      <w:proofErr w:type="gramEnd"/>
      <w:r w:rsidRPr="0038006A">
        <w:rPr>
          <w:rFonts w:ascii="Times New Roman" w:hAnsi="Times New Roman" w:cs="Times New Roman"/>
          <w:color w:val="000000"/>
          <w:sz w:val="22"/>
          <w:szCs w:val="20"/>
        </w:rPr>
        <w:t>] Available at: http://eprints.lse.ac.uk/46746/ [Accessed 1 Aug. 2017].</w:t>
      </w:r>
    </w:p>
    <w:p w14:paraId="601045E5" w14:textId="77777777" w:rsidR="003904B0" w:rsidRPr="0038006A" w:rsidRDefault="003904B0" w:rsidP="003904B0">
      <w:pPr>
        <w:shd w:val="clear" w:color="auto" w:fill="FFFFFF"/>
        <w:spacing w:after="180"/>
        <w:ind w:left="450" w:hanging="450"/>
        <w:rPr>
          <w:rFonts w:ascii="Times New Roman" w:hAnsi="Times New Roman" w:cs="Times New Roman"/>
          <w:color w:val="000000"/>
          <w:sz w:val="22"/>
          <w:szCs w:val="20"/>
        </w:rPr>
      </w:pPr>
      <w:proofErr w:type="gramStart"/>
      <w:r w:rsidRPr="0038006A">
        <w:rPr>
          <w:rFonts w:ascii="Times New Roman" w:hAnsi="Times New Roman" w:cs="Times New Roman"/>
          <w:color w:val="000000"/>
          <w:sz w:val="22"/>
          <w:szCs w:val="20"/>
        </w:rPr>
        <w:t>HERTOG, S. (2014).</w:t>
      </w:r>
      <w:proofErr w:type="gramEnd"/>
      <w:r w:rsidRPr="0038006A">
        <w:rPr>
          <w:rFonts w:ascii="Times New Roman" w:hAnsi="Times New Roman" w:cs="Times New Roman"/>
          <w:color w:val="000000"/>
          <w:sz w:val="22"/>
          <w:szCs w:val="20"/>
        </w:rPr>
        <w:t> </w:t>
      </w:r>
      <w:r w:rsidRPr="0038006A">
        <w:rPr>
          <w:rFonts w:ascii="Times New Roman" w:hAnsi="Times New Roman" w:cs="Times New Roman"/>
          <w:i/>
          <w:iCs/>
          <w:color w:val="000000"/>
          <w:sz w:val="22"/>
          <w:szCs w:val="20"/>
        </w:rPr>
        <w:t xml:space="preserve">Arab Gulf </w:t>
      </w:r>
      <w:proofErr w:type="gramStart"/>
      <w:r w:rsidRPr="0038006A">
        <w:rPr>
          <w:rFonts w:ascii="Times New Roman" w:hAnsi="Times New Roman" w:cs="Times New Roman"/>
          <w:i/>
          <w:iCs/>
          <w:color w:val="000000"/>
          <w:sz w:val="22"/>
          <w:szCs w:val="20"/>
        </w:rPr>
        <w:t>States :</w:t>
      </w:r>
      <w:proofErr w:type="gramEnd"/>
      <w:r w:rsidRPr="0038006A">
        <w:rPr>
          <w:rFonts w:ascii="Times New Roman" w:hAnsi="Times New Roman" w:cs="Times New Roman"/>
          <w:i/>
          <w:iCs/>
          <w:color w:val="000000"/>
          <w:sz w:val="22"/>
          <w:szCs w:val="20"/>
        </w:rPr>
        <w:t xml:space="preserve"> an assessment of </w:t>
      </w:r>
      <w:proofErr w:type="spellStart"/>
      <w:r w:rsidRPr="0038006A">
        <w:rPr>
          <w:rFonts w:ascii="Times New Roman" w:hAnsi="Times New Roman" w:cs="Times New Roman"/>
          <w:i/>
          <w:iCs/>
          <w:color w:val="000000"/>
          <w:sz w:val="22"/>
          <w:szCs w:val="20"/>
        </w:rPr>
        <w:t>nationalisation</w:t>
      </w:r>
      <w:proofErr w:type="spellEnd"/>
      <w:r w:rsidRPr="0038006A">
        <w:rPr>
          <w:rFonts w:ascii="Times New Roman" w:hAnsi="Times New Roman" w:cs="Times New Roman"/>
          <w:i/>
          <w:iCs/>
          <w:color w:val="000000"/>
          <w:sz w:val="22"/>
          <w:szCs w:val="20"/>
        </w:rPr>
        <w:t xml:space="preserve"> policies</w:t>
      </w:r>
      <w:r w:rsidRPr="0038006A">
        <w:rPr>
          <w:rFonts w:ascii="Times New Roman" w:hAnsi="Times New Roman" w:cs="Times New Roman"/>
          <w:color w:val="000000"/>
          <w:sz w:val="22"/>
          <w:szCs w:val="20"/>
        </w:rPr>
        <w:t>. [</w:t>
      </w:r>
      <w:proofErr w:type="gramStart"/>
      <w:r w:rsidRPr="0038006A">
        <w:rPr>
          <w:rFonts w:ascii="Times New Roman" w:hAnsi="Times New Roman" w:cs="Times New Roman"/>
          <w:color w:val="000000"/>
          <w:sz w:val="22"/>
          <w:szCs w:val="20"/>
        </w:rPr>
        <w:t>online</w:t>
      </w:r>
      <w:proofErr w:type="gramEnd"/>
      <w:r w:rsidRPr="0038006A">
        <w:rPr>
          <w:rFonts w:ascii="Times New Roman" w:hAnsi="Times New Roman" w:cs="Times New Roman"/>
          <w:color w:val="000000"/>
          <w:sz w:val="22"/>
          <w:szCs w:val="20"/>
        </w:rPr>
        <w:t>] Cadmus.eui.eu. Available at: http://cadmus.eui.eu/handle/1814/32156 [Accessed 2 Aug. 2017].</w:t>
      </w:r>
    </w:p>
    <w:p w14:paraId="6B5640E6" w14:textId="77777777" w:rsidR="003904B0" w:rsidRPr="0038006A" w:rsidRDefault="003904B0" w:rsidP="003904B0">
      <w:pPr>
        <w:shd w:val="clear" w:color="auto" w:fill="FFFFFF"/>
        <w:spacing w:after="180"/>
        <w:ind w:left="450" w:hanging="450"/>
        <w:rPr>
          <w:rFonts w:ascii="Times New Roman" w:hAnsi="Times New Roman" w:cs="Times New Roman"/>
          <w:color w:val="000000"/>
          <w:sz w:val="22"/>
          <w:szCs w:val="20"/>
        </w:rPr>
      </w:pPr>
      <w:proofErr w:type="gramStart"/>
      <w:r w:rsidRPr="0038006A">
        <w:rPr>
          <w:rFonts w:ascii="Times New Roman" w:hAnsi="Times New Roman" w:cs="Times New Roman"/>
          <w:color w:val="000000"/>
          <w:sz w:val="22"/>
          <w:szCs w:val="20"/>
        </w:rPr>
        <w:t>Imf.org. (2013).</w:t>
      </w:r>
      <w:proofErr w:type="gramEnd"/>
      <w:r w:rsidRPr="0038006A">
        <w:rPr>
          <w:rFonts w:ascii="Times New Roman" w:hAnsi="Times New Roman" w:cs="Times New Roman"/>
          <w:color w:val="000000"/>
          <w:sz w:val="22"/>
          <w:szCs w:val="20"/>
        </w:rPr>
        <w:t> </w:t>
      </w:r>
      <w:r w:rsidRPr="0038006A">
        <w:rPr>
          <w:rFonts w:ascii="Times New Roman" w:hAnsi="Times New Roman" w:cs="Times New Roman"/>
          <w:i/>
          <w:iCs/>
          <w:color w:val="000000"/>
          <w:sz w:val="22"/>
          <w:szCs w:val="20"/>
        </w:rPr>
        <w:t>Gulf Cooperation Council (GCC) - Labor Market Reforms to Boost Employment and Productivity in the GCC</w:t>
      </w:r>
      <w:r w:rsidRPr="0038006A">
        <w:rPr>
          <w:rFonts w:ascii="Times New Roman" w:hAnsi="Times New Roman" w:cs="Times New Roman"/>
          <w:color w:val="000000"/>
          <w:sz w:val="22"/>
          <w:szCs w:val="20"/>
        </w:rPr>
        <w:t>. [</w:t>
      </w:r>
      <w:proofErr w:type="gramStart"/>
      <w:r w:rsidRPr="0038006A">
        <w:rPr>
          <w:rFonts w:ascii="Times New Roman" w:hAnsi="Times New Roman" w:cs="Times New Roman"/>
          <w:color w:val="000000"/>
          <w:sz w:val="22"/>
          <w:szCs w:val="20"/>
        </w:rPr>
        <w:t>online</w:t>
      </w:r>
      <w:proofErr w:type="gramEnd"/>
      <w:r w:rsidRPr="0038006A">
        <w:rPr>
          <w:rFonts w:ascii="Times New Roman" w:hAnsi="Times New Roman" w:cs="Times New Roman"/>
          <w:color w:val="000000"/>
          <w:sz w:val="22"/>
          <w:szCs w:val="20"/>
        </w:rPr>
        <w:t>] Available at: http://www.imf.org/en/Publications/Policy-Papers/Issues/2016/12/31/Gulf-Cooperation-Council-GCC-Labor-Market-Reforms-to-Boost-Employment-and-Productivity-in-PP4829 [Accessed 5 Aug. 2017].</w:t>
      </w:r>
    </w:p>
    <w:p w14:paraId="60B0D422" w14:textId="77777777" w:rsidR="00372A69" w:rsidRDefault="00372A69" w:rsidP="00A22959">
      <w:pPr>
        <w:rPr>
          <w:sz w:val="28"/>
          <w:szCs w:val="28"/>
        </w:rPr>
      </w:pPr>
    </w:p>
    <w:p w14:paraId="3F2FD858" w14:textId="77777777" w:rsidR="00372A69" w:rsidRDefault="00372A69" w:rsidP="00A22959">
      <w:pPr>
        <w:rPr>
          <w:sz w:val="28"/>
          <w:szCs w:val="28"/>
        </w:rPr>
      </w:pPr>
    </w:p>
    <w:p w14:paraId="207A2509" w14:textId="77777777" w:rsidR="002831BC" w:rsidRDefault="002831BC" w:rsidP="00A22959">
      <w:pPr>
        <w:rPr>
          <w:sz w:val="28"/>
          <w:szCs w:val="28"/>
        </w:rPr>
      </w:pPr>
    </w:p>
    <w:p w14:paraId="08EB86BE" w14:textId="77777777" w:rsidR="002831BC" w:rsidRDefault="002831BC" w:rsidP="00A22959">
      <w:pPr>
        <w:rPr>
          <w:sz w:val="28"/>
          <w:szCs w:val="28"/>
        </w:rPr>
      </w:pPr>
    </w:p>
    <w:p w14:paraId="6C7BB354" w14:textId="6344009F" w:rsidR="00E52B43" w:rsidRDefault="00E52B43" w:rsidP="00A22959">
      <w:pPr>
        <w:rPr>
          <w:sz w:val="28"/>
          <w:szCs w:val="28"/>
        </w:rPr>
      </w:pPr>
    </w:p>
    <w:p w14:paraId="609B8391" w14:textId="77777777" w:rsidR="00E52B43" w:rsidRDefault="00E52B43" w:rsidP="00A22959">
      <w:pPr>
        <w:rPr>
          <w:sz w:val="28"/>
          <w:szCs w:val="28"/>
        </w:rPr>
      </w:pPr>
    </w:p>
    <w:p w14:paraId="49133ACD" w14:textId="77777777" w:rsidR="00E52B43" w:rsidRDefault="00E52B43" w:rsidP="00A22959">
      <w:pPr>
        <w:rPr>
          <w:sz w:val="28"/>
          <w:szCs w:val="28"/>
        </w:rPr>
      </w:pPr>
    </w:p>
    <w:p w14:paraId="01C39E3F" w14:textId="77777777" w:rsidR="00E52B43" w:rsidRDefault="00E52B43" w:rsidP="00A22959">
      <w:pPr>
        <w:rPr>
          <w:sz w:val="28"/>
          <w:szCs w:val="28"/>
        </w:rPr>
      </w:pPr>
    </w:p>
    <w:p w14:paraId="489A8D36" w14:textId="77777777" w:rsidR="00E52B43" w:rsidRDefault="00E52B43" w:rsidP="00A22959">
      <w:pPr>
        <w:rPr>
          <w:sz w:val="28"/>
          <w:szCs w:val="28"/>
        </w:rPr>
      </w:pPr>
    </w:p>
    <w:p w14:paraId="6C492EC6" w14:textId="77777777" w:rsidR="00BF4B61" w:rsidRDefault="00BF4B61" w:rsidP="00A22959">
      <w:pPr>
        <w:rPr>
          <w:sz w:val="28"/>
          <w:szCs w:val="28"/>
        </w:rPr>
      </w:pPr>
    </w:p>
    <w:p w14:paraId="5242AC12" w14:textId="77777777" w:rsidR="002D0596" w:rsidRDefault="002D0596" w:rsidP="00A22959">
      <w:pPr>
        <w:rPr>
          <w:sz w:val="28"/>
          <w:szCs w:val="28"/>
        </w:rPr>
      </w:pPr>
    </w:p>
    <w:p w14:paraId="12131859" w14:textId="77777777" w:rsidR="009A2B5D" w:rsidRPr="00A22959" w:rsidRDefault="009A2B5D" w:rsidP="00A22959">
      <w:pPr>
        <w:rPr>
          <w:sz w:val="28"/>
          <w:szCs w:val="28"/>
        </w:rPr>
      </w:pPr>
    </w:p>
    <w:p w14:paraId="2D42425E" w14:textId="77777777" w:rsidR="00BB507A" w:rsidRPr="00B67B4B" w:rsidRDefault="00BB507A">
      <w:pPr>
        <w:rPr>
          <w:sz w:val="28"/>
          <w:szCs w:val="28"/>
        </w:rPr>
      </w:pPr>
    </w:p>
    <w:sectPr w:rsidR="00BB507A" w:rsidRPr="00B67B4B" w:rsidSect="00DA07C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9DC99" w14:textId="77777777" w:rsidR="00BE5B93" w:rsidRDefault="00BE5B93" w:rsidP="00F76DE5">
      <w:r>
        <w:separator/>
      </w:r>
    </w:p>
  </w:endnote>
  <w:endnote w:type="continuationSeparator" w:id="0">
    <w:p w14:paraId="4ABE2D69" w14:textId="77777777" w:rsidR="00BE5B93" w:rsidRDefault="00BE5B93" w:rsidP="00F7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752E4" w14:textId="77777777" w:rsidR="00BE5B93" w:rsidRDefault="00BE5B93" w:rsidP="00F76DE5">
      <w:r>
        <w:separator/>
      </w:r>
    </w:p>
  </w:footnote>
  <w:footnote w:type="continuationSeparator" w:id="0">
    <w:p w14:paraId="0C602113" w14:textId="77777777" w:rsidR="00BE5B93" w:rsidRDefault="00BE5B93" w:rsidP="00F76DE5">
      <w:r>
        <w:continuationSeparator/>
      </w:r>
    </w:p>
  </w:footnote>
  <w:footnote w:id="1">
    <w:p w14:paraId="7E944877" w14:textId="46823CD1" w:rsidR="00BE5B93" w:rsidRPr="00B352C0" w:rsidRDefault="00BE5B93">
      <w:pPr>
        <w:pStyle w:val="FootnoteText"/>
        <w:rPr>
          <w:sz w:val="20"/>
        </w:rPr>
      </w:pPr>
      <w:r>
        <w:rPr>
          <w:rStyle w:val="FootnoteReference"/>
        </w:rPr>
        <w:footnoteRef/>
      </w:r>
      <w:r>
        <w:t xml:space="preserve"> </w:t>
      </w:r>
      <w:r w:rsidRPr="00F76DE5">
        <w:rPr>
          <w:sz w:val="20"/>
        </w:rPr>
        <w:t xml:space="preserve">Expats currently make up 45.5% of total population as opposed to 29% in 2010. </w:t>
      </w:r>
      <w:hyperlink r:id="rId1" w:history="1">
        <w:r w:rsidRPr="00473840">
          <w:rPr>
            <w:rStyle w:val="Hyperlink"/>
            <w:sz w:val="20"/>
          </w:rPr>
          <w:t>http://gulfnews.com/news/gulf/oman/oman-s-expatriate-population-rising-rapidly-1.1843475</w:t>
        </w:r>
      </w:hyperlink>
    </w:p>
  </w:footnote>
  <w:footnote w:id="2">
    <w:p w14:paraId="59D4D972" w14:textId="61A1DE39" w:rsidR="00BE5B93" w:rsidRDefault="00BE5B93">
      <w:pPr>
        <w:pStyle w:val="FootnoteText"/>
      </w:pPr>
      <w:r w:rsidRPr="00B352C0">
        <w:rPr>
          <w:rStyle w:val="FootnoteReference"/>
          <w:sz w:val="20"/>
        </w:rPr>
        <w:footnoteRef/>
      </w:r>
      <w:r w:rsidRPr="00B352C0">
        <w:rPr>
          <w:sz w:val="20"/>
        </w:rPr>
        <w:t xml:space="preserve"> Oman road map 3 – Info graphic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C8"/>
    <w:rsid w:val="000058F3"/>
    <w:rsid w:val="00051BB5"/>
    <w:rsid w:val="00063246"/>
    <w:rsid w:val="00063360"/>
    <w:rsid w:val="0007237F"/>
    <w:rsid w:val="000F6AB6"/>
    <w:rsid w:val="000F7953"/>
    <w:rsid w:val="00112B91"/>
    <w:rsid w:val="00141665"/>
    <w:rsid w:val="00152CA1"/>
    <w:rsid w:val="00164592"/>
    <w:rsid w:val="00190F42"/>
    <w:rsid w:val="001A0FB6"/>
    <w:rsid w:val="001A2231"/>
    <w:rsid w:val="001A2FB8"/>
    <w:rsid w:val="001C23D5"/>
    <w:rsid w:val="001C3DF9"/>
    <w:rsid w:val="001C5008"/>
    <w:rsid w:val="001D7553"/>
    <w:rsid w:val="001D76D0"/>
    <w:rsid w:val="001E55BC"/>
    <w:rsid w:val="001F54AF"/>
    <w:rsid w:val="001F6F5E"/>
    <w:rsid w:val="002075EB"/>
    <w:rsid w:val="00234D3B"/>
    <w:rsid w:val="002640CD"/>
    <w:rsid w:val="00276314"/>
    <w:rsid w:val="002831BC"/>
    <w:rsid w:val="0029797C"/>
    <w:rsid w:val="002C37EA"/>
    <w:rsid w:val="002C4CA4"/>
    <w:rsid w:val="002C63AD"/>
    <w:rsid w:val="002D0596"/>
    <w:rsid w:val="002F2567"/>
    <w:rsid w:val="002F40E6"/>
    <w:rsid w:val="00300E40"/>
    <w:rsid w:val="003525E2"/>
    <w:rsid w:val="00362BAE"/>
    <w:rsid w:val="00372A69"/>
    <w:rsid w:val="0038006A"/>
    <w:rsid w:val="00382137"/>
    <w:rsid w:val="003904B0"/>
    <w:rsid w:val="00393186"/>
    <w:rsid w:val="003A67D2"/>
    <w:rsid w:val="003A7FF6"/>
    <w:rsid w:val="003D1E2E"/>
    <w:rsid w:val="003D542F"/>
    <w:rsid w:val="003D6373"/>
    <w:rsid w:val="003E5EC5"/>
    <w:rsid w:val="00411C98"/>
    <w:rsid w:val="0041290E"/>
    <w:rsid w:val="00424B0E"/>
    <w:rsid w:val="004457AD"/>
    <w:rsid w:val="00451265"/>
    <w:rsid w:val="00457155"/>
    <w:rsid w:val="0048130C"/>
    <w:rsid w:val="00494610"/>
    <w:rsid w:val="004B32A7"/>
    <w:rsid w:val="004B6B8E"/>
    <w:rsid w:val="004C2EB5"/>
    <w:rsid w:val="004D6E84"/>
    <w:rsid w:val="005062E7"/>
    <w:rsid w:val="005074B5"/>
    <w:rsid w:val="00507BAF"/>
    <w:rsid w:val="005211EA"/>
    <w:rsid w:val="00577710"/>
    <w:rsid w:val="00593239"/>
    <w:rsid w:val="00595A9C"/>
    <w:rsid w:val="005A78BD"/>
    <w:rsid w:val="005B509A"/>
    <w:rsid w:val="005C757C"/>
    <w:rsid w:val="005D2DC9"/>
    <w:rsid w:val="005F711D"/>
    <w:rsid w:val="00614CF6"/>
    <w:rsid w:val="00614F2B"/>
    <w:rsid w:val="006150EE"/>
    <w:rsid w:val="00616541"/>
    <w:rsid w:val="00657356"/>
    <w:rsid w:val="00680258"/>
    <w:rsid w:val="00682B9B"/>
    <w:rsid w:val="006A7398"/>
    <w:rsid w:val="006E79D7"/>
    <w:rsid w:val="00735F65"/>
    <w:rsid w:val="007636BE"/>
    <w:rsid w:val="00767883"/>
    <w:rsid w:val="0077412E"/>
    <w:rsid w:val="0078763F"/>
    <w:rsid w:val="007C686E"/>
    <w:rsid w:val="007E076E"/>
    <w:rsid w:val="007E58CE"/>
    <w:rsid w:val="00822D61"/>
    <w:rsid w:val="0084419B"/>
    <w:rsid w:val="008758FC"/>
    <w:rsid w:val="0088765A"/>
    <w:rsid w:val="00890CB2"/>
    <w:rsid w:val="00892BBB"/>
    <w:rsid w:val="00893AE4"/>
    <w:rsid w:val="008A1276"/>
    <w:rsid w:val="008B78DC"/>
    <w:rsid w:val="008E3D25"/>
    <w:rsid w:val="0091222B"/>
    <w:rsid w:val="00926B80"/>
    <w:rsid w:val="0094043A"/>
    <w:rsid w:val="009836A4"/>
    <w:rsid w:val="009917D4"/>
    <w:rsid w:val="00993094"/>
    <w:rsid w:val="009A1242"/>
    <w:rsid w:val="009A2B5D"/>
    <w:rsid w:val="009B595E"/>
    <w:rsid w:val="009D04DF"/>
    <w:rsid w:val="009D6254"/>
    <w:rsid w:val="009F24C5"/>
    <w:rsid w:val="00A0004D"/>
    <w:rsid w:val="00A22959"/>
    <w:rsid w:val="00A265E2"/>
    <w:rsid w:val="00A54E7D"/>
    <w:rsid w:val="00A57E21"/>
    <w:rsid w:val="00A60055"/>
    <w:rsid w:val="00A726BF"/>
    <w:rsid w:val="00A97C64"/>
    <w:rsid w:val="00AA203C"/>
    <w:rsid w:val="00AA544E"/>
    <w:rsid w:val="00AC254A"/>
    <w:rsid w:val="00AC4F86"/>
    <w:rsid w:val="00AE2060"/>
    <w:rsid w:val="00AF067F"/>
    <w:rsid w:val="00B0211D"/>
    <w:rsid w:val="00B03051"/>
    <w:rsid w:val="00B050C7"/>
    <w:rsid w:val="00B23A1A"/>
    <w:rsid w:val="00B330B4"/>
    <w:rsid w:val="00B352C0"/>
    <w:rsid w:val="00B43EDA"/>
    <w:rsid w:val="00B445AC"/>
    <w:rsid w:val="00B67B4B"/>
    <w:rsid w:val="00B73ACA"/>
    <w:rsid w:val="00BB507A"/>
    <w:rsid w:val="00BC592B"/>
    <w:rsid w:val="00BD2A7E"/>
    <w:rsid w:val="00BE5B93"/>
    <w:rsid w:val="00BF4214"/>
    <w:rsid w:val="00BF4B61"/>
    <w:rsid w:val="00C1413B"/>
    <w:rsid w:val="00C52D84"/>
    <w:rsid w:val="00C67ECC"/>
    <w:rsid w:val="00C86FA3"/>
    <w:rsid w:val="00C877DB"/>
    <w:rsid w:val="00C92F01"/>
    <w:rsid w:val="00CA4779"/>
    <w:rsid w:val="00CA6A43"/>
    <w:rsid w:val="00CB0BDF"/>
    <w:rsid w:val="00CD0B79"/>
    <w:rsid w:val="00CE6DA2"/>
    <w:rsid w:val="00CF0C8B"/>
    <w:rsid w:val="00CF2452"/>
    <w:rsid w:val="00CF62BA"/>
    <w:rsid w:val="00D47B35"/>
    <w:rsid w:val="00D93CDB"/>
    <w:rsid w:val="00DA07C8"/>
    <w:rsid w:val="00DC40BE"/>
    <w:rsid w:val="00DF5231"/>
    <w:rsid w:val="00E2377D"/>
    <w:rsid w:val="00E24D54"/>
    <w:rsid w:val="00E4599E"/>
    <w:rsid w:val="00E52B43"/>
    <w:rsid w:val="00E55CEC"/>
    <w:rsid w:val="00E743D8"/>
    <w:rsid w:val="00E85373"/>
    <w:rsid w:val="00EA4995"/>
    <w:rsid w:val="00EE3346"/>
    <w:rsid w:val="00F00E91"/>
    <w:rsid w:val="00F325DF"/>
    <w:rsid w:val="00F46F6F"/>
    <w:rsid w:val="00F76DE5"/>
    <w:rsid w:val="00FA0B54"/>
    <w:rsid w:val="00FF194F"/>
    <w:rsid w:val="00FF4672"/>
    <w:rsid w:val="00FF73EE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B93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04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1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9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32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F76DE5"/>
  </w:style>
  <w:style w:type="character" w:customStyle="1" w:styleId="FootnoteTextChar">
    <w:name w:val="Footnote Text Char"/>
    <w:basedOn w:val="DefaultParagraphFont"/>
    <w:link w:val="FootnoteText"/>
    <w:uiPriority w:val="99"/>
    <w:rsid w:val="00F76DE5"/>
  </w:style>
  <w:style w:type="character" w:styleId="FootnoteReference">
    <w:name w:val="footnote reference"/>
    <w:basedOn w:val="DefaultParagraphFont"/>
    <w:uiPriority w:val="99"/>
    <w:unhideWhenUsed/>
    <w:rsid w:val="00F76DE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76DE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2A6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904B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04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04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04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1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9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32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F76DE5"/>
  </w:style>
  <w:style w:type="character" w:customStyle="1" w:styleId="FootnoteTextChar">
    <w:name w:val="Footnote Text Char"/>
    <w:basedOn w:val="DefaultParagraphFont"/>
    <w:link w:val="FootnoteText"/>
    <w:uiPriority w:val="99"/>
    <w:rsid w:val="00F76DE5"/>
  </w:style>
  <w:style w:type="character" w:styleId="FootnoteReference">
    <w:name w:val="footnote reference"/>
    <w:basedOn w:val="DefaultParagraphFont"/>
    <w:uiPriority w:val="99"/>
    <w:unhideWhenUsed/>
    <w:rsid w:val="00F76DE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76DE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2A6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904B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04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ulfnews.com/news/gulf/oman/oman-s-expatriate-population-rising-rapidly-1.1843475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anoodbulushi:Desktop:Omanization%20-%20essay:omaniza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lanoodbulushi:Desktop:Omanization%20-%20essay:omaniz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Fig 1: Omani Employees in the Public and Private</a:t>
            </a:r>
            <a:r>
              <a:rPr lang="en-US" sz="1200" baseline="0"/>
              <a:t> Sector </a:t>
            </a:r>
            <a:endParaRPr lang="en-US" sz="120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Public sector employees </c:v>
                </c:pt>
              </c:strCache>
            </c:strRef>
          </c:tx>
          <c:spPr>
            <a:solidFill>
              <a:schemeClr val="tx2">
                <a:lumMod val="40000"/>
                <a:lumOff val="60000"/>
              </a:schemeClr>
            </a:solidFill>
          </c:spPr>
          <c:invertIfNegative val="0"/>
          <c:cat>
            <c:numRef>
              <c:f>Sheet1!$B$1:$J$1</c:f>
              <c:numCache>
                <c:formatCode>General</c:formatCode>
                <c:ptCount val="9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</c:numCache>
            </c:numRef>
          </c:cat>
          <c:val>
            <c:numRef>
              <c:f>Sheet1!$B$2:$J$2</c:f>
              <c:numCache>
                <c:formatCode>General</c:formatCode>
                <c:ptCount val="9"/>
                <c:pt idx="0">
                  <c:v>124405.0</c:v>
                </c:pt>
                <c:pt idx="1">
                  <c:v>131209.0</c:v>
                </c:pt>
                <c:pt idx="2">
                  <c:v>136622.0</c:v>
                </c:pt>
                <c:pt idx="3">
                  <c:v>140370.0</c:v>
                </c:pt>
                <c:pt idx="4">
                  <c:v>159258.0</c:v>
                </c:pt>
                <c:pt idx="5">
                  <c:v>166804.0</c:v>
                </c:pt>
                <c:pt idx="6">
                  <c:v>180737.0</c:v>
                </c:pt>
                <c:pt idx="7">
                  <c:v>192222.0</c:v>
                </c:pt>
                <c:pt idx="8">
                  <c:v>193965.0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Private sector employees </c:v>
                </c:pt>
              </c:strCache>
            </c:strRef>
          </c:tx>
          <c:spPr>
            <a:solidFill>
              <a:schemeClr val="tx2">
                <a:lumMod val="75000"/>
              </a:schemeClr>
            </a:solidFill>
          </c:spPr>
          <c:invertIfNegative val="0"/>
          <c:cat>
            <c:numRef>
              <c:f>Sheet1!$B$1:$J$1</c:f>
              <c:numCache>
                <c:formatCode>General</c:formatCode>
                <c:ptCount val="9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</c:numCache>
            </c:numRef>
          </c:cat>
          <c:val>
            <c:numRef>
              <c:f>Sheet1!$B$3:$J$3</c:f>
              <c:numCache>
                <c:formatCode>General</c:formatCode>
                <c:ptCount val="9"/>
                <c:pt idx="0">
                  <c:v>131775.0</c:v>
                </c:pt>
                <c:pt idx="1">
                  <c:v>147194.0</c:v>
                </c:pt>
                <c:pt idx="2">
                  <c:v>158315.0</c:v>
                </c:pt>
                <c:pt idx="3">
                  <c:v>177716.0</c:v>
                </c:pt>
                <c:pt idx="4">
                  <c:v>174441.0</c:v>
                </c:pt>
                <c:pt idx="5">
                  <c:v>172066.0</c:v>
                </c:pt>
                <c:pt idx="6">
                  <c:v>181860.0</c:v>
                </c:pt>
                <c:pt idx="7">
                  <c:v>197510.0</c:v>
                </c:pt>
                <c:pt idx="8">
                  <c:v>209620.0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6419864"/>
        <c:axId val="2086323080"/>
      </c:barChart>
      <c:catAx>
        <c:axId val="2086419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050"/>
            </a:pPr>
            <a:endParaRPr lang="en-US"/>
          </a:p>
        </c:txPr>
        <c:crossAx val="2086323080"/>
        <c:crosses val="autoZero"/>
        <c:auto val="1"/>
        <c:lblAlgn val="ctr"/>
        <c:lblOffset val="100"/>
        <c:noMultiLvlLbl val="0"/>
      </c:catAx>
      <c:valAx>
        <c:axId val="2086323080"/>
        <c:scaling>
          <c:orientation val="minMax"/>
          <c:min val="0.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en-US" sz="1050"/>
                  <a:t>Number</a:t>
                </a:r>
                <a:r>
                  <a:rPr lang="en-US" sz="1050" baseline="0"/>
                  <a:t> of Employees</a:t>
                </a:r>
                <a:endParaRPr lang="en-US" sz="105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6419864"/>
        <c:crosses val="autoZero"/>
        <c:crossBetween val="between"/>
        <c:majorUnit val="20000.0"/>
        <c:minorUnit val="5000.0"/>
      </c:valAx>
    </c:plotArea>
    <c:legend>
      <c:legendPos val="r"/>
      <c:layout/>
      <c:overlay val="0"/>
      <c:txPr>
        <a:bodyPr/>
        <a:lstStyle/>
        <a:p>
          <a:pPr>
            <a:defRPr sz="11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Fig 2: Percentage of Omanis in Private Sector 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Sheet4!$A$2</c:f>
              <c:strCache>
                <c:ptCount val="1"/>
                <c:pt idx="0">
                  <c:v>Private sector employees (Expats)</c:v>
                </c:pt>
              </c:strCache>
            </c:strRef>
          </c:tx>
          <c:invertIfNegative val="0"/>
          <c:cat>
            <c:numRef>
              <c:f>Sheet4!$B$1:$J$1</c:f>
              <c:numCache>
                <c:formatCode>General</c:formatCode>
                <c:ptCount val="9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</c:numCache>
            </c:numRef>
          </c:cat>
          <c:val>
            <c:numRef>
              <c:f>Sheet4!$B$2:$J$2</c:f>
            </c:numRef>
          </c:val>
        </c:ser>
        <c:ser>
          <c:idx val="1"/>
          <c:order val="1"/>
          <c:tx>
            <c:strRef>
              <c:f>Sheet4!$A$3</c:f>
              <c:strCache>
                <c:ptCount val="1"/>
                <c:pt idx="0">
                  <c:v>Private sector employees (Omanis)</c:v>
                </c:pt>
              </c:strCache>
            </c:strRef>
          </c:tx>
          <c:invertIfNegative val="0"/>
          <c:cat>
            <c:numRef>
              <c:f>Sheet4!$B$1:$J$1</c:f>
              <c:numCache>
                <c:formatCode>General</c:formatCode>
                <c:ptCount val="9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</c:numCache>
            </c:numRef>
          </c:cat>
          <c:val>
            <c:numRef>
              <c:f>Sheet4!$B$3:$J$3</c:f>
            </c:numRef>
          </c:val>
        </c:ser>
        <c:ser>
          <c:idx val="2"/>
          <c:order val="2"/>
          <c:tx>
            <c:strRef>
              <c:f>Sheet4!$A$4</c:f>
              <c:strCache>
                <c:ptCount val="1"/>
                <c:pt idx="0">
                  <c:v>Percentage of Omanis in Private Sector </c:v>
                </c:pt>
              </c:strCache>
            </c:strRef>
          </c:tx>
          <c:spPr>
            <a:solidFill>
              <a:schemeClr val="tx2">
                <a:lumMod val="75000"/>
              </a:schemeClr>
            </a:solidFill>
          </c:spPr>
          <c:invertIfNegative val="0"/>
          <c:cat>
            <c:numRef>
              <c:f>Sheet4!$B$1:$J$1</c:f>
              <c:numCache>
                <c:formatCode>General</c:formatCode>
                <c:ptCount val="9"/>
                <c:pt idx="0">
                  <c:v>2007.0</c:v>
                </c:pt>
                <c:pt idx="1">
                  <c:v>2008.0</c:v>
                </c:pt>
                <c:pt idx="2">
                  <c:v>2009.0</c:v>
                </c:pt>
                <c:pt idx="3">
                  <c:v>2010.0</c:v>
                </c:pt>
                <c:pt idx="4">
                  <c:v>2011.0</c:v>
                </c:pt>
                <c:pt idx="5">
                  <c:v>2012.0</c:v>
                </c:pt>
                <c:pt idx="6">
                  <c:v>2013.0</c:v>
                </c:pt>
                <c:pt idx="7">
                  <c:v>2014.0</c:v>
                </c:pt>
                <c:pt idx="8">
                  <c:v>2015.0</c:v>
                </c:pt>
              </c:numCache>
            </c:numRef>
          </c:cat>
          <c:val>
            <c:numRef>
              <c:f>Sheet4!$B$4:$J$4</c:f>
              <c:numCache>
                <c:formatCode>0%</c:formatCode>
                <c:ptCount val="9"/>
                <c:pt idx="0">
                  <c:v>0.206399278248625</c:v>
                </c:pt>
                <c:pt idx="1">
                  <c:v>0.185164824796996</c:v>
                </c:pt>
                <c:pt idx="2">
                  <c:v>0.181087681370783</c:v>
                </c:pt>
                <c:pt idx="3">
                  <c:v>0.185967372309367</c:v>
                </c:pt>
                <c:pt idx="4">
                  <c:v>0.156506876968213</c:v>
                </c:pt>
                <c:pt idx="5">
                  <c:v>0.130731160280265</c:v>
                </c:pt>
                <c:pt idx="6">
                  <c:v>0.123618754486329</c:v>
                </c:pt>
                <c:pt idx="7">
                  <c:v>0.130767290367474</c:v>
                </c:pt>
                <c:pt idx="8">
                  <c:v>0.128126608306164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2529096"/>
        <c:axId val="2092467688"/>
      </c:barChart>
      <c:catAx>
        <c:axId val="2092529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92467688"/>
        <c:crosses val="autoZero"/>
        <c:auto val="1"/>
        <c:lblAlgn val="ctr"/>
        <c:lblOffset val="100"/>
        <c:noMultiLvlLbl val="0"/>
      </c:catAx>
      <c:valAx>
        <c:axId val="20924676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en-US" sz="1050"/>
                  <a:t>Percentage</a:t>
                </a:r>
                <a:r>
                  <a:rPr lang="en-US" sz="1050" baseline="0"/>
                  <a:t> of Omanis</a:t>
                </a:r>
                <a:endParaRPr lang="en-US" sz="1050"/>
              </a:p>
            </c:rich>
          </c:tx>
          <c:layout/>
          <c:overlay val="0"/>
        </c:title>
        <c:numFmt formatCode="0%" sourceLinked="1"/>
        <c:majorTickMark val="out"/>
        <c:minorTickMark val="none"/>
        <c:tickLblPos val="nextTo"/>
        <c:crossAx val="2092529096"/>
        <c:crosses val="autoZero"/>
        <c:crossBetween val="between"/>
      </c:valAx>
    </c:plotArea>
    <c:legend>
      <c:legendPos val="r"/>
      <c:layout/>
      <c:overlay val="0"/>
      <c:txPr>
        <a:bodyPr/>
        <a:lstStyle/>
        <a:p>
          <a:pPr>
            <a:defRPr sz="105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635721-8E95-7D42-BC43-91E798B4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5</Pages>
  <Words>907</Words>
  <Characters>5172</Characters>
  <Application>Microsoft Macintosh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Omanization: The Way Forward </dc:title>
  <dc:subject/>
  <dc:creator>Alanood Al Bulushi</dc:creator>
  <cp:keywords/>
  <dc:description/>
  <cp:lastModifiedBy>Al Anood Al Bulushi</cp:lastModifiedBy>
  <cp:revision>149</cp:revision>
  <dcterms:created xsi:type="dcterms:W3CDTF">2017-07-29T18:51:00Z</dcterms:created>
  <dcterms:modified xsi:type="dcterms:W3CDTF">2017-08-07T19:30:00Z</dcterms:modified>
</cp:coreProperties>
</file>