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C662E" w14:textId="77777777" w:rsidR="00FD168E" w:rsidRDefault="00FD168E" w:rsidP="00B20B59">
      <w:pPr>
        <w:spacing w:line="360" w:lineRule="auto"/>
        <w:jc w:val="both"/>
        <w:rPr>
          <w:rFonts w:asciiTheme="minorHAnsi" w:hAnsiTheme="minorHAnsi"/>
          <w:b/>
          <w:sz w:val="32"/>
          <w:szCs w:val="32"/>
          <w:lang w:val="en-GB"/>
        </w:rPr>
      </w:pPr>
      <w:r w:rsidRPr="000965BA">
        <w:rPr>
          <w:rFonts w:asciiTheme="minorHAnsi" w:hAnsiTheme="minorHAnsi"/>
          <w:b/>
          <w:sz w:val="32"/>
          <w:szCs w:val="32"/>
          <w:lang w:val="en-GB"/>
        </w:rPr>
        <w:t>The marginal benefits of healthcare spending in the Netherlands</w:t>
      </w:r>
    </w:p>
    <w:p w14:paraId="0168B7CD" w14:textId="77777777" w:rsidR="00BF1338" w:rsidRPr="00BF1338" w:rsidRDefault="00BF1338" w:rsidP="00B20B59">
      <w:pPr>
        <w:spacing w:line="360" w:lineRule="auto"/>
        <w:jc w:val="both"/>
        <w:rPr>
          <w:rFonts w:asciiTheme="minorHAnsi" w:hAnsiTheme="minorHAnsi"/>
          <w:b/>
          <w:sz w:val="28"/>
          <w:szCs w:val="28"/>
          <w:lang w:val="en-GB"/>
        </w:rPr>
      </w:pPr>
      <w:r w:rsidRPr="00BF1338">
        <w:rPr>
          <w:rFonts w:asciiTheme="minorHAnsi" w:hAnsiTheme="minorHAnsi"/>
          <w:b/>
          <w:sz w:val="28"/>
          <w:szCs w:val="28"/>
          <w:lang w:val="en-GB"/>
        </w:rPr>
        <w:t xml:space="preserve">Estimating cost-effectiveness thresholds using a </w:t>
      </w:r>
      <w:proofErr w:type="spellStart"/>
      <w:r w:rsidRPr="00BF1338">
        <w:rPr>
          <w:rFonts w:asciiTheme="minorHAnsi" w:hAnsiTheme="minorHAnsi"/>
          <w:b/>
          <w:sz w:val="28"/>
          <w:szCs w:val="28"/>
          <w:lang w:val="en-GB"/>
        </w:rPr>
        <w:t>translog</w:t>
      </w:r>
      <w:proofErr w:type="spellEnd"/>
      <w:r w:rsidRPr="00BF1338">
        <w:rPr>
          <w:rFonts w:asciiTheme="minorHAnsi" w:hAnsiTheme="minorHAnsi"/>
          <w:b/>
          <w:sz w:val="28"/>
          <w:szCs w:val="28"/>
          <w:lang w:val="en-GB"/>
        </w:rPr>
        <w:t xml:space="preserve"> production function</w:t>
      </w:r>
    </w:p>
    <w:p w14:paraId="295FD2B8" w14:textId="77777777" w:rsidR="00FD168E" w:rsidRPr="000965BA" w:rsidRDefault="00FD168E" w:rsidP="00B20B59">
      <w:pPr>
        <w:spacing w:line="360" w:lineRule="auto"/>
        <w:jc w:val="both"/>
        <w:rPr>
          <w:rFonts w:asciiTheme="minorHAnsi" w:hAnsiTheme="minorHAnsi"/>
          <w:b/>
          <w:szCs w:val="22"/>
          <w:lang w:val="en-GB"/>
        </w:rPr>
      </w:pPr>
    </w:p>
    <w:p w14:paraId="5C23ACDE" w14:textId="77777777" w:rsidR="00D24961" w:rsidRPr="000965BA" w:rsidRDefault="00D24961">
      <w:pPr>
        <w:rPr>
          <w:rFonts w:asciiTheme="minorHAnsi" w:hAnsiTheme="minorHAnsi"/>
          <w:b/>
          <w:szCs w:val="22"/>
          <w:lang w:val="en-GB"/>
        </w:rPr>
      </w:pPr>
      <w:r w:rsidRPr="000965BA">
        <w:rPr>
          <w:rFonts w:asciiTheme="minorHAnsi" w:hAnsiTheme="minorHAnsi"/>
          <w:b/>
          <w:szCs w:val="22"/>
          <w:lang w:val="en-GB"/>
        </w:rPr>
        <w:br w:type="page"/>
      </w:r>
    </w:p>
    <w:p w14:paraId="5FABA5B0" w14:textId="77777777" w:rsidR="00FD168E" w:rsidRPr="000965BA" w:rsidRDefault="00FD168E" w:rsidP="00B20B59">
      <w:pPr>
        <w:spacing w:line="360" w:lineRule="auto"/>
        <w:jc w:val="both"/>
        <w:rPr>
          <w:rFonts w:asciiTheme="minorHAnsi" w:hAnsiTheme="minorHAnsi"/>
          <w:b/>
          <w:szCs w:val="22"/>
          <w:lang w:val="en-GB"/>
        </w:rPr>
      </w:pPr>
      <w:r w:rsidRPr="000965BA">
        <w:rPr>
          <w:rFonts w:asciiTheme="minorHAnsi" w:hAnsiTheme="minorHAnsi"/>
          <w:b/>
          <w:szCs w:val="22"/>
          <w:lang w:val="en-GB"/>
        </w:rPr>
        <w:lastRenderedPageBreak/>
        <w:t>Appendix 1: Estimating gains in quality of life</w:t>
      </w:r>
    </w:p>
    <w:p w14:paraId="57003BC9" w14:textId="77777777" w:rsidR="00FD168E" w:rsidRPr="000965BA" w:rsidRDefault="00FD168E" w:rsidP="00B20B59">
      <w:pPr>
        <w:spacing w:line="360" w:lineRule="auto"/>
        <w:jc w:val="both"/>
        <w:rPr>
          <w:rFonts w:asciiTheme="minorHAnsi" w:hAnsiTheme="minorHAnsi"/>
          <w:b/>
          <w:szCs w:val="22"/>
          <w:lang w:val="en-GB"/>
        </w:rPr>
      </w:pPr>
    </w:p>
    <w:p w14:paraId="3F02689C" w14:textId="77777777" w:rsidR="003207EE" w:rsidRDefault="003207EE" w:rsidP="00B20B59">
      <w:pPr>
        <w:spacing w:line="360" w:lineRule="auto"/>
        <w:jc w:val="both"/>
        <w:rPr>
          <w:rFonts w:asciiTheme="minorHAnsi" w:hAnsiTheme="minorHAnsi"/>
          <w:szCs w:val="22"/>
          <w:lang w:val="en-GB"/>
        </w:rPr>
      </w:pPr>
      <w:r>
        <w:rPr>
          <w:rFonts w:asciiTheme="minorHAnsi" w:hAnsiTheme="minorHAnsi"/>
          <w:szCs w:val="22"/>
          <w:lang w:val="en-GB"/>
        </w:rPr>
        <w:t xml:space="preserve">We estimate differences between patient QALYs and non-patient QALYs using pooled OLS with robust standard errors: </w:t>
      </w:r>
    </w:p>
    <w:p w14:paraId="5A73F34D" w14:textId="77777777" w:rsidR="004B62EB" w:rsidRDefault="004B62EB" w:rsidP="00B20B59">
      <w:pPr>
        <w:spacing w:line="360" w:lineRule="auto"/>
        <w:jc w:val="both"/>
        <w:rPr>
          <w:rFonts w:asciiTheme="minorHAnsi" w:hAnsiTheme="minorHAnsi"/>
          <w:szCs w:val="22"/>
          <w:lang w:val="en-GB"/>
        </w:rPr>
      </w:pPr>
    </w:p>
    <w:p w14:paraId="2D49A784" w14:textId="77777777" w:rsidR="003207EE" w:rsidRPr="004B62EB" w:rsidRDefault="00322D94" w:rsidP="004B62EB">
      <w:pPr>
        <w:pStyle w:val="Prrafodelista"/>
        <w:numPr>
          <w:ilvl w:val="0"/>
          <w:numId w:val="5"/>
        </w:numPr>
        <w:spacing w:line="360" w:lineRule="auto"/>
        <w:jc w:val="both"/>
        <w:rPr>
          <w:rFonts w:asciiTheme="minorHAnsi" w:hAnsiTheme="minorHAnsi"/>
          <w:szCs w:val="22"/>
          <w:lang w:val="en-GB"/>
        </w:rPr>
      </w:pPr>
      <m:oMath>
        <m:sSub>
          <m:sSubPr>
            <m:ctrlPr>
              <w:rPr>
                <w:rFonts w:ascii="Cambria Math" w:hAnsiTheme="minorHAnsi"/>
                <w:i/>
                <w:szCs w:val="22"/>
                <w:lang w:val="en-GB"/>
              </w:rPr>
            </m:ctrlPr>
          </m:sSubPr>
          <m:e>
            <m:r>
              <w:rPr>
                <w:rFonts w:ascii="Cambria Math" w:hAnsi="Cambria Math"/>
                <w:szCs w:val="22"/>
                <w:lang w:val="en-GB"/>
              </w:rPr>
              <m:t>Qaly</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0</m:t>
            </m:r>
          </m:sub>
        </m:sSub>
        <m:r>
          <w:rPr>
            <w:rFonts w:ascii="Cambria Math" w:hAnsiTheme="minorHAnsi"/>
            <w:szCs w:val="22"/>
            <w:lang w:val="en-GB"/>
          </w:rPr>
          <m:t xml:space="preserve">+ </m:t>
        </m:r>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sSub>
          <m:sSubPr>
            <m:ctrlPr>
              <w:rPr>
                <w:rFonts w:ascii="Cambria Math" w:hAnsiTheme="minorHAnsi"/>
                <w:i/>
                <w:szCs w:val="22"/>
                <w:lang w:val="en-GB"/>
              </w:rPr>
            </m:ctrlPr>
          </m:sSubPr>
          <m:e>
            <m:r>
              <w:rPr>
                <w:rFonts w:ascii="Cambria Math" w:hAnsi="Cambria Math"/>
                <w:szCs w:val="22"/>
                <w:lang w:val="en-GB"/>
              </w:rPr>
              <m:t>Patient</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gender</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2</m:t>
            </m:r>
          </m:sub>
        </m:sSub>
        <m:sSub>
          <m:sSubPr>
            <m:ctrlPr>
              <w:rPr>
                <w:rFonts w:ascii="Cambria Math" w:hAnsiTheme="minorHAnsi"/>
                <w:i/>
                <w:szCs w:val="22"/>
                <w:lang w:val="en-GB"/>
              </w:rPr>
            </m:ctrlPr>
          </m:sSubPr>
          <m:e>
            <m:r>
              <w:rPr>
                <w:rFonts w:ascii="Cambria Math" w:hAnsi="Cambria Math"/>
                <w:szCs w:val="22"/>
                <w:lang w:val="en-GB"/>
              </w:rPr>
              <m:t>year</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2</m:t>
            </m:r>
          </m:sub>
        </m:sSub>
        <m:sSub>
          <m:sSubPr>
            <m:ctrlPr>
              <w:rPr>
                <w:rFonts w:ascii="Cambria Math" w:hAnsiTheme="minorHAnsi"/>
                <w:i/>
                <w:szCs w:val="22"/>
                <w:lang w:val="en-GB"/>
              </w:rPr>
            </m:ctrlPr>
          </m:sSubPr>
          <m:e>
            <m:r>
              <w:rPr>
                <w:rFonts w:ascii="Cambria Math" w:hAnsi="Cambria Math"/>
                <w:szCs w:val="22"/>
                <w:lang w:val="en-GB"/>
              </w:rPr>
              <m:t>age</m:t>
            </m:r>
            <m:r>
              <w:rPr>
                <w:rFonts w:ascii="Cambria Math" w:hAnsiTheme="minorHAnsi"/>
                <w:szCs w:val="22"/>
                <w:lang w:val="en-GB"/>
              </w:rPr>
              <m:t xml:space="preserve"> </m:t>
            </m:r>
            <m:r>
              <w:rPr>
                <w:rFonts w:ascii="Cambria Math" w:hAnsi="Cambria Math"/>
                <w:szCs w:val="22"/>
                <w:lang w:val="en-GB"/>
              </w:rPr>
              <m:t>group</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Theme="minorHAnsi"/>
                <w:szCs w:val="22"/>
                <w:lang w:val="en-GB"/>
              </w:rPr>
              <m:t>3</m:t>
            </m:r>
          </m:sub>
        </m:sSub>
        <m:sSub>
          <m:sSubPr>
            <m:ctrlPr>
              <w:rPr>
                <w:rFonts w:ascii="Cambria Math" w:hAnsiTheme="minorHAnsi"/>
                <w:i/>
                <w:szCs w:val="22"/>
                <w:lang w:val="en-GB"/>
              </w:rPr>
            </m:ctrlPr>
          </m:sSubPr>
          <m:e>
            <m:r>
              <w:rPr>
                <w:rFonts w:ascii="Cambria Math" w:hAnsi="Cambria Math"/>
                <w:szCs w:val="22"/>
                <w:lang w:val="en-GB"/>
              </w:rPr>
              <m:t>demographics</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e</m:t>
            </m:r>
          </m:e>
          <m:sub>
            <m:r>
              <w:rPr>
                <w:rFonts w:ascii="Cambria Math" w:hAnsi="Cambria Math"/>
                <w:szCs w:val="22"/>
                <w:lang w:val="en-GB"/>
              </w:rPr>
              <m:t>i</m:t>
            </m:r>
          </m:sub>
        </m:sSub>
      </m:oMath>
      <w:r w:rsidR="003207EE" w:rsidRPr="004B62EB">
        <w:rPr>
          <w:rFonts w:asciiTheme="minorHAnsi" w:hAnsiTheme="minorHAnsi"/>
          <w:szCs w:val="22"/>
          <w:lang w:val="en-GB"/>
        </w:rPr>
        <w:t xml:space="preserve"> </w:t>
      </w:r>
    </w:p>
    <w:p w14:paraId="7DAC44EC" w14:textId="77777777" w:rsidR="004B62EB" w:rsidRPr="004B62EB" w:rsidRDefault="004B62EB" w:rsidP="004B62EB">
      <w:pPr>
        <w:pStyle w:val="Prrafodelista"/>
        <w:spacing w:line="360" w:lineRule="auto"/>
        <w:jc w:val="both"/>
        <w:rPr>
          <w:rFonts w:asciiTheme="minorHAnsi" w:hAnsiTheme="minorHAnsi"/>
          <w:szCs w:val="22"/>
          <w:lang w:val="en-GB"/>
        </w:rPr>
      </w:pPr>
    </w:p>
    <w:p w14:paraId="54DD06FF" w14:textId="77777777" w:rsidR="003207EE" w:rsidRDefault="003207EE"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Where subscript </w:t>
      </w:r>
      <w:proofErr w:type="spellStart"/>
      <w:r w:rsidRPr="000965BA">
        <w:rPr>
          <w:rFonts w:asciiTheme="minorHAnsi" w:hAnsiTheme="minorHAnsi"/>
          <w:szCs w:val="22"/>
          <w:lang w:val="en-GB"/>
        </w:rPr>
        <w:t>i</w:t>
      </w:r>
      <w:proofErr w:type="spellEnd"/>
      <w:r w:rsidRPr="000965BA">
        <w:rPr>
          <w:rFonts w:asciiTheme="minorHAnsi" w:hAnsiTheme="minorHAnsi"/>
          <w:szCs w:val="22"/>
          <w:lang w:val="en-GB"/>
        </w:rPr>
        <w:t xml:space="preserve"> refers to respondent</w:t>
      </w:r>
      <w:r w:rsidR="004B62EB">
        <w:rPr>
          <w:rFonts w:asciiTheme="minorHAnsi" w:hAnsiTheme="minorHAnsi"/>
          <w:szCs w:val="22"/>
          <w:lang w:val="en-GB"/>
        </w:rPr>
        <w:t>s</w:t>
      </w:r>
      <w:r w:rsidRPr="000965BA">
        <w:rPr>
          <w:rFonts w:asciiTheme="minorHAnsi" w:hAnsiTheme="minorHAnsi"/>
          <w:szCs w:val="22"/>
          <w:lang w:val="en-GB"/>
        </w:rPr>
        <w:t>. Patient is a dummy variable, which is one if a respondent visited a hospital and zero otherwise. The # denotes an interaction matrix, which obtains beta coefficients</w:t>
      </w:r>
      <m:oMath>
        <m:r>
          <m:rPr>
            <m:sty m:val="bi"/>
          </m:rPr>
          <w:rPr>
            <w:rFonts w:ascii="Cambria Math" w:hAnsiTheme="minorHAnsi"/>
            <w:szCs w:val="22"/>
            <w:lang w:val="en-GB"/>
          </w:rPr>
          <m:t xml:space="preserve"> </m:t>
        </m:r>
      </m:oMath>
      <w:r w:rsidRPr="000965BA">
        <w:rPr>
          <w:rFonts w:asciiTheme="minorHAnsi" w:hAnsiTheme="minorHAnsi"/>
          <w:szCs w:val="22"/>
          <w:lang w:val="en-GB"/>
        </w:rPr>
        <w:t xml:space="preserve">for each vector.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Pr="000965BA">
        <w:rPr>
          <w:rFonts w:asciiTheme="minorHAnsi" w:hAnsiTheme="minorHAnsi"/>
          <w:szCs w:val="22"/>
          <w:lang w:val="en-GB"/>
        </w:rPr>
        <w:t xml:space="preserve"> estimates the difference in QALYs between patients and the healthy population for males and females, respectively.</w:t>
      </w:r>
      <w:r w:rsidR="00F32A99" w:rsidRPr="000965BA">
        <w:rPr>
          <w:rFonts w:asciiTheme="minorHAnsi" w:hAnsiTheme="minorHAnsi"/>
          <w:szCs w:val="22"/>
          <w:lang w:val="en-GB"/>
        </w:rPr>
        <w:t xml:space="preserve"> </w:t>
      </w:r>
      <w:r w:rsidRPr="000965BA">
        <w:rPr>
          <w:rFonts w:asciiTheme="minorHAnsi" w:hAnsiTheme="minorHAnsi"/>
          <w:szCs w:val="22"/>
          <w:lang w:val="en-GB"/>
        </w:rPr>
        <w:t>A</w:t>
      </w:r>
      <w:r>
        <w:rPr>
          <w:rFonts w:asciiTheme="minorHAnsi" w:hAnsiTheme="minorHAnsi"/>
          <w:szCs w:val="22"/>
          <w:lang w:val="en-GB"/>
        </w:rPr>
        <w:t xml:space="preserve"> negative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Pr="000965BA">
        <w:rPr>
          <w:rFonts w:asciiTheme="minorHAnsi" w:hAnsiTheme="minorHAnsi"/>
          <w:szCs w:val="22"/>
          <w:lang w:val="en-GB"/>
        </w:rPr>
        <w:t xml:space="preserve"> indicates that patients have lower health than the population, which is what the health sector in theory could achieve if all patients are fully healed.</w:t>
      </w:r>
      <w:r>
        <w:rPr>
          <w:rFonts w:asciiTheme="minorHAnsi" w:hAnsiTheme="minorHAnsi"/>
          <w:szCs w:val="22"/>
          <w:lang w:val="en-GB"/>
        </w:rPr>
        <w:t xml:space="preserve"> </w:t>
      </w:r>
      <w:r w:rsidR="00F32A99" w:rsidRPr="000965BA">
        <w:rPr>
          <w:rFonts w:asciiTheme="minorHAnsi" w:hAnsiTheme="minorHAnsi"/>
          <w:szCs w:val="22"/>
          <w:lang w:val="en-GB"/>
        </w:rPr>
        <w:t xml:space="preserve">If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Pr="000965BA">
        <w:rPr>
          <w:rFonts w:asciiTheme="minorHAnsi" w:hAnsiTheme="minorHAnsi"/>
          <w:szCs w:val="22"/>
          <w:lang w:val="en-GB"/>
        </w:rPr>
        <w:t xml:space="preserve"> </w:t>
      </w:r>
      <w:r w:rsidR="00F32A99" w:rsidRPr="000965BA">
        <w:rPr>
          <w:rFonts w:asciiTheme="minorHAnsi" w:hAnsiTheme="minorHAnsi"/>
          <w:szCs w:val="22"/>
          <w:lang w:val="en-GB"/>
        </w:rPr>
        <w:t xml:space="preserve">is zero, the health sector brings all patients back to the health level of the </w:t>
      </w:r>
      <w:r>
        <w:rPr>
          <w:rFonts w:asciiTheme="minorHAnsi" w:hAnsiTheme="minorHAnsi"/>
          <w:szCs w:val="22"/>
          <w:lang w:val="en-GB"/>
        </w:rPr>
        <w:t xml:space="preserve">healthy </w:t>
      </w:r>
      <w:r w:rsidR="00F32A99" w:rsidRPr="000965BA">
        <w:rPr>
          <w:rFonts w:asciiTheme="minorHAnsi" w:hAnsiTheme="minorHAnsi"/>
          <w:szCs w:val="22"/>
          <w:lang w:val="en-GB"/>
        </w:rPr>
        <w:t xml:space="preserve">population. </w:t>
      </w:r>
    </w:p>
    <w:p w14:paraId="3E6248D1" w14:textId="77777777" w:rsidR="003207EE" w:rsidRDefault="003207EE" w:rsidP="00B20B59">
      <w:pPr>
        <w:spacing w:line="360" w:lineRule="auto"/>
        <w:jc w:val="both"/>
        <w:rPr>
          <w:rFonts w:asciiTheme="minorHAnsi" w:hAnsiTheme="minorHAnsi"/>
          <w:szCs w:val="22"/>
          <w:lang w:val="en-GB"/>
        </w:rPr>
      </w:pPr>
      <w:r>
        <w:rPr>
          <w:rFonts w:asciiTheme="minorHAnsi" w:hAnsiTheme="minorHAnsi"/>
          <w:szCs w:val="22"/>
          <w:lang w:val="en-GB"/>
        </w:rPr>
        <w:tab/>
        <w:t>However, n</w:t>
      </w:r>
      <w:r w:rsidR="00F32A99" w:rsidRPr="000965BA">
        <w:rPr>
          <w:rFonts w:asciiTheme="minorHAnsi" w:hAnsiTheme="minorHAnsi"/>
          <w:szCs w:val="22"/>
          <w:lang w:val="en-GB"/>
        </w:rPr>
        <w:t xml:space="preserve">ot all QALY gains in the population may be attributed to the health sector. Other factors, such as healthier lifestyles and environments may improve QALYs exogenously. </w:t>
      </w:r>
      <w:r>
        <w:rPr>
          <w:rFonts w:asciiTheme="minorHAnsi" w:hAnsiTheme="minorHAnsi"/>
          <w:szCs w:val="22"/>
          <w:lang w:val="en-GB"/>
        </w:rPr>
        <w:t>Therefore</w:t>
      </w:r>
      <w:r w:rsidR="00F32A99" w:rsidRPr="000965BA">
        <w:rPr>
          <w:rFonts w:asciiTheme="minorHAnsi" w:hAnsiTheme="minorHAnsi"/>
          <w:szCs w:val="22"/>
          <w:lang w:val="en-GB"/>
        </w:rPr>
        <w:t xml:space="preserve">, we assume that all </w:t>
      </w:r>
      <w:r w:rsidR="00F32A99" w:rsidRPr="000965BA">
        <w:rPr>
          <w:rFonts w:asciiTheme="minorHAnsi" w:hAnsiTheme="minorHAnsi"/>
          <w:i/>
          <w:szCs w:val="22"/>
          <w:lang w:val="en-GB"/>
        </w:rPr>
        <w:t>patient</w:t>
      </w:r>
      <w:r w:rsidR="00F32A99" w:rsidRPr="000965BA">
        <w:rPr>
          <w:rFonts w:asciiTheme="minorHAnsi" w:hAnsiTheme="minorHAnsi"/>
          <w:szCs w:val="22"/>
          <w:lang w:val="en-GB"/>
        </w:rPr>
        <w:t xml:space="preserve"> QALY gains can be attributed to the health sector due to confounding by indication. If the health level of the patient population rises exogenously, the healthiest patients </w:t>
      </w:r>
      <w:r>
        <w:rPr>
          <w:rFonts w:asciiTheme="minorHAnsi" w:hAnsiTheme="minorHAnsi"/>
          <w:szCs w:val="22"/>
          <w:lang w:val="en-GB"/>
        </w:rPr>
        <w:t>may</w:t>
      </w:r>
      <w:r w:rsidR="00F32A99" w:rsidRPr="000965BA">
        <w:rPr>
          <w:rFonts w:asciiTheme="minorHAnsi" w:hAnsiTheme="minorHAnsi"/>
          <w:szCs w:val="22"/>
          <w:lang w:val="en-GB"/>
        </w:rPr>
        <w:t xml:space="preserve"> not visit the hospital anymore</w:t>
      </w:r>
      <w:r>
        <w:rPr>
          <w:rFonts w:asciiTheme="minorHAnsi" w:hAnsiTheme="minorHAnsi"/>
          <w:szCs w:val="22"/>
          <w:lang w:val="en-GB"/>
        </w:rPr>
        <w:t xml:space="preserve"> and move to the group of non-patients. This can be corrected for by assuming</w:t>
      </w:r>
      <w:r w:rsidR="00F32A99" w:rsidRPr="000965BA">
        <w:rPr>
          <w:rFonts w:asciiTheme="minorHAnsi" w:hAnsiTheme="minorHAnsi"/>
          <w:szCs w:val="22"/>
          <w:lang w:val="en-GB"/>
        </w:rPr>
        <w:t xml:space="preserve"> that the QALY scores of patients </w:t>
      </w:r>
      <w:r>
        <w:rPr>
          <w:rFonts w:asciiTheme="minorHAnsi" w:hAnsiTheme="minorHAnsi"/>
          <w:szCs w:val="22"/>
          <w:lang w:val="en-GB"/>
        </w:rPr>
        <w:t xml:space="preserve">before they visit the hospital </w:t>
      </w:r>
      <w:r w:rsidR="00F32A99" w:rsidRPr="000965BA">
        <w:rPr>
          <w:rFonts w:asciiTheme="minorHAnsi" w:hAnsiTheme="minorHAnsi"/>
          <w:szCs w:val="22"/>
          <w:lang w:val="en-GB"/>
        </w:rPr>
        <w:t xml:space="preserve">is not affected by exogenous increases in the health of the population. </w:t>
      </w:r>
      <w:r>
        <w:rPr>
          <w:rFonts w:asciiTheme="minorHAnsi" w:hAnsiTheme="minorHAnsi"/>
          <w:szCs w:val="22"/>
          <w:lang w:val="en-GB"/>
        </w:rPr>
        <w:t>As a result,</w:t>
      </w:r>
      <w:r w:rsidR="00F32A99" w:rsidRPr="000965BA">
        <w:rPr>
          <w:rFonts w:asciiTheme="minorHAnsi" w:hAnsiTheme="minorHAnsi"/>
          <w:szCs w:val="22"/>
          <w:lang w:val="en-GB"/>
        </w:rPr>
        <w:t xml:space="preserve"> exogenous QALY gains are not reflected in patient group QALY levels, and changes in patient QALY scores may be fully attributed to the health sector. </w:t>
      </w:r>
      <w:r>
        <w:rPr>
          <w:rFonts w:asciiTheme="minorHAnsi" w:hAnsiTheme="minorHAnsi"/>
          <w:szCs w:val="22"/>
          <w:lang w:val="en-GB"/>
        </w:rPr>
        <w:tab/>
        <w:t xml:space="preserve">To estimate trends in patient QALY score, we use a second pooled OLS estimation: </w:t>
      </w:r>
    </w:p>
    <w:p w14:paraId="5B904E25" w14:textId="77777777" w:rsidR="004B62EB" w:rsidRDefault="004B62EB" w:rsidP="00B20B59">
      <w:pPr>
        <w:spacing w:line="360" w:lineRule="auto"/>
        <w:jc w:val="both"/>
        <w:rPr>
          <w:rFonts w:asciiTheme="minorHAnsi" w:hAnsiTheme="minorHAnsi"/>
          <w:szCs w:val="22"/>
          <w:lang w:val="en-GB"/>
        </w:rPr>
      </w:pPr>
    </w:p>
    <w:p w14:paraId="4A12C193" w14:textId="77777777" w:rsidR="003207EE" w:rsidRPr="004B62EB" w:rsidRDefault="00322D94" w:rsidP="004B62EB">
      <w:pPr>
        <w:pStyle w:val="Prrafodelista"/>
        <w:numPr>
          <w:ilvl w:val="0"/>
          <w:numId w:val="5"/>
        </w:numPr>
        <w:spacing w:line="360" w:lineRule="auto"/>
        <w:jc w:val="both"/>
        <w:rPr>
          <w:rFonts w:asciiTheme="minorHAnsi" w:hAnsiTheme="minorHAnsi"/>
          <w:szCs w:val="22"/>
          <w:lang w:val="en-GB"/>
        </w:rPr>
      </w:pPr>
      <m:oMath>
        <m:sSub>
          <m:sSubPr>
            <m:ctrlPr>
              <w:rPr>
                <w:rFonts w:ascii="Cambria Math" w:hAnsiTheme="minorHAnsi"/>
                <w:i/>
                <w:szCs w:val="22"/>
                <w:lang w:val="en-GB"/>
              </w:rPr>
            </m:ctrlPr>
          </m:sSubPr>
          <m:e>
            <m:r>
              <w:rPr>
                <w:rFonts w:ascii="Cambria Math" w:hAnsi="Cambria Math"/>
                <w:szCs w:val="22"/>
                <w:lang w:val="en-GB"/>
              </w:rPr>
              <m:t>Qaly</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γ</m:t>
            </m:r>
          </m:e>
          <m:sub>
            <m:r>
              <w:rPr>
                <w:rFonts w:ascii="Cambria Math" w:hAnsiTheme="minorHAnsi"/>
                <w:szCs w:val="22"/>
                <w:lang w:val="en-GB"/>
              </w:rPr>
              <m:t>0</m:t>
            </m:r>
          </m:sub>
        </m:sSub>
        <m:r>
          <w:rPr>
            <w:rFonts w:ascii="Cambria Math" w:hAnsiTheme="minorHAnsi"/>
            <w:szCs w:val="22"/>
            <w:lang w:val="en-GB"/>
          </w:rPr>
          <m:t>+</m:t>
        </m:r>
        <m:sSub>
          <m:sSubPr>
            <m:ctrlPr>
              <w:rPr>
                <w:rFonts w:ascii="Cambria Math" w:hAnsiTheme="minorHAnsi"/>
                <w:b/>
                <w:i/>
                <w:szCs w:val="22"/>
                <w:lang w:val="en-GB"/>
              </w:rPr>
            </m:ctrlPr>
          </m:sSubPr>
          <m:e>
            <m:r>
              <m:rPr>
                <m:sty m:val="bi"/>
              </m:rPr>
              <w:rPr>
                <w:rFonts w:ascii="Cambria Math" w:hAnsi="Cambria Math"/>
                <w:szCs w:val="22"/>
                <w:lang w:val="en-GB"/>
              </w:rPr>
              <m:t>γ</m:t>
            </m:r>
          </m:e>
          <m:sub>
            <m:r>
              <m:rPr>
                <m:sty m:val="bi"/>
              </m:rPr>
              <w:rPr>
                <w:rFonts w:ascii="Cambria Math" w:hAnsi="Cambria Math"/>
                <w:szCs w:val="22"/>
                <w:lang w:val="en-GB"/>
              </w:rPr>
              <m:t>x</m:t>
            </m:r>
          </m:sub>
        </m:sSub>
        <m:r>
          <m:rPr>
            <m:sty m:val="bi"/>
          </m:rPr>
          <w:rPr>
            <w:rFonts w:ascii="Cambria Math" w:hAnsiTheme="minorHAnsi"/>
            <w:szCs w:val="22"/>
            <w:lang w:val="en-GB"/>
          </w:rPr>
          <m:t xml:space="preserve"> </m:t>
        </m:r>
        <m:sSub>
          <m:sSubPr>
            <m:ctrlPr>
              <w:rPr>
                <w:rFonts w:ascii="Cambria Math" w:hAnsiTheme="minorHAnsi"/>
                <w:i/>
                <w:szCs w:val="22"/>
                <w:lang w:val="en-GB"/>
              </w:rPr>
            </m:ctrlPr>
          </m:sSubPr>
          <m:e>
            <m:r>
              <w:rPr>
                <w:rFonts w:ascii="Cambria Math" w:hAnsi="Cambria Math"/>
                <w:szCs w:val="22"/>
                <w:lang w:val="en-GB"/>
              </w:rPr>
              <m:t>age</m:t>
            </m:r>
            <m:r>
              <w:rPr>
                <w:rFonts w:ascii="Cambria Math" w:hAnsiTheme="minorHAnsi"/>
                <w:szCs w:val="22"/>
                <w:lang w:val="en-GB"/>
              </w:rPr>
              <m:t xml:space="preserve"> </m:t>
            </m:r>
            <m:r>
              <w:rPr>
                <w:rFonts w:ascii="Cambria Math" w:hAnsi="Cambria Math"/>
                <w:szCs w:val="22"/>
                <w:lang w:val="en-GB"/>
              </w:rPr>
              <m:t>group</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gender</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year</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γ</m:t>
            </m:r>
          </m:e>
          <m:sub>
            <m:r>
              <w:rPr>
                <w:rFonts w:ascii="Cambria Math" w:hAnsiTheme="minorHAnsi"/>
                <w:szCs w:val="22"/>
                <w:lang w:val="en-GB"/>
              </w:rPr>
              <m:t>2</m:t>
            </m:r>
          </m:sub>
        </m:sSub>
        <m:sSub>
          <m:sSubPr>
            <m:ctrlPr>
              <w:rPr>
                <w:rFonts w:ascii="Cambria Math" w:hAnsiTheme="minorHAnsi"/>
                <w:i/>
                <w:szCs w:val="22"/>
                <w:lang w:val="en-GB"/>
              </w:rPr>
            </m:ctrlPr>
          </m:sSubPr>
          <m:e>
            <m:r>
              <w:rPr>
                <w:rFonts w:ascii="Cambria Math" w:hAnsi="Cambria Math"/>
                <w:szCs w:val="22"/>
                <w:lang w:val="en-GB"/>
              </w:rPr>
              <m:t>demographics</m:t>
            </m:r>
          </m:e>
          <m:sub>
            <m:r>
              <w:rPr>
                <w:rFonts w:ascii="Cambria Math" w:hAnsi="Cambria Math"/>
                <w:szCs w:val="22"/>
                <w:lang w:val="en-GB"/>
              </w:rPr>
              <m:t>p</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ε</m:t>
            </m:r>
          </m:e>
          <m:sub>
            <m:r>
              <w:rPr>
                <w:rFonts w:ascii="Cambria Math" w:hAnsi="Cambria Math"/>
                <w:szCs w:val="22"/>
                <w:lang w:val="en-GB"/>
              </w:rPr>
              <m:t>p</m:t>
            </m:r>
          </m:sub>
        </m:sSub>
      </m:oMath>
      <w:r w:rsidR="003207EE" w:rsidRPr="004B62EB">
        <w:rPr>
          <w:rFonts w:asciiTheme="minorHAnsi" w:hAnsiTheme="minorHAnsi"/>
          <w:szCs w:val="22"/>
          <w:lang w:val="en-GB"/>
        </w:rPr>
        <w:t xml:space="preserve"> </w:t>
      </w:r>
    </w:p>
    <w:p w14:paraId="4C98FFF7" w14:textId="77777777" w:rsidR="004B62EB" w:rsidRPr="004B62EB" w:rsidRDefault="004B62EB" w:rsidP="004B62EB">
      <w:pPr>
        <w:pStyle w:val="Prrafodelista"/>
        <w:spacing w:line="360" w:lineRule="auto"/>
        <w:jc w:val="both"/>
        <w:rPr>
          <w:rFonts w:asciiTheme="minorHAnsi" w:hAnsiTheme="minorHAnsi"/>
          <w:szCs w:val="22"/>
          <w:lang w:val="en-GB"/>
        </w:rPr>
      </w:pPr>
    </w:p>
    <w:p w14:paraId="24A07F39" w14:textId="77777777" w:rsidR="00FD168E" w:rsidRPr="000965BA" w:rsidRDefault="004B62EB"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Where subscript p to a subset of respondents that visited the hospital </w:t>
      </w:r>
      <w:proofErr w:type="gramStart"/>
      <w:r w:rsidRPr="000965BA">
        <w:rPr>
          <w:rFonts w:asciiTheme="minorHAnsi" w:hAnsiTheme="minorHAnsi"/>
          <w:szCs w:val="22"/>
          <w:lang w:val="en-GB"/>
        </w:rPr>
        <w:t>in a given year</w:t>
      </w:r>
      <w:proofErr w:type="gramEnd"/>
      <w:r w:rsidRPr="000965BA">
        <w:rPr>
          <w:rFonts w:asciiTheme="minorHAnsi" w:hAnsiTheme="minorHAnsi"/>
          <w:szCs w:val="22"/>
          <w:lang w:val="en-GB"/>
        </w:rPr>
        <w:t xml:space="preserve"> (patients). </w:t>
      </w:r>
      <w:r w:rsidR="003207EE" w:rsidRPr="000965BA">
        <w:rPr>
          <w:rFonts w:asciiTheme="minorHAnsi" w:hAnsiTheme="minorHAnsi"/>
          <w:szCs w:val="22"/>
          <w:lang w:val="en-GB"/>
        </w:rPr>
        <w:t xml:space="preserve">The matrix of coefficients </w:t>
      </w:r>
      <m:oMath>
        <m:sSub>
          <m:sSubPr>
            <m:ctrlPr>
              <w:rPr>
                <w:rFonts w:ascii="Cambria Math" w:hAnsiTheme="minorHAnsi"/>
                <w:b/>
                <w:i/>
                <w:szCs w:val="22"/>
                <w:lang w:val="en-GB"/>
              </w:rPr>
            </m:ctrlPr>
          </m:sSubPr>
          <m:e>
            <m:r>
              <m:rPr>
                <m:sty m:val="bi"/>
              </m:rPr>
              <w:rPr>
                <w:rFonts w:ascii="Cambria Math" w:hAnsi="Cambria Math"/>
                <w:szCs w:val="22"/>
                <w:lang w:val="en-GB"/>
              </w:rPr>
              <m:t>γ</m:t>
            </m:r>
          </m:e>
          <m:sub>
            <m:r>
              <m:rPr>
                <m:sty m:val="bi"/>
              </m:rPr>
              <w:rPr>
                <w:rFonts w:ascii="Cambria Math" w:hAnsi="Cambria Math"/>
                <w:szCs w:val="22"/>
                <w:lang w:val="en-GB"/>
              </w:rPr>
              <m:t>x</m:t>
            </m:r>
          </m:sub>
        </m:sSub>
      </m:oMath>
      <w:r w:rsidR="003207EE" w:rsidRPr="000965BA">
        <w:rPr>
          <w:rFonts w:asciiTheme="minorHAnsi" w:hAnsiTheme="minorHAnsi"/>
          <w:szCs w:val="22"/>
          <w:lang w:val="en-GB"/>
        </w:rPr>
        <w:t xml:space="preserve"> consists of estimates of annual changes in QALYs for patient groups based on age and gender.</w:t>
      </w:r>
      <w:r w:rsidR="003207EE">
        <w:rPr>
          <w:rFonts w:asciiTheme="minorHAnsi" w:hAnsiTheme="minorHAnsi"/>
          <w:szCs w:val="22"/>
          <w:lang w:val="en-GB"/>
        </w:rPr>
        <w:t xml:space="preserve"> </w:t>
      </w:r>
      <w:r w:rsidR="00FD168E" w:rsidRPr="000965BA">
        <w:rPr>
          <w:rFonts w:asciiTheme="minorHAnsi" w:hAnsiTheme="minorHAnsi"/>
          <w:szCs w:val="22"/>
          <w:lang w:val="en-GB"/>
        </w:rPr>
        <w:t xml:space="preserve">A linear extrapolation is used to obtain values for patient groups under 50. The data do not allow disaggregation into disease groups. QALY losses due to morbidity are constructed by subtracting </w:t>
      </w:r>
      <m:oMath>
        <m:sSub>
          <m:sSubPr>
            <m:ctrlPr>
              <w:rPr>
                <w:rFonts w:ascii="Cambria Math" w:hAnsiTheme="minorHAnsi"/>
                <w:b/>
                <w:i/>
                <w:szCs w:val="22"/>
                <w:lang w:val="en-GB"/>
              </w:rPr>
            </m:ctrlPr>
          </m:sSubPr>
          <m:e>
            <m:r>
              <m:rPr>
                <m:sty m:val="bi"/>
              </m:rPr>
              <w:rPr>
                <w:rFonts w:ascii="Cambria Math" w:hAnsi="Cambria Math"/>
                <w:szCs w:val="22"/>
                <w:lang w:val="en-GB"/>
              </w:rPr>
              <m:t>γ</m:t>
            </m:r>
          </m:e>
          <m:sub>
            <m:r>
              <m:rPr>
                <m:sty m:val="bi"/>
              </m:rPr>
              <w:rPr>
                <w:rFonts w:ascii="Cambria Math" w:hAnsi="Cambria Math"/>
                <w:szCs w:val="22"/>
                <w:lang w:val="en-GB"/>
              </w:rPr>
              <m:t>x</m:t>
            </m:r>
          </m:sub>
        </m:sSub>
        <m:r>
          <m:rPr>
            <m:sty m:val="p"/>
          </m:rPr>
          <w:rPr>
            <w:rFonts w:ascii="Cambria Math" w:hAnsi="Cambria Math"/>
            <w:szCs w:val="22"/>
            <w:lang w:val="en-GB"/>
          </w:rPr>
          <m:t>*</m:t>
        </m:r>
        <m:r>
          <m:rPr>
            <m:sty m:val="p"/>
          </m:rPr>
          <w:rPr>
            <w:rFonts w:ascii="Cambria Math" w:hAnsiTheme="minorHAnsi"/>
            <w:szCs w:val="22"/>
            <w:lang w:val="en-GB"/>
          </w:rPr>
          <m:t xml:space="preserve">year </m:t>
        </m:r>
      </m:oMath>
      <w:r w:rsidR="00FD168E" w:rsidRPr="000965BA">
        <w:rPr>
          <w:rFonts w:asciiTheme="minorHAnsi" w:hAnsiTheme="minorHAnsi"/>
          <w:szCs w:val="22"/>
          <w:lang w:val="en-GB"/>
        </w:rPr>
        <w:t xml:space="preserve">from </w:t>
      </w:r>
      <m:oMath>
        <m:sSub>
          <m:sSubPr>
            <m:ctrlPr>
              <w:rPr>
                <w:rFonts w:ascii="Cambria Math" w:hAnsiTheme="minorHAnsi"/>
                <w:b/>
                <w:i/>
                <w:szCs w:val="22"/>
                <w:lang w:val="en-GB"/>
              </w:rPr>
            </m:ctrlPr>
          </m:sSubPr>
          <m:e>
            <m:r>
              <m:rPr>
                <m:sty m:val="bi"/>
              </m:rPr>
              <w:rPr>
                <w:rFonts w:ascii="Cambria Math" w:hAnsi="Cambria Math"/>
                <w:szCs w:val="22"/>
                <w:lang w:val="en-GB"/>
              </w:rPr>
              <m:t>β</m:t>
            </m:r>
          </m:e>
          <m:sub>
            <m:r>
              <m:rPr>
                <m:sty m:val="bi"/>
              </m:rPr>
              <w:rPr>
                <w:rFonts w:ascii="Cambria Math" w:hAnsi="Cambria Math"/>
                <w:szCs w:val="22"/>
                <w:lang w:val="en-GB"/>
              </w:rPr>
              <m:t>x</m:t>
            </m:r>
          </m:sub>
        </m:sSub>
      </m:oMath>
      <w:r w:rsidR="00FD168E" w:rsidRPr="000965BA">
        <w:rPr>
          <w:rFonts w:asciiTheme="minorHAnsi" w:hAnsiTheme="minorHAnsi"/>
          <w:b/>
          <w:szCs w:val="22"/>
          <w:lang w:val="en-GB"/>
        </w:rPr>
        <w:t xml:space="preserve"> </w:t>
      </w:r>
      <w:r w:rsidR="00FD168E" w:rsidRPr="000965BA">
        <w:rPr>
          <w:rFonts w:asciiTheme="minorHAnsi" w:hAnsiTheme="minorHAnsi"/>
          <w:szCs w:val="22"/>
          <w:lang w:val="en-GB"/>
        </w:rPr>
        <w:t xml:space="preserve">for every patient per patient group. The QALY estimates are extrapolated to patient groups to obtain the total number of QALYs lost to illness per patient group: </w:t>
      </w:r>
    </w:p>
    <w:p w14:paraId="3C3D750A" w14:textId="77777777" w:rsidR="003207EE" w:rsidRDefault="00322D94" w:rsidP="003207EE">
      <w:pPr>
        <w:spacing w:line="360" w:lineRule="auto"/>
        <w:jc w:val="both"/>
        <w:rPr>
          <w:rFonts w:asciiTheme="minorHAnsi" w:hAnsiTheme="minorHAnsi"/>
          <w:szCs w:val="22"/>
          <w:lang w:val="en-GB"/>
        </w:rPr>
      </w:pPr>
      <m:oMathPara>
        <m:oMath>
          <m:sSubSup>
            <m:sSubSupPr>
              <m:ctrlPr>
                <w:rPr>
                  <w:rFonts w:ascii="Cambria Math" w:hAnsiTheme="minorHAnsi"/>
                  <w:i/>
                  <w:szCs w:val="22"/>
                  <w:lang w:val="en-GB"/>
                </w:rPr>
              </m:ctrlPr>
            </m:sSubSupPr>
            <m:e>
              <m:r>
                <w:rPr>
                  <w:rFonts w:ascii="Cambria Math" w:hAnsi="Cambria Math"/>
                  <w:szCs w:val="22"/>
                  <w:lang w:val="en-GB"/>
                </w:rPr>
                <m:t>QALY</m:t>
              </m:r>
            </m:e>
            <m:sub>
              <m:r>
                <w:rPr>
                  <w:rFonts w:ascii="Cambria Math" w:hAnsi="Cambria Math"/>
                  <w:szCs w:val="22"/>
                  <w:lang w:val="en-GB"/>
                </w:rPr>
                <m:t>i</m:t>
              </m:r>
              <m:r>
                <w:rPr>
                  <w:rFonts w:ascii="Cambria Math" w:hAnsiTheme="minorHAnsi"/>
                  <w:szCs w:val="22"/>
                  <w:lang w:val="en-GB"/>
                </w:rPr>
                <m:t>,</m:t>
              </m:r>
              <m:r>
                <w:rPr>
                  <w:rFonts w:ascii="Cambria Math" w:hAnsi="Cambria Math"/>
                  <w:szCs w:val="22"/>
                  <w:lang w:val="en-GB"/>
                </w:rPr>
                <m:t>t</m:t>
              </m:r>
            </m:sub>
            <m:sup>
              <m:r>
                <w:rPr>
                  <w:rFonts w:ascii="Cambria Math" w:hAnsi="Cambria Math"/>
                  <w:szCs w:val="22"/>
                  <w:lang w:val="en-GB"/>
                </w:rPr>
                <m:t>D</m:t>
              </m:r>
            </m:sup>
          </m:sSubSup>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β</m:t>
              </m:r>
            </m:e>
            <m:sub>
              <m:r>
                <w:rPr>
                  <w:rFonts w:ascii="Cambria Math" w:hAnsi="Cambria Math"/>
                  <w:szCs w:val="22"/>
                  <w:lang w:val="en-GB"/>
                </w:rPr>
                <m:t>i</m:t>
              </m:r>
            </m:sub>
          </m:sSub>
          <m:r>
            <w:rPr>
              <w:rFonts w:ascii="Cambria Math" w:hAnsiTheme="minorHAnsi"/>
              <w:szCs w:val="22"/>
              <w:lang w:val="en-GB"/>
            </w:rPr>
            <m:t>-</m:t>
          </m:r>
          <m:sSub>
            <m:sSubPr>
              <m:ctrlPr>
                <w:rPr>
                  <w:rFonts w:ascii="Cambria Math" w:hAnsiTheme="minorHAnsi"/>
                  <w:i/>
                  <w:szCs w:val="22"/>
                  <w:lang w:val="en-GB"/>
                </w:rPr>
              </m:ctrlPr>
            </m:sSubPr>
            <m:e>
              <m:r>
                <w:rPr>
                  <w:rFonts w:ascii="Cambria Math" w:hAnsi="Cambria Math"/>
                  <w:szCs w:val="22"/>
                  <w:lang w:val="en-GB"/>
                </w:rPr>
                <m:t>γ</m:t>
              </m:r>
            </m:e>
            <m:sub>
              <m:r>
                <w:rPr>
                  <w:rFonts w:ascii="Cambria Math" w:hAnsi="Cambria Math"/>
                  <w:szCs w:val="22"/>
                  <w:lang w:val="en-GB"/>
                </w:rPr>
                <m:t>i</m:t>
              </m:r>
            </m:sub>
          </m:sSub>
          <m:r>
            <w:rPr>
              <w:rFonts w:asciiTheme="minorHAnsi" w:hAnsi="Cambria Math"/>
              <w:szCs w:val="22"/>
              <w:lang w:val="en-GB"/>
            </w:rPr>
            <m:t>*</m:t>
          </m:r>
          <m:r>
            <w:rPr>
              <w:rFonts w:ascii="Cambria Math" w:hAnsi="Cambria Math"/>
              <w:szCs w:val="22"/>
              <w:lang w:val="en-GB"/>
            </w:rPr>
            <m:t>t</m:t>
          </m:r>
          <m:r>
            <w:rPr>
              <w:rFonts w:ascii="Cambria Math" w:hAnsiTheme="minorHAnsi"/>
              <w:szCs w:val="22"/>
              <w:lang w:val="en-GB"/>
            </w:rPr>
            <m:t>)</m:t>
          </m:r>
          <m:r>
            <w:rPr>
              <w:rFonts w:ascii="Cambria Math" w:hAnsi="Cambria Math"/>
              <w:szCs w:val="22"/>
              <w:lang w:val="en-GB"/>
            </w:rPr>
            <m:t>*</m:t>
          </m:r>
          <m:sSub>
            <m:sSubPr>
              <m:ctrlPr>
                <w:rPr>
                  <w:rFonts w:ascii="Cambria Math" w:hAnsiTheme="minorHAnsi"/>
                  <w:i/>
                  <w:szCs w:val="22"/>
                  <w:lang w:val="en-GB"/>
                </w:rPr>
              </m:ctrlPr>
            </m:sSubPr>
            <m:e>
              <m:r>
                <w:rPr>
                  <w:rFonts w:ascii="Cambria Math" w:hAnsi="Cambria Math"/>
                  <w:szCs w:val="22"/>
                  <w:lang w:val="en-GB"/>
                </w:rPr>
                <m:t>N</m:t>
              </m:r>
            </m:e>
            <m:sub>
              <m:r>
                <w:rPr>
                  <w:rFonts w:ascii="Cambria Math" w:hAnsi="Cambria Math"/>
                  <w:szCs w:val="22"/>
                  <w:lang w:val="en-GB"/>
                </w:rPr>
                <m:t>i</m:t>
              </m:r>
              <m:r>
                <w:rPr>
                  <w:rFonts w:ascii="Cambria Math" w:hAnsiTheme="minorHAnsi"/>
                  <w:szCs w:val="22"/>
                  <w:lang w:val="en-GB"/>
                </w:rPr>
                <m:t>,</m:t>
              </m:r>
              <m:r>
                <w:rPr>
                  <w:rFonts w:ascii="Cambria Math" w:hAnsi="Cambria Math"/>
                  <w:szCs w:val="22"/>
                  <w:lang w:val="en-GB"/>
                </w:rPr>
                <m:t>t</m:t>
              </m:r>
            </m:sub>
          </m:sSub>
        </m:oMath>
      </m:oMathPara>
    </w:p>
    <w:p w14:paraId="1CBFD77A" w14:textId="77777777" w:rsidR="00FD168E" w:rsidRPr="000965BA" w:rsidRDefault="00FD168E" w:rsidP="003207EE">
      <w:pPr>
        <w:spacing w:line="360" w:lineRule="auto"/>
        <w:jc w:val="both"/>
        <w:rPr>
          <w:rFonts w:asciiTheme="minorHAnsi" w:hAnsiTheme="minorHAnsi"/>
          <w:szCs w:val="22"/>
          <w:lang w:val="en-GB"/>
        </w:rPr>
      </w:pPr>
      <w:r w:rsidRPr="000965BA">
        <w:rPr>
          <w:rFonts w:asciiTheme="minorHAnsi" w:hAnsiTheme="minorHAnsi"/>
          <w:szCs w:val="22"/>
          <w:lang w:val="en-GB"/>
        </w:rPr>
        <w:t xml:space="preserve">Tables </w:t>
      </w:r>
      <w:r w:rsidR="009842CC" w:rsidRPr="000965BA">
        <w:rPr>
          <w:rFonts w:asciiTheme="minorHAnsi" w:hAnsiTheme="minorHAnsi"/>
          <w:szCs w:val="22"/>
          <w:lang w:val="en-GB"/>
        </w:rPr>
        <w:t>6-7</w:t>
      </w:r>
      <w:r w:rsidRPr="000965BA">
        <w:rPr>
          <w:rFonts w:asciiTheme="minorHAnsi" w:hAnsiTheme="minorHAnsi"/>
          <w:szCs w:val="22"/>
          <w:lang w:val="en-GB"/>
        </w:rPr>
        <w:t xml:space="preserve"> show the results of the regression on the questionnaires database. The regressions also estimate that on average a male resp. female patient that visited the hospital has 0.08 (se=0.005) </w:t>
      </w:r>
      <w:r w:rsidRPr="000965BA">
        <w:rPr>
          <w:rFonts w:asciiTheme="minorHAnsi" w:hAnsiTheme="minorHAnsi"/>
          <w:szCs w:val="22"/>
          <w:lang w:val="en-GB"/>
        </w:rPr>
        <w:lastRenderedPageBreak/>
        <w:t xml:space="preserve">and 0.10 (se=0.008) fewer QALYs than the population that did not </w:t>
      </w:r>
      <w:r w:rsidR="00651B13" w:rsidRPr="000965BA">
        <w:rPr>
          <w:rFonts w:asciiTheme="minorHAnsi" w:hAnsiTheme="minorHAnsi"/>
          <w:szCs w:val="22"/>
          <w:lang w:val="en-GB"/>
        </w:rPr>
        <w:t>visit</w:t>
      </w:r>
      <w:r w:rsidRPr="000965BA">
        <w:rPr>
          <w:rFonts w:asciiTheme="minorHAnsi" w:hAnsiTheme="minorHAnsi"/>
          <w:szCs w:val="22"/>
          <w:lang w:val="en-GB"/>
        </w:rPr>
        <w:t xml:space="preserve"> the hospital, corrected for age, demography, time and gender. Females have 0.03 lower QALY rating on average, while all QALY ratings improve over time by 0.005. The number of persons in an age group does not have a significant effect on the QALY rating.</w:t>
      </w:r>
    </w:p>
    <w:p w14:paraId="06BA2ACE" w14:textId="77777777" w:rsidR="00FD168E" w:rsidRPr="000965BA" w:rsidRDefault="00FD168E" w:rsidP="00B20B59">
      <w:pPr>
        <w:spacing w:line="360" w:lineRule="auto"/>
        <w:ind w:firstLine="708"/>
        <w:jc w:val="both"/>
        <w:rPr>
          <w:rFonts w:asciiTheme="minorHAnsi" w:hAnsiTheme="minorHAnsi"/>
          <w:szCs w:val="22"/>
          <w:lang w:val="en-GB"/>
        </w:rPr>
      </w:pPr>
      <w:r w:rsidRPr="000965BA">
        <w:rPr>
          <w:rFonts w:asciiTheme="minorHAnsi" w:hAnsiTheme="minorHAnsi"/>
          <w:szCs w:val="22"/>
          <w:lang w:val="en-GB"/>
        </w:rPr>
        <w:t xml:space="preserve">Estimated annual health gain of patients is between 0.0014 and 0.0016 (se=0.0024) QALYs per year, depending on gender and age (table </w:t>
      </w:r>
      <w:r w:rsidR="009842CC" w:rsidRPr="000965BA">
        <w:rPr>
          <w:rFonts w:asciiTheme="minorHAnsi" w:hAnsiTheme="minorHAnsi"/>
          <w:szCs w:val="22"/>
          <w:lang w:val="en-GB"/>
        </w:rPr>
        <w:t>7</w:t>
      </w:r>
      <w:r w:rsidRPr="000965BA">
        <w:rPr>
          <w:rFonts w:asciiTheme="minorHAnsi" w:hAnsiTheme="minorHAnsi"/>
          <w:szCs w:val="22"/>
          <w:lang w:val="en-GB"/>
        </w:rPr>
        <w:t xml:space="preserve">).These estimates are not significant and contain a high degree of uncertainty. This reflects the low sample size and small effect size. We incorporate this uncertainty in the Monte Carlo analysis. The results of these regressions are extrapolated to lower age categories using linear extrapolation (figure </w:t>
      </w:r>
      <w:r w:rsidR="00F32A99">
        <w:rPr>
          <w:rFonts w:asciiTheme="minorHAnsi" w:hAnsiTheme="minorHAnsi"/>
          <w:szCs w:val="22"/>
          <w:lang w:val="en-GB"/>
        </w:rPr>
        <w:t>4</w:t>
      </w:r>
      <w:r w:rsidRPr="000965BA">
        <w:rPr>
          <w:rFonts w:asciiTheme="minorHAnsi" w:hAnsiTheme="minorHAnsi"/>
          <w:szCs w:val="22"/>
          <w:lang w:val="en-GB"/>
        </w:rPr>
        <w:t>).</w:t>
      </w:r>
    </w:p>
    <w:p w14:paraId="2F08DF41" w14:textId="77777777"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ayout w:type="fixed"/>
        <w:tblLook w:val="04A0" w:firstRow="1" w:lastRow="0" w:firstColumn="1" w:lastColumn="0" w:noHBand="0" w:noVBand="1"/>
      </w:tblPr>
      <w:tblGrid>
        <w:gridCol w:w="1533"/>
        <w:gridCol w:w="1515"/>
        <w:gridCol w:w="1508"/>
        <w:gridCol w:w="1502"/>
        <w:gridCol w:w="1138"/>
        <w:gridCol w:w="2092"/>
      </w:tblGrid>
      <w:tr w:rsidR="00FD168E" w:rsidRPr="004E190D" w14:paraId="245AB3BA" w14:textId="77777777" w:rsidTr="00FD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8" w:type="dxa"/>
            <w:gridSpan w:val="6"/>
          </w:tcPr>
          <w:p w14:paraId="02697FDB" w14:textId="77777777" w:rsidR="00FD168E" w:rsidRPr="000965BA" w:rsidRDefault="00FD168E" w:rsidP="00A61AC0">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Table </w:t>
            </w:r>
            <w:r w:rsidR="009842CC" w:rsidRPr="000965BA">
              <w:rPr>
                <w:rFonts w:asciiTheme="minorHAnsi" w:hAnsiTheme="minorHAnsi"/>
                <w:color w:val="auto"/>
                <w:sz w:val="18"/>
                <w:szCs w:val="18"/>
                <w:lang w:val="en-GB"/>
              </w:rPr>
              <w:t>6</w:t>
            </w:r>
            <w:r w:rsidRPr="000965BA">
              <w:rPr>
                <w:rFonts w:asciiTheme="minorHAnsi" w:hAnsiTheme="minorHAnsi"/>
                <w:color w:val="auto"/>
                <w:sz w:val="18"/>
                <w:szCs w:val="18"/>
                <w:lang w:val="en-GB"/>
              </w:rPr>
              <w:t>: health questionnaire</w:t>
            </w:r>
            <w:r w:rsidR="00A61AC0">
              <w:rPr>
                <w:rFonts w:asciiTheme="minorHAnsi" w:hAnsiTheme="minorHAnsi"/>
                <w:color w:val="auto"/>
                <w:sz w:val="18"/>
                <w:szCs w:val="18"/>
                <w:lang w:val="en-GB"/>
              </w:rPr>
              <w:t xml:space="preserve"> QALY scores</w:t>
            </w:r>
            <w:r w:rsidRPr="000965BA">
              <w:rPr>
                <w:rFonts w:asciiTheme="minorHAnsi" w:hAnsiTheme="minorHAnsi"/>
                <w:color w:val="auto"/>
                <w:sz w:val="18"/>
                <w:szCs w:val="18"/>
                <w:lang w:val="en-GB"/>
              </w:rPr>
              <w:t xml:space="preserve"> regression </w:t>
            </w:r>
          </w:p>
        </w:tc>
      </w:tr>
      <w:tr w:rsidR="00FD168E" w:rsidRPr="000965BA" w14:paraId="2AA314FE"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46AD9EC5"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N=13,618</w:t>
            </w:r>
          </w:p>
        </w:tc>
        <w:tc>
          <w:tcPr>
            <w:tcW w:w="3023" w:type="dxa"/>
            <w:gridSpan w:val="2"/>
          </w:tcPr>
          <w:p w14:paraId="0DB0BEE4"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F(6,13611) = 170.35</w:t>
            </w:r>
          </w:p>
        </w:tc>
        <w:tc>
          <w:tcPr>
            <w:tcW w:w="2640" w:type="dxa"/>
            <w:gridSpan w:val="2"/>
          </w:tcPr>
          <w:p w14:paraId="5097E3B4"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Prob&gt;F=0.000</w:t>
            </w:r>
          </w:p>
        </w:tc>
        <w:tc>
          <w:tcPr>
            <w:tcW w:w="2092" w:type="dxa"/>
          </w:tcPr>
          <w:p w14:paraId="6E07570A"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=0.0817</w:t>
            </w:r>
          </w:p>
        </w:tc>
      </w:tr>
      <w:tr w:rsidR="00FD168E" w:rsidRPr="000965BA" w14:paraId="7BE77B1C" w14:textId="77777777" w:rsidTr="00FD168E">
        <w:tc>
          <w:tcPr>
            <w:cnfStyle w:val="001000000000" w:firstRow="0" w:lastRow="0" w:firstColumn="1" w:lastColumn="0" w:oddVBand="0" w:evenVBand="0" w:oddHBand="0" w:evenHBand="0" w:firstRowFirstColumn="0" w:firstRowLastColumn="0" w:lastRowFirstColumn="0" w:lastRowLastColumn="0"/>
            <w:tcW w:w="1533" w:type="dxa"/>
          </w:tcPr>
          <w:p w14:paraId="4D691F93"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variable</w:t>
            </w:r>
          </w:p>
        </w:tc>
        <w:tc>
          <w:tcPr>
            <w:tcW w:w="1515" w:type="dxa"/>
          </w:tcPr>
          <w:p w14:paraId="54ED394C"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Coefficient</w:t>
            </w:r>
          </w:p>
        </w:tc>
        <w:tc>
          <w:tcPr>
            <w:tcW w:w="1508" w:type="dxa"/>
          </w:tcPr>
          <w:p w14:paraId="2BBBEBDB"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Standard error</w:t>
            </w:r>
          </w:p>
        </w:tc>
        <w:tc>
          <w:tcPr>
            <w:tcW w:w="1502" w:type="dxa"/>
          </w:tcPr>
          <w:p w14:paraId="635402D4"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t-value</w:t>
            </w:r>
          </w:p>
        </w:tc>
        <w:tc>
          <w:tcPr>
            <w:tcW w:w="1138" w:type="dxa"/>
          </w:tcPr>
          <w:p w14:paraId="28FD69CA"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p-value</w:t>
            </w:r>
          </w:p>
        </w:tc>
        <w:tc>
          <w:tcPr>
            <w:tcW w:w="2092" w:type="dxa"/>
          </w:tcPr>
          <w:p w14:paraId="1CD03E01"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95% confidence interval</w:t>
            </w:r>
          </w:p>
        </w:tc>
      </w:tr>
      <w:tr w:rsidR="00FD168E" w:rsidRPr="000965BA" w14:paraId="1A01F070"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7A6ADDB3"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Gender</w:t>
            </w:r>
          </w:p>
        </w:tc>
        <w:tc>
          <w:tcPr>
            <w:tcW w:w="1515" w:type="dxa"/>
          </w:tcPr>
          <w:p w14:paraId="70C81808"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-0.02936</w:t>
            </w:r>
          </w:p>
        </w:tc>
        <w:tc>
          <w:tcPr>
            <w:tcW w:w="1508" w:type="dxa"/>
          </w:tcPr>
          <w:p w14:paraId="474EDC6C"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0.00508</w:t>
            </w:r>
          </w:p>
        </w:tc>
        <w:tc>
          <w:tcPr>
            <w:tcW w:w="1502" w:type="dxa"/>
          </w:tcPr>
          <w:p w14:paraId="376AFC44"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-5.78</w:t>
            </w:r>
          </w:p>
        </w:tc>
        <w:tc>
          <w:tcPr>
            <w:tcW w:w="1138" w:type="dxa"/>
          </w:tcPr>
          <w:p w14:paraId="1E5C9F29"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2092" w:type="dxa"/>
          </w:tcPr>
          <w:p w14:paraId="6252B54B"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[-0.0393;-0.0194]</w:t>
            </w:r>
          </w:p>
        </w:tc>
      </w:tr>
      <w:tr w:rsidR="00FD168E" w:rsidRPr="000965BA" w14:paraId="69AC3938" w14:textId="77777777" w:rsidTr="00FD168E">
        <w:tc>
          <w:tcPr>
            <w:cnfStyle w:val="001000000000" w:firstRow="0" w:lastRow="0" w:firstColumn="1" w:lastColumn="0" w:oddVBand="0" w:evenVBand="0" w:oddHBand="0" w:evenHBand="0" w:firstRowFirstColumn="0" w:firstRowLastColumn="0" w:lastRowFirstColumn="0" w:lastRowLastColumn="0"/>
            <w:tcW w:w="1533" w:type="dxa"/>
          </w:tcPr>
          <w:p w14:paraId="5771CBA2"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Patient </w:t>
            </w:r>
          </w:p>
        </w:tc>
        <w:tc>
          <w:tcPr>
            <w:tcW w:w="1515" w:type="dxa"/>
          </w:tcPr>
          <w:p w14:paraId="439DE29D"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-0.08016</w:t>
            </w:r>
          </w:p>
        </w:tc>
        <w:tc>
          <w:tcPr>
            <w:tcW w:w="1508" w:type="dxa"/>
          </w:tcPr>
          <w:p w14:paraId="1B0B75EE"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0.00509</w:t>
            </w:r>
          </w:p>
        </w:tc>
        <w:tc>
          <w:tcPr>
            <w:tcW w:w="1502" w:type="dxa"/>
          </w:tcPr>
          <w:p w14:paraId="21B7FD96"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-15.74</w:t>
            </w:r>
          </w:p>
        </w:tc>
        <w:tc>
          <w:tcPr>
            <w:tcW w:w="1138" w:type="dxa"/>
          </w:tcPr>
          <w:p w14:paraId="2A8819F7"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2092" w:type="dxa"/>
          </w:tcPr>
          <w:p w14:paraId="4258F498"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[-0.0901;-0.0702]</w:t>
            </w:r>
          </w:p>
        </w:tc>
      </w:tr>
      <w:tr w:rsidR="00FD168E" w:rsidRPr="000965BA" w14:paraId="4934BEC9"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0F1BF68F"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Patient x Gender</w:t>
            </w:r>
          </w:p>
        </w:tc>
        <w:tc>
          <w:tcPr>
            <w:tcW w:w="1515" w:type="dxa"/>
          </w:tcPr>
          <w:p w14:paraId="3ECE7DED"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-0.01870</w:t>
            </w:r>
          </w:p>
        </w:tc>
        <w:tc>
          <w:tcPr>
            <w:tcW w:w="1508" w:type="dxa"/>
          </w:tcPr>
          <w:p w14:paraId="12C1CCDC"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0.07553</w:t>
            </w:r>
          </w:p>
        </w:tc>
        <w:tc>
          <w:tcPr>
            <w:tcW w:w="1502" w:type="dxa"/>
          </w:tcPr>
          <w:p w14:paraId="2FDCCCA5"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-2.48</w:t>
            </w:r>
          </w:p>
        </w:tc>
        <w:tc>
          <w:tcPr>
            <w:tcW w:w="1138" w:type="dxa"/>
          </w:tcPr>
          <w:p w14:paraId="44A39CAC"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0.013</w:t>
            </w:r>
          </w:p>
        </w:tc>
        <w:tc>
          <w:tcPr>
            <w:tcW w:w="2092" w:type="dxa"/>
          </w:tcPr>
          <w:p w14:paraId="53BE5E4E"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[-0.0335;-0.0039]</w:t>
            </w:r>
          </w:p>
        </w:tc>
      </w:tr>
      <w:tr w:rsidR="00FD168E" w:rsidRPr="000965BA" w14:paraId="16141BFA" w14:textId="77777777" w:rsidTr="00FD168E">
        <w:tc>
          <w:tcPr>
            <w:cnfStyle w:val="001000000000" w:firstRow="0" w:lastRow="0" w:firstColumn="1" w:lastColumn="0" w:oddVBand="0" w:evenVBand="0" w:oddHBand="0" w:evenHBand="0" w:firstRowFirstColumn="0" w:firstRowLastColumn="0" w:lastRowFirstColumn="0" w:lastRowLastColumn="0"/>
            <w:tcW w:w="1533" w:type="dxa"/>
          </w:tcPr>
          <w:p w14:paraId="078806CE"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1515" w:type="dxa"/>
          </w:tcPr>
          <w:p w14:paraId="0879C1E4"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0.00455</w:t>
            </w:r>
          </w:p>
        </w:tc>
        <w:tc>
          <w:tcPr>
            <w:tcW w:w="1508" w:type="dxa"/>
          </w:tcPr>
          <w:p w14:paraId="420FEC05"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0.00146</w:t>
            </w:r>
          </w:p>
        </w:tc>
        <w:tc>
          <w:tcPr>
            <w:tcW w:w="1502" w:type="dxa"/>
          </w:tcPr>
          <w:p w14:paraId="77DE4B63"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3.11</w:t>
            </w:r>
          </w:p>
        </w:tc>
        <w:tc>
          <w:tcPr>
            <w:tcW w:w="1138" w:type="dxa"/>
          </w:tcPr>
          <w:p w14:paraId="25FF116C"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w:t>
            </w:r>
          </w:p>
        </w:tc>
        <w:tc>
          <w:tcPr>
            <w:tcW w:w="2092" w:type="dxa"/>
          </w:tcPr>
          <w:p w14:paraId="454C2AD6"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[0.0017;0.0074]</w:t>
            </w:r>
          </w:p>
        </w:tc>
      </w:tr>
      <w:tr w:rsidR="00FD168E" w:rsidRPr="000965BA" w14:paraId="23C528DA"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1C81FD32"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Age </w:t>
            </w:r>
          </w:p>
        </w:tc>
        <w:tc>
          <w:tcPr>
            <w:tcW w:w="1515" w:type="dxa"/>
          </w:tcPr>
          <w:p w14:paraId="41DB238E"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-0.01332</w:t>
            </w:r>
          </w:p>
        </w:tc>
        <w:tc>
          <w:tcPr>
            <w:tcW w:w="1508" w:type="dxa"/>
          </w:tcPr>
          <w:p w14:paraId="0EEFE7DD"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0.00481</w:t>
            </w:r>
          </w:p>
        </w:tc>
        <w:tc>
          <w:tcPr>
            <w:tcW w:w="1502" w:type="dxa"/>
          </w:tcPr>
          <w:p w14:paraId="249EC4A1"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-2.77</w:t>
            </w:r>
          </w:p>
        </w:tc>
        <w:tc>
          <w:tcPr>
            <w:tcW w:w="1138" w:type="dxa"/>
          </w:tcPr>
          <w:p w14:paraId="79EA28EE"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0.006</w:t>
            </w:r>
          </w:p>
        </w:tc>
        <w:tc>
          <w:tcPr>
            <w:tcW w:w="2092" w:type="dxa"/>
          </w:tcPr>
          <w:p w14:paraId="27312780"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[-0.0227;-0.0039]</w:t>
            </w:r>
          </w:p>
        </w:tc>
      </w:tr>
      <w:tr w:rsidR="00FD168E" w:rsidRPr="000965BA" w14:paraId="31E2AB4F" w14:textId="77777777" w:rsidTr="00FD168E">
        <w:tc>
          <w:tcPr>
            <w:cnfStyle w:val="001000000000" w:firstRow="0" w:lastRow="0" w:firstColumn="1" w:lastColumn="0" w:oddVBand="0" w:evenVBand="0" w:oddHBand="0" w:evenHBand="0" w:firstRowFirstColumn="0" w:firstRowLastColumn="0" w:lastRowFirstColumn="0" w:lastRowLastColumn="0"/>
            <w:tcW w:w="1533" w:type="dxa"/>
          </w:tcPr>
          <w:p w14:paraId="5DBCF462"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Demographics</w:t>
            </w:r>
          </w:p>
        </w:tc>
        <w:tc>
          <w:tcPr>
            <w:tcW w:w="1515" w:type="dxa"/>
          </w:tcPr>
          <w:p w14:paraId="34F82E7E"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5.86*10</w:t>
            </w:r>
            <w:r w:rsidRPr="000965BA">
              <w:rPr>
                <w:rFonts w:asciiTheme="minorHAnsi" w:hAnsiTheme="minorHAnsi"/>
                <w:color w:val="auto"/>
                <w:sz w:val="18"/>
                <w:szCs w:val="18"/>
                <w:vertAlign w:val="superscript"/>
                <w:lang w:val="en-GB"/>
              </w:rPr>
              <w:t>-8</w:t>
            </w:r>
          </w:p>
        </w:tc>
        <w:tc>
          <w:tcPr>
            <w:tcW w:w="1508" w:type="dxa"/>
          </w:tcPr>
          <w:p w14:paraId="301C57EA"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5.84*10</w:t>
            </w:r>
            <w:r w:rsidRPr="000965BA">
              <w:rPr>
                <w:rFonts w:asciiTheme="minorHAnsi" w:hAnsiTheme="minorHAnsi"/>
                <w:color w:val="auto"/>
                <w:sz w:val="18"/>
                <w:szCs w:val="18"/>
                <w:vertAlign w:val="superscript"/>
                <w:lang w:val="en-GB"/>
              </w:rPr>
              <w:t>-8</w:t>
            </w:r>
          </w:p>
        </w:tc>
        <w:tc>
          <w:tcPr>
            <w:tcW w:w="1502" w:type="dxa"/>
          </w:tcPr>
          <w:p w14:paraId="4A657211"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1.00</w:t>
            </w:r>
          </w:p>
        </w:tc>
        <w:tc>
          <w:tcPr>
            <w:tcW w:w="1138" w:type="dxa"/>
          </w:tcPr>
          <w:p w14:paraId="30D5C9A6"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0.315</w:t>
            </w:r>
          </w:p>
        </w:tc>
        <w:tc>
          <w:tcPr>
            <w:tcW w:w="2092" w:type="dxa"/>
          </w:tcPr>
          <w:p w14:paraId="14A5A61F" w14:textId="77777777" w:rsidR="00FD168E" w:rsidRPr="000965BA" w:rsidRDefault="00FD168E" w:rsidP="00B20B59">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[-5.6*10</w:t>
            </w:r>
            <w:r w:rsidRPr="000965BA">
              <w:rPr>
                <w:rFonts w:asciiTheme="minorHAnsi" w:hAnsiTheme="minorHAnsi"/>
                <w:color w:val="auto"/>
                <w:sz w:val="18"/>
                <w:szCs w:val="18"/>
                <w:vertAlign w:val="superscript"/>
                <w:lang w:val="en-GB"/>
              </w:rPr>
              <w:t>-8</w:t>
            </w:r>
            <w:r w:rsidRPr="000965BA">
              <w:rPr>
                <w:rFonts w:asciiTheme="minorHAnsi" w:hAnsiTheme="minorHAnsi"/>
                <w:color w:val="auto"/>
                <w:sz w:val="18"/>
                <w:szCs w:val="18"/>
                <w:lang w:val="en-GB"/>
              </w:rPr>
              <w:t>; 1.7*10</w:t>
            </w:r>
            <w:r w:rsidRPr="000965BA">
              <w:rPr>
                <w:rFonts w:asciiTheme="minorHAnsi" w:hAnsiTheme="minorHAnsi"/>
                <w:color w:val="auto"/>
                <w:sz w:val="18"/>
                <w:szCs w:val="18"/>
                <w:vertAlign w:val="superscript"/>
                <w:lang w:val="en-GB"/>
              </w:rPr>
              <w:t>-7</w:t>
            </w:r>
          </w:p>
        </w:tc>
      </w:tr>
      <w:tr w:rsidR="00FD168E" w:rsidRPr="000965BA" w14:paraId="69386238"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3" w:type="dxa"/>
          </w:tcPr>
          <w:p w14:paraId="5FD2CA71"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Constant </w:t>
            </w:r>
          </w:p>
        </w:tc>
        <w:tc>
          <w:tcPr>
            <w:tcW w:w="1515" w:type="dxa"/>
          </w:tcPr>
          <w:p w14:paraId="34AD3B9A"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-8.09640</w:t>
            </w:r>
          </w:p>
        </w:tc>
        <w:tc>
          <w:tcPr>
            <w:tcW w:w="1508" w:type="dxa"/>
          </w:tcPr>
          <w:p w14:paraId="74D441A8"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2.91358</w:t>
            </w:r>
          </w:p>
        </w:tc>
        <w:tc>
          <w:tcPr>
            <w:tcW w:w="1502" w:type="dxa"/>
          </w:tcPr>
          <w:p w14:paraId="0DE7CB83"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-2.78</w:t>
            </w:r>
          </w:p>
        </w:tc>
        <w:tc>
          <w:tcPr>
            <w:tcW w:w="1138" w:type="dxa"/>
          </w:tcPr>
          <w:p w14:paraId="10770F46"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0.005</w:t>
            </w:r>
          </w:p>
        </w:tc>
        <w:tc>
          <w:tcPr>
            <w:tcW w:w="2092" w:type="dxa"/>
          </w:tcPr>
          <w:p w14:paraId="4291AA20" w14:textId="77777777" w:rsidR="00FD168E" w:rsidRPr="000965BA" w:rsidRDefault="00FD168E"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[-13.807;-2.385]</w:t>
            </w:r>
          </w:p>
        </w:tc>
      </w:tr>
    </w:tbl>
    <w:p w14:paraId="331CDAF5" w14:textId="77777777"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ook w:val="04A0" w:firstRow="1" w:lastRow="0" w:firstColumn="1" w:lastColumn="0" w:noHBand="0" w:noVBand="1"/>
      </w:tblPr>
      <w:tblGrid>
        <w:gridCol w:w="1440"/>
        <w:gridCol w:w="1249"/>
        <w:gridCol w:w="1010"/>
        <w:gridCol w:w="1833"/>
        <w:gridCol w:w="725"/>
        <w:gridCol w:w="759"/>
        <w:gridCol w:w="1973"/>
      </w:tblGrid>
      <w:tr w:rsidR="00FD168E" w:rsidRPr="004E190D" w14:paraId="69534ABB" w14:textId="77777777" w:rsidTr="00FD16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7"/>
          </w:tcPr>
          <w:p w14:paraId="7508AFF5" w14:textId="77777777" w:rsidR="00FD168E" w:rsidRPr="000965BA" w:rsidRDefault="00FD168E" w:rsidP="00F32A9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Table </w:t>
            </w:r>
            <w:r w:rsidR="009842CC" w:rsidRPr="000965BA">
              <w:rPr>
                <w:rFonts w:asciiTheme="minorHAnsi" w:hAnsiTheme="minorHAnsi"/>
                <w:color w:val="auto"/>
                <w:sz w:val="18"/>
                <w:szCs w:val="18"/>
                <w:lang w:val="en-GB"/>
              </w:rPr>
              <w:t>7</w:t>
            </w:r>
            <w:r w:rsidRPr="000965BA">
              <w:rPr>
                <w:rFonts w:asciiTheme="minorHAnsi" w:hAnsiTheme="minorHAnsi"/>
                <w:color w:val="auto"/>
                <w:sz w:val="18"/>
                <w:szCs w:val="18"/>
                <w:lang w:val="en-GB"/>
              </w:rPr>
              <w:t xml:space="preserve">: </w:t>
            </w:r>
            <w:r w:rsidR="00F32A99">
              <w:rPr>
                <w:rFonts w:asciiTheme="minorHAnsi" w:hAnsiTheme="minorHAnsi"/>
                <w:color w:val="auto"/>
                <w:sz w:val="18"/>
                <w:szCs w:val="18"/>
                <w:lang w:val="en-GB"/>
              </w:rPr>
              <w:t xml:space="preserve">Patient </w:t>
            </w:r>
            <w:r w:rsidR="00A61AC0">
              <w:rPr>
                <w:rFonts w:asciiTheme="minorHAnsi" w:hAnsiTheme="minorHAnsi"/>
                <w:color w:val="auto"/>
                <w:sz w:val="18"/>
                <w:szCs w:val="18"/>
                <w:lang w:val="en-GB"/>
              </w:rPr>
              <w:t xml:space="preserve">QALY scores </w:t>
            </w:r>
            <w:r w:rsidR="00F32A99">
              <w:rPr>
                <w:rFonts w:asciiTheme="minorHAnsi" w:hAnsiTheme="minorHAnsi"/>
                <w:color w:val="auto"/>
                <w:sz w:val="18"/>
                <w:szCs w:val="18"/>
                <w:lang w:val="en-GB"/>
              </w:rPr>
              <w:t>time trend regression</w:t>
            </w:r>
          </w:p>
        </w:tc>
      </w:tr>
      <w:tr w:rsidR="00FD168E" w:rsidRPr="000965BA" w14:paraId="770CF706"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2"/>
          </w:tcPr>
          <w:p w14:paraId="3B66C42C"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N=8,071</w:t>
            </w:r>
          </w:p>
        </w:tc>
        <w:tc>
          <w:tcPr>
            <w:tcW w:w="0" w:type="auto"/>
            <w:gridSpan w:val="2"/>
          </w:tcPr>
          <w:p w14:paraId="70809676"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roofErr w:type="gramStart"/>
            <w:r w:rsidRPr="000965BA">
              <w:rPr>
                <w:rFonts w:asciiTheme="minorHAnsi" w:hAnsiTheme="minorHAnsi"/>
                <w:color w:val="auto"/>
                <w:sz w:val="18"/>
                <w:szCs w:val="18"/>
                <w:lang w:val="en-GB"/>
              </w:rPr>
              <w:t>F(</w:t>
            </w:r>
            <w:proofErr w:type="gramEnd"/>
            <w:r w:rsidRPr="000965BA">
              <w:rPr>
                <w:rFonts w:asciiTheme="minorHAnsi" w:hAnsiTheme="minorHAnsi"/>
                <w:color w:val="auto"/>
                <w:sz w:val="18"/>
                <w:szCs w:val="18"/>
                <w:lang w:val="en-GB"/>
              </w:rPr>
              <w:t>20,8071) = .</w:t>
            </w:r>
          </w:p>
        </w:tc>
        <w:tc>
          <w:tcPr>
            <w:tcW w:w="0" w:type="auto"/>
            <w:gridSpan w:val="2"/>
          </w:tcPr>
          <w:p w14:paraId="10191BD7"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Prob&gt;F=.</w:t>
            </w:r>
          </w:p>
        </w:tc>
        <w:tc>
          <w:tcPr>
            <w:tcW w:w="0" w:type="auto"/>
          </w:tcPr>
          <w:p w14:paraId="2E4DBB08"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=0.0461</w:t>
            </w:r>
          </w:p>
        </w:tc>
      </w:tr>
      <w:tr w:rsidR="00FD168E" w:rsidRPr="000965BA" w14:paraId="6789C2A3" w14:textId="77777777" w:rsidTr="00FD168E">
        <w:tc>
          <w:tcPr>
            <w:cnfStyle w:val="001000000000" w:firstRow="0" w:lastRow="0" w:firstColumn="1" w:lastColumn="0" w:oddVBand="0" w:evenVBand="0" w:oddHBand="0" w:evenHBand="0" w:firstRowFirstColumn="0" w:firstRowLastColumn="0" w:lastRowFirstColumn="0" w:lastRowLastColumn="0"/>
            <w:tcW w:w="0" w:type="auto"/>
          </w:tcPr>
          <w:p w14:paraId="476D8835"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variable</w:t>
            </w:r>
          </w:p>
        </w:tc>
        <w:tc>
          <w:tcPr>
            <w:tcW w:w="0" w:type="auto"/>
          </w:tcPr>
          <w:p w14:paraId="500F29CD"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tcPr>
          <w:p w14:paraId="70C3816D"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Coefficient</w:t>
            </w:r>
          </w:p>
        </w:tc>
        <w:tc>
          <w:tcPr>
            <w:tcW w:w="0" w:type="auto"/>
          </w:tcPr>
          <w:p w14:paraId="17491847"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Robust standard error</w:t>
            </w:r>
          </w:p>
        </w:tc>
        <w:tc>
          <w:tcPr>
            <w:tcW w:w="0" w:type="auto"/>
          </w:tcPr>
          <w:p w14:paraId="6A352200"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t-value</w:t>
            </w:r>
          </w:p>
        </w:tc>
        <w:tc>
          <w:tcPr>
            <w:tcW w:w="0" w:type="auto"/>
          </w:tcPr>
          <w:p w14:paraId="13663B69"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p-value</w:t>
            </w:r>
          </w:p>
        </w:tc>
        <w:tc>
          <w:tcPr>
            <w:tcW w:w="0" w:type="auto"/>
          </w:tcPr>
          <w:p w14:paraId="5401E3B7"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95% confidence interval</w:t>
            </w:r>
          </w:p>
        </w:tc>
      </w:tr>
      <w:tr w:rsidR="002367C5" w:rsidRPr="000965BA" w14:paraId="32F70A67"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2AFCDB48" w14:textId="77777777" w:rsidR="002367C5" w:rsidRPr="000965BA" w:rsidRDefault="002367C5"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Gender (male)</w:t>
            </w:r>
          </w:p>
        </w:tc>
        <w:tc>
          <w:tcPr>
            <w:tcW w:w="0" w:type="auto"/>
            <w:vAlign w:val="center"/>
          </w:tcPr>
          <w:p w14:paraId="41751A7E"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51 to 55 years</w:t>
            </w:r>
          </w:p>
        </w:tc>
        <w:tc>
          <w:tcPr>
            <w:tcW w:w="0" w:type="auto"/>
            <w:vAlign w:val="bottom"/>
          </w:tcPr>
          <w:p w14:paraId="44863C99" w14:textId="77777777" w:rsidR="002367C5" w:rsidRPr="000965BA" w:rsidRDefault="002367C5"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14:paraId="6CCF97D7" w14:textId="77777777" w:rsidR="002367C5" w:rsidRPr="000965BA" w:rsidRDefault="002367C5"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0.00239</w:t>
            </w:r>
          </w:p>
        </w:tc>
        <w:tc>
          <w:tcPr>
            <w:tcW w:w="0" w:type="auto"/>
            <w:vAlign w:val="bottom"/>
          </w:tcPr>
          <w:p w14:paraId="73010046" w14:textId="77777777" w:rsidR="002367C5" w:rsidRPr="000965BA" w:rsidRDefault="002367C5"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0874704C" w14:textId="77777777" w:rsidR="002367C5" w:rsidRPr="000965BA" w:rsidRDefault="002367C5"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0.484</w:t>
            </w:r>
          </w:p>
        </w:tc>
        <w:tc>
          <w:tcPr>
            <w:tcW w:w="0" w:type="auto"/>
            <w:vAlign w:val="bottom"/>
          </w:tcPr>
          <w:p w14:paraId="7604D89E" w14:textId="77777777" w:rsidR="002367C5" w:rsidRPr="000965BA" w:rsidRDefault="002367C5" w:rsidP="00B20B59">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[-0.0030;0.0064]</w:t>
            </w:r>
          </w:p>
        </w:tc>
      </w:tr>
      <w:tr w:rsidR="002367C5" w:rsidRPr="000965BA" w14:paraId="27D4001E"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4A56E590"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02B19E7B"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56 to 60 years</w:t>
            </w:r>
          </w:p>
        </w:tc>
        <w:tc>
          <w:tcPr>
            <w:tcW w:w="0" w:type="auto"/>
            <w:vAlign w:val="bottom"/>
          </w:tcPr>
          <w:p w14:paraId="73198E00"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0.00166</w:t>
            </w:r>
          </w:p>
        </w:tc>
        <w:tc>
          <w:tcPr>
            <w:tcW w:w="0" w:type="auto"/>
            <w:vAlign w:val="bottom"/>
          </w:tcPr>
          <w:p w14:paraId="3669947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14:paraId="0B72149E"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328DB463"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0.487</w:t>
            </w:r>
          </w:p>
        </w:tc>
        <w:tc>
          <w:tcPr>
            <w:tcW w:w="0" w:type="auto"/>
            <w:vAlign w:val="bottom"/>
          </w:tcPr>
          <w:p w14:paraId="014DFC48"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024C7024"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B154DF4"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4B5C3A75"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61 to 65 years</w:t>
            </w:r>
          </w:p>
        </w:tc>
        <w:tc>
          <w:tcPr>
            <w:tcW w:w="0" w:type="auto"/>
            <w:vAlign w:val="bottom"/>
          </w:tcPr>
          <w:p w14:paraId="2C3B6E2A"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14:paraId="7EFE0058"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14:paraId="71602DEC"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11CE9D9D"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0.482</w:t>
            </w:r>
          </w:p>
        </w:tc>
        <w:tc>
          <w:tcPr>
            <w:tcW w:w="0" w:type="auto"/>
            <w:vAlign w:val="bottom"/>
          </w:tcPr>
          <w:p w14:paraId="3E8152A6"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21D17BBC"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4976D3A5"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6EA22E1E"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66 to 70 years</w:t>
            </w:r>
          </w:p>
        </w:tc>
        <w:tc>
          <w:tcPr>
            <w:tcW w:w="0" w:type="auto"/>
            <w:vAlign w:val="bottom"/>
          </w:tcPr>
          <w:p w14:paraId="5ED02930"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0.00169</w:t>
            </w:r>
          </w:p>
        </w:tc>
        <w:tc>
          <w:tcPr>
            <w:tcW w:w="0" w:type="auto"/>
            <w:vAlign w:val="bottom"/>
          </w:tcPr>
          <w:p w14:paraId="72C8ECAD"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14:paraId="212CABAD"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0.71</w:t>
            </w:r>
          </w:p>
        </w:tc>
        <w:tc>
          <w:tcPr>
            <w:tcW w:w="0" w:type="auto"/>
            <w:vAlign w:val="bottom"/>
          </w:tcPr>
          <w:p w14:paraId="49C2C505"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0.478</w:t>
            </w:r>
          </w:p>
        </w:tc>
        <w:tc>
          <w:tcPr>
            <w:tcW w:w="0" w:type="auto"/>
            <w:vAlign w:val="bottom"/>
          </w:tcPr>
          <w:p w14:paraId="500D1AFF"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530C3C54"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C849FA1"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06ECD682"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71 to 75 years</w:t>
            </w:r>
          </w:p>
        </w:tc>
        <w:tc>
          <w:tcPr>
            <w:tcW w:w="0" w:type="auto"/>
            <w:vAlign w:val="bottom"/>
          </w:tcPr>
          <w:p w14:paraId="46EDE5CF"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0.00168</w:t>
            </w:r>
          </w:p>
        </w:tc>
        <w:tc>
          <w:tcPr>
            <w:tcW w:w="0" w:type="auto"/>
            <w:vAlign w:val="bottom"/>
          </w:tcPr>
          <w:p w14:paraId="2F9612F6"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14:paraId="2B623C43"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0.71</w:t>
            </w:r>
          </w:p>
        </w:tc>
        <w:tc>
          <w:tcPr>
            <w:tcW w:w="0" w:type="auto"/>
            <w:vAlign w:val="bottom"/>
          </w:tcPr>
          <w:p w14:paraId="72AEA875"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0.478</w:t>
            </w:r>
          </w:p>
        </w:tc>
        <w:tc>
          <w:tcPr>
            <w:tcW w:w="0" w:type="auto"/>
            <w:vAlign w:val="bottom"/>
          </w:tcPr>
          <w:p w14:paraId="318193B4"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641621CC"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1773377D"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3A246923"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76 to 80 years</w:t>
            </w:r>
          </w:p>
        </w:tc>
        <w:tc>
          <w:tcPr>
            <w:tcW w:w="0" w:type="auto"/>
            <w:vAlign w:val="bottom"/>
          </w:tcPr>
          <w:p w14:paraId="21E23C6F"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14:paraId="7F352432"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14:paraId="34BA8302"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0.71</w:t>
            </w:r>
          </w:p>
        </w:tc>
        <w:tc>
          <w:tcPr>
            <w:tcW w:w="0" w:type="auto"/>
            <w:vAlign w:val="bottom"/>
          </w:tcPr>
          <w:p w14:paraId="7240AC7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0.480</w:t>
            </w:r>
          </w:p>
        </w:tc>
        <w:tc>
          <w:tcPr>
            <w:tcW w:w="0" w:type="auto"/>
            <w:vAlign w:val="bottom"/>
          </w:tcPr>
          <w:p w14:paraId="3625D2D6"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293B1460"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401B88F1"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7B616CB9"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81 to 85 years</w:t>
            </w:r>
          </w:p>
        </w:tc>
        <w:tc>
          <w:tcPr>
            <w:tcW w:w="0" w:type="auto"/>
            <w:vAlign w:val="bottom"/>
          </w:tcPr>
          <w:p w14:paraId="6394F9FA"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0.00165</w:t>
            </w:r>
          </w:p>
        </w:tc>
        <w:tc>
          <w:tcPr>
            <w:tcW w:w="0" w:type="auto"/>
            <w:vAlign w:val="bottom"/>
          </w:tcPr>
          <w:p w14:paraId="6546E6ED"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14:paraId="6C15FCA5"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228A2B06"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0.486</w:t>
            </w:r>
          </w:p>
        </w:tc>
        <w:tc>
          <w:tcPr>
            <w:tcW w:w="0" w:type="auto"/>
            <w:vAlign w:val="bottom"/>
          </w:tcPr>
          <w:p w14:paraId="29A13A01"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16271F44"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5A8982D0"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686C3A87"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86 to 90 years</w:t>
            </w:r>
          </w:p>
        </w:tc>
        <w:tc>
          <w:tcPr>
            <w:tcW w:w="0" w:type="auto"/>
            <w:vAlign w:val="bottom"/>
          </w:tcPr>
          <w:p w14:paraId="1B0E4C80"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0.00165</w:t>
            </w:r>
          </w:p>
        </w:tc>
        <w:tc>
          <w:tcPr>
            <w:tcW w:w="0" w:type="auto"/>
            <w:vAlign w:val="bottom"/>
          </w:tcPr>
          <w:p w14:paraId="0E997CD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14:paraId="3157936F"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07BFD3CF"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0.485</w:t>
            </w:r>
          </w:p>
        </w:tc>
        <w:tc>
          <w:tcPr>
            <w:tcW w:w="0" w:type="auto"/>
            <w:vAlign w:val="bottom"/>
          </w:tcPr>
          <w:p w14:paraId="652D4E71"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4296949E"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5E741DA"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43D63358"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91 to 95 years</w:t>
            </w:r>
          </w:p>
        </w:tc>
        <w:tc>
          <w:tcPr>
            <w:tcW w:w="0" w:type="auto"/>
            <w:vAlign w:val="bottom"/>
          </w:tcPr>
          <w:p w14:paraId="0B7C8738"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0.00157</w:t>
            </w:r>
          </w:p>
        </w:tc>
        <w:tc>
          <w:tcPr>
            <w:tcW w:w="0" w:type="auto"/>
            <w:vAlign w:val="bottom"/>
          </w:tcPr>
          <w:p w14:paraId="435C376D"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14:paraId="43C72065"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0.67</w:t>
            </w:r>
          </w:p>
        </w:tc>
        <w:tc>
          <w:tcPr>
            <w:tcW w:w="0" w:type="auto"/>
            <w:vAlign w:val="bottom"/>
          </w:tcPr>
          <w:p w14:paraId="4932ADB0"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0.505</w:t>
            </w:r>
          </w:p>
        </w:tc>
        <w:tc>
          <w:tcPr>
            <w:tcW w:w="0" w:type="auto"/>
            <w:vAlign w:val="bottom"/>
          </w:tcPr>
          <w:p w14:paraId="383E2177"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[-0.0031;0.0062]</w:t>
            </w:r>
          </w:p>
        </w:tc>
      </w:tr>
      <w:tr w:rsidR="002367C5" w:rsidRPr="000965BA" w14:paraId="2D41D56E"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25D048B1"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4281793B"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95+ years</w:t>
            </w:r>
          </w:p>
        </w:tc>
        <w:tc>
          <w:tcPr>
            <w:tcW w:w="0" w:type="auto"/>
            <w:vAlign w:val="bottom"/>
          </w:tcPr>
          <w:p w14:paraId="7C14987C"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0.00148</w:t>
            </w:r>
          </w:p>
        </w:tc>
        <w:tc>
          <w:tcPr>
            <w:tcW w:w="0" w:type="auto"/>
            <w:vAlign w:val="bottom"/>
          </w:tcPr>
          <w:p w14:paraId="3D2AB4E6"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0.00235</w:t>
            </w:r>
          </w:p>
        </w:tc>
        <w:tc>
          <w:tcPr>
            <w:tcW w:w="0" w:type="auto"/>
            <w:vAlign w:val="bottom"/>
          </w:tcPr>
          <w:p w14:paraId="2A6AAC1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0.63</w:t>
            </w:r>
          </w:p>
        </w:tc>
        <w:tc>
          <w:tcPr>
            <w:tcW w:w="0" w:type="auto"/>
            <w:vAlign w:val="bottom"/>
          </w:tcPr>
          <w:p w14:paraId="59594566"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0.530</w:t>
            </w:r>
          </w:p>
        </w:tc>
        <w:tc>
          <w:tcPr>
            <w:tcW w:w="0" w:type="auto"/>
            <w:vAlign w:val="bottom"/>
          </w:tcPr>
          <w:p w14:paraId="50C83FB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[-0.0031;0.0061]</w:t>
            </w:r>
          </w:p>
        </w:tc>
      </w:tr>
      <w:tr w:rsidR="002367C5" w:rsidRPr="000965BA" w14:paraId="43EED69B"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1A5B766" w14:textId="77777777" w:rsidR="002367C5" w:rsidRPr="000965BA" w:rsidRDefault="002367C5"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Gender (female)</w:t>
            </w:r>
          </w:p>
        </w:tc>
        <w:tc>
          <w:tcPr>
            <w:tcW w:w="0" w:type="auto"/>
            <w:vAlign w:val="center"/>
          </w:tcPr>
          <w:p w14:paraId="5D79A71C"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51 to 55 years</w:t>
            </w:r>
          </w:p>
        </w:tc>
        <w:tc>
          <w:tcPr>
            <w:tcW w:w="0" w:type="auto"/>
            <w:vAlign w:val="bottom"/>
          </w:tcPr>
          <w:p w14:paraId="1F0CBBF5"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0.00164</w:t>
            </w:r>
          </w:p>
        </w:tc>
        <w:tc>
          <w:tcPr>
            <w:tcW w:w="0" w:type="auto"/>
            <w:vAlign w:val="bottom"/>
          </w:tcPr>
          <w:p w14:paraId="4693773A"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0.00239</w:t>
            </w:r>
          </w:p>
        </w:tc>
        <w:tc>
          <w:tcPr>
            <w:tcW w:w="0" w:type="auto"/>
            <w:vAlign w:val="bottom"/>
          </w:tcPr>
          <w:p w14:paraId="2251C204"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0.69</w:t>
            </w:r>
          </w:p>
        </w:tc>
        <w:tc>
          <w:tcPr>
            <w:tcW w:w="0" w:type="auto"/>
            <w:vAlign w:val="bottom"/>
          </w:tcPr>
          <w:p w14:paraId="358CD40B"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0.493</w:t>
            </w:r>
          </w:p>
        </w:tc>
        <w:tc>
          <w:tcPr>
            <w:tcW w:w="0" w:type="auto"/>
            <w:vAlign w:val="bottom"/>
          </w:tcPr>
          <w:p w14:paraId="76AF737F"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6DE50E6B"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3CABE1BC"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28FFB294"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56 to 60 years</w:t>
            </w:r>
          </w:p>
        </w:tc>
        <w:tc>
          <w:tcPr>
            <w:tcW w:w="0" w:type="auto"/>
            <w:vAlign w:val="bottom"/>
          </w:tcPr>
          <w:p w14:paraId="7472A3F7"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0.00166</w:t>
            </w:r>
          </w:p>
        </w:tc>
        <w:tc>
          <w:tcPr>
            <w:tcW w:w="0" w:type="auto"/>
            <w:vAlign w:val="bottom"/>
          </w:tcPr>
          <w:p w14:paraId="6D093084"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14:paraId="1497267A"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05ABC6CE"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0.487</w:t>
            </w:r>
          </w:p>
        </w:tc>
        <w:tc>
          <w:tcPr>
            <w:tcW w:w="0" w:type="auto"/>
            <w:vAlign w:val="bottom"/>
          </w:tcPr>
          <w:p w14:paraId="29F66DF5"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45BFCB6A"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767047A"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16237B7D"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61 to 65 years</w:t>
            </w:r>
          </w:p>
        </w:tc>
        <w:tc>
          <w:tcPr>
            <w:tcW w:w="0" w:type="auto"/>
            <w:vAlign w:val="bottom"/>
          </w:tcPr>
          <w:p w14:paraId="6A45229B"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14:paraId="794D76FC"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14:paraId="2BDAAA38"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0.69</w:t>
            </w:r>
          </w:p>
        </w:tc>
        <w:tc>
          <w:tcPr>
            <w:tcW w:w="0" w:type="auto"/>
            <w:vAlign w:val="bottom"/>
          </w:tcPr>
          <w:p w14:paraId="7EC0E5CE"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0.488</w:t>
            </w:r>
          </w:p>
        </w:tc>
        <w:tc>
          <w:tcPr>
            <w:tcW w:w="0" w:type="auto"/>
            <w:vAlign w:val="bottom"/>
          </w:tcPr>
          <w:p w14:paraId="493D0A45"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0F4CB4C1"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69EB6CE2"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07BD0FF8"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66 to 70 years</w:t>
            </w:r>
          </w:p>
        </w:tc>
        <w:tc>
          <w:tcPr>
            <w:tcW w:w="0" w:type="auto"/>
            <w:vAlign w:val="bottom"/>
          </w:tcPr>
          <w:p w14:paraId="7B1A45DA"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0.00167</w:t>
            </w:r>
          </w:p>
        </w:tc>
        <w:tc>
          <w:tcPr>
            <w:tcW w:w="0" w:type="auto"/>
            <w:vAlign w:val="bottom"/>
          </w:tcPr>
          <w:p w14:paraId="39F6B535"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0.00238</w:t>
            </w:r>
          </w:p>
        </w:tc>
        <w:tc>
          <w:tcPr>
            <w:tcW w:w="0" w:type="auto"/>
            <w:vAlign w:val="bottom"/>
          </w:tcPr>
          <w:p w14:paraId="48927337"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355AF154"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0.484</w:t>
            </w:r>
          </w:p>
        </w:tc>
        <w:tc>
          <w:tcPr>
            <w:tcW w:w="0" w:type="auto"/>
            <w:vAlign w:val="bottom"/>
          </w:tcPr>
          <w:p w14:paraId="7CE8F004"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3DA4E57D"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0CBF07CA"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179A824A"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71 to 75 years</w:t>
            </w:r>
          </w:p>
        </w:tc>
        <w:tc>
          <w:tcPr>
            <w:tcW w:w="0" w:type="auto"/>
            <w:vAlign w:val="bottom"/>
          </w:tcPr>
          <w:p w14:paraId="1D850350"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0.00166</w:t>
            </w:r>
          </w:p>
        </w:tc>
        <w:tc>
          <w:tcPr>
            <w:tcW w:w="0" w:type="auto"/>
            <w:vAlign w:val="bottom"/>
          </w:tcPr>
          <w:p w14:paraId="12DCD0E8"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14:paraId="3C471AA4"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0.70</w:t>
            </w:r>
          </w:p>
        </w:tc>
        <w:tc>
          <w:tcPr>
            <w:tcW w:w="0" w:type="auto"/>
            <w:vAlign w:val="bottom"/>
          </w:tcPr>
          <w:p w14:paraId="0ED5CE90"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0.486</w:t>
            </w:r>
          </w:p>
        </w:tc>
        <w:tc>
          <w:tcPr>
            <w:tcW w:w="0" w:type="auto"/>
            <w:vAlign w:val="bottom"/>
          </w:tcPr>
          <w:p w14:paraId="3B621AA4"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36A1CA3B"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7A04B310"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21567808"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76 to 80 years</w:t>
            </w:r>
          </w:p>
        </w:tc>
        <w:tc>
          <w:tcPr>
            <w:tcW w:w="0" w:type="auto"/>
            <w:vAlign w:val="bottom"/>
          </w:tcPr>
          <w:p w14:paraId="0D479144"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0.00163</w:t>
            </w:r>
          </w:p>
        </w:tc>
        <w:tc>
          <w:tcPr>
            <w:tcW w:w="0" w:type="auto"/>
            <w:vAlign w:val="bottom"/>
          </w:tcPr>
          <w:p w14:paraId="0D9CA6B0"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14:paraId="4DB35E44"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0.69</w:t>
            </w:r>
          </w:p>
        </w:tc>
        <w:tc>
          <w:tcPr>
            <w:tcW w:w="0" w:type="auto"/>
            <w:vAlign w:val="bottom"/>
          </w:tcPr>
          <w:p w14:paraId="7534369C"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0.491</w:t>
            </w:r>
          </w:p>
        </w:tc>
        <w:tc>
          <w:tcPr>
            <w:tcW w:w="0" w:type="auto"/>
            <w:vAlign w:val="bottom"/>
          </w:tcPr>
          <w:p w14:paraId="6F1FEBB1"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7265D0C4"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77D806AE"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35854BD4"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81 to 85 years</w:t>
            </w:r>
          </w:p>
        </w:tc>
        <w:tc>
          <w:tcPr>
            <w:tcW w:w="0" w:type="auto"/>
            <w:vAlign w:val="bottom"/>
          </w:tcPr>
          <w:p w14:paraId="55BADF5A"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0.00161</w:t>
            </w:r>
          </w:p>
        </w:tc>
        <w:tc>
          <w:tcPr>
            <w:tcW w:w="0" w:type="auto"/>
            <w:vAlign w:val="bottom"/>
          </w:tcPr>
          <w:p w14:paraId="7D1769A4"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0.00237</w:t>
            </w:r>
          </w:p>
        </w:tc>
        <w:tc>
          <w:tcPr>
            <w:tcW w:w="0" w:type="auto"/>
            <w:vAlign w:val="bottom"/>
          </w:tcPr>
          <w:p w14:paraId="063CB2A4"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0.68</w:t>
            </w:r>
          </w:p>
        </w:tc>
        <w:tc>
          <w:tcPr>
            <w:tcW w:w="0" w:type="auto"/>
            <w:vAlign w:val="bottom"/>
          </w:tcPr>
          <w:p w14:paraId="619DED02"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0.496</w:t>
            </w:r>
          </w:p>
        </w:tc>
        <w:tc>
          <w:tcPr>
            <w:tcW w:w="0" w:type="auto"/>
            <w:vAlign w:val="bottom"/>
          </w:tcPr>
          <w:p w14:paraId="029A3EBF"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[-0.0030;0.0063]</w:t>
            </w:r>
          </w:p>
        </w:tc>
      </w:tr>
      <w:tr w:rsidR="002367C5" w:rsidRPr="000965BA" w14:paraId="44ADE85C"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4706F5ED"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71156647"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86 to 90 years</w:t>
            </w:r>
          </w:p>
        </w:tc>
        <w:tc>
          <w:tcPr>
            <w:tcW w:w="0" w:type="auto"/>
            <w:vAlign w:val="bottom"/>
          </w:tcPr>
          <w:p w14:paraId="5D01A22F"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0.00157</w:t>
            </w:r>
          </w:p>
        </w:tc>
        <w:tc>
          <w:tcPr>
            <w:tcW w:w="0" w:type="auto"/>
            <w:vAlign w:val="bottom"/>
          </w:tcPr>
          <w:p w14:paraId="22B7D099"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14:paraId="00CA4A2A"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0.66</w:t>
            </w:r>
          </w:p>
        </w:tc>
        <w:tc>
          <w:tcPr>
            <w:tcW w:w="0" w:type="auto"/>
            <w:vAlign w:val="bottom"/>
          </w:tcPr>
          <w:p w14:paraId="6B8BD2C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0.506</w:t>
            </w:r>
          </w:p>
        </w:tc>
        <w:tc>
          <w:tcPr>
            <w:tcW w:w="0" w:type="auto"/>
            <w:vAlign w:val="bottom"/>
          </w:tcPr>
          <w:p w14:paraId="6E22B606"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[-0.0031;0.0062]</w:t>
            </w:r>
          </w:p>
        </w:tc>
      </w:tr>
      <w:tr w:rsidR="002367C5" w:rsidRPr="000965BA" w14:paraId="7F7734E3" w14:textId="77777777" w:rsidTr="003037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5EB7E5B7"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4FF48495" w14:textId="77777777" w:rsidR="002367C5" w:rsidRPr="000965BA" w:rsidRDefault="002367C5" w:rsidP="003037B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91 to 95 years</w:t>
            </w:r>
          </w:p>
        </w:tc>
        <w:tc>
          <w:tcPr>
            <w:tcW w:w="0" w:type="auto"/>
            <w:vAlign w:val="bottom"/>
          </w:tcPr>
          <w:p w14:paraId="728F1F91"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0.00159</w:t>
            </w:r>
          </w:p>
        </w:tc>
        <w:tc>
          <w:tcPr>
            <w:tcW w:w="0" w:type="auto"/>
            <w:vAlign w:val="bottom"/>
          </w:tcPr>
          <w:p w14:paraId="77BAFCE7"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14:paraId="5B85143D"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0.67</w:t>
            </w:r>
          </w:p>
        </w:tc>
        <w:tc>
          <w:tcPr>
            <w:tcW w:w="0" w:type="auto"/>
            <w:vAlign w:val="bottom"/>
          </w:tcPr>
          <w:p w14:paraId="1B665EC6"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0.500</w:t>
            </w:r>
          </w:p>
        </w:tc>
        <w:tc>
          <w:tcPr>
            <w:tcW w:w="0" w:type="auto"/>
            <w:vAlign w:val="bottom"/>
          </w:tcPr>
          <w:p w14:paraId="414E9A03" w14:textId="77777777" w:rsidR="002367C5" w:rsidRPr="000965BA" w:rsidRDefault="002367C5"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[-0.0030;0.0062]</w:t>
            </w:r>
          </w:p>
        </w:tc>
      </w:tr>
      <w:tr w:rsidR="002367C5" w:rsidRPr="000965BA" w14:paraId="273FDF59" w14:textId="77777777" w:rsidTr="003037B9">
        <w:tc>
          <w:tcPr>
            <w:cnfStyle w:val="001000000000" w:firstRow="0" w:lastRow="0" w:firstColumn="1" w:lastColumn="0" w:oddVBand="0" w:evenVBand="0" w:oddHBand="0" w:evenHBand="0" w:firstRowFirstColumn="0" w:firstRowLastColumn="0" w:lastRowFirstColumn="0" w:lastRowLastColumn="0"/>
            <w:tcW w:w="0" w:type="auto"/>
            <w:vMerge/>
          </w:tcPr>
          <w:p w14:paraId="1B34D377" w14:textId="77777777" w:rsidR="002367C5" w:rsidRPr="000965BA" w:rsidRDefault="002367C5" w:rsidP="00B20B59">
            <w:pPr>
              <w:spacing w:line="360" w:lineRule="auto"/>
              <w:jc w:val="both"/>
              <w:rPr>
                <w:rFonts w:asciiTheme="minorHAnsi" w:hAnsiTheme="minorHAnsi"/>
                <w:color w:val="auto"/>
                <w:sz w:val="18"/>
                <w:szCs w:val="18"/>
                <w:lang w:val="en-GB"/>
              </w:rPr>
            </w:pPr>
          </w:p>
        </w:tc>
        <w:tc>
          <w:tcPr>
            <w:tcW w:w="0" w:type="auto"/>
            <w:vAlign w:val="center"/>
          </w:tcPr>
          <w:p w14:paraId="54A13E64" w14:textId="77777777" w:rsidR="002367C5" w:rsidRPr="000965BA" w:rsidRDefault="002367C5" w:rsidP="003037B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95+ years</w:t>
            </w:r>
          </w:p>
        </w:tc>
        <w:tc>
          <w:tcPr>
            <w:tcW w:w="0" w:type="auto"/>
            <w:vAlign w:val="bottom"/>
          </w:tcPr>
          <w:p w14:paraId="48E36B14"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0.00141</w:t>
            </w:r>
          </w:p>
        </w:tc>
        <w:tc>
          <w:tcPr>
            <w:tcW w:w="0" w:type="auto"/>
            <w:vAlign w:val="bottom"/>
          </w:tcPr>
          <w:p w14:paraId="578FB58E"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0.00236</w:t>
            </w:r>
          </w:p>
        </w:tc>
        <w:tc>
          <w:tcPr>
            <w:tcW w:w="0" w:type="auto"/>
            <w:vAlign w:val="bottom"/>
          </w:tcPr>
          <w:p w14:paraId="3F34F9E1"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0.60</w:t>
            </w:r>
          </w:p>
        </w:tc>
        <w:tc>
          <w:tcPr>
            <w:tcW w:w="0" w:type="auto"/>
            <w:vAlign w:val="bottom"/>
          </w:tcPr>
          <w:p w14:paraId="6E62F8CA"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0.549</w:t>
            </w:r>
          </w:p>
        </w:tc>
        <w:tc>
          <w:tcPr>
            <w:tcW w:w="0" w:type="auto"/>
            <w:vAlign w:val="bottom"/>
          </w:tcPr>
          <w:p w14:paraId="65EF453B" w14:textId="77777777" w:rsidR="002367C5" w:rsidRPr="000965BA" w:rsidRDefault="002367C5"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[-0.0030;0.0060]</w:t>
            </w:r>
          </w:p>
        </w:tc>
      </w:tr>
      <w:tr w:rsidR="00FD168E" w:rsidRPr="000965BA" w14:paraId="5A314C01" w14:textId="77777777" w:rsidTr="00FD16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86816EC"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demographics</w:t>
            </w:r>
          </w:p>
        </w:tc>
        <w:tc>
          <w:tcPr>
            <w:tcW w:w="0" w:type="auto"/>
            <w:vAlign w:val="bottom"/>
          </w:tcPr>
          <w:p w14:paraId="2C44416A" w14:textId="77777777" w:rsidR="00FD168E" w:rsidRPr="000965BA" w:rsidRDefault="00FD168E" w:rsidP="00B20B59">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bottom"/>
          </w:tcPr>
          <w:p w14:paraId="518E45A4" w14:textId="77777777" w:rsidR="00FD168E" w:rsidRPr="000965BA" w:rsidRDefault="00FD168E"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7.26*10-8</w:t>
            </w:r>
          </w:p>
        </w:tc>
        <w:tc>
          <w:tcPr>
            <w:tcW w:w="0" w:type="auto"/>
            <w:vAlign w:val="bottom"/>
          </w:tcPr>
          <w:p w14:paraId="5A127F04" w14:textId="77777777" w:rsidR="00FD168E" w:rsidRPr="000965BA" w:rsidRDefault="00FD168E"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1.58*10-7</w:t>
            </w:r>
          </w:p>
        </w:tc>
        <w:tc>
          <w:tcPr>
            <w:tcW w:w="0" w:type="auto"/>
            <w:vAlign w:val="bottom"/>
          </w:tcPr>
          <w:p w14:paraId="129F9F83" w14:textId="77777777" w:rsidR="00FD168E" w:rsidRPr="000965BA" w:rsidRDefault="00FD168E"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0.46</w:t>
            </w:r>
          </w:p>
        </w:tc>
        <w:tc>
          <w:tcPr>
            <w:tcW w:w="0" w:type="auto"/>
            <w:vAlign w:val="bottom"/>
          </w:tcPr>
          <w:p w14:paraId="10B71D04" w14:textId="77777777" w:rsidR="00FD168E" w:rsidRPr="000965BA" w:rsidRDefault="00FD168E"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0.646</w:t>
            </w:r>
          </w:p>
        </w:tc>
        <w:tc>
          <w:tcPr>
            <w:tcW w:w="0" w:type="auto"/>
            <w:vAlign w:val="bottom"/>
          </w:tcPr>
          <w:p w14:paraId="5BE0CD50" w14:textId="77777777" w:rsidR="00FD168E" w:rsidRPr="000965BA" w:rsidRDefault="00FD168E" w:rsidP="002367C5">
            <w:pPr>
              <w:spacing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[-2.4*10</w:t>
            </w:r>
            <w:r w:rsidRPr="000965BA">
              <w:rPr>
                <w:rFonts w:asciiTheme="minorHAnsi" w:hAnsiTheme="minorHAnsi"/>
                <w:color w:val="auto"/>
                <w:sz w:val="18"/>
                <w:szCs w:val="18"/>
                <w:vertAlign w:val="superscript"/>
                <w:lang w:val="en-GB"/>
              </w:rPr>
              <w:t>-7</w:t>
            </w:r>
            <w:r w:rsidRPr="000965BA">
              <w:rPr>
                <w:rFonts w:asciiTheme="minorHAnsi" w:hAnsiTheme="minorHAnsi"/>
                <w:color w:val="auto"/>
                <w:sz w:val="18"/>
                <w:szCs w:val="18"/>
                <w:lang w:val="en-GB"/>
              </w:rPr>
              <w:t>;3.8*10</w:t>
            </w:r>
            <w:r w:rsidRPr="000965BA">
              <w:rPr>
                <w:rFonts w:asciiTheme="minorHAnsi" w:hAnsiTheme="minorHAnsi"/>
                <w:color w:val="auto"/>
                <w:sz w:val="18"/>
                <w:szCs w:val="18"/>
                <w:vertAlign w:val="superscript"/>
                <w:lang w:val="en-GB"/>
              </w:rPr>
              <w:t>-7</w:t>
            </w:r>
            <w:r w:rsidRPr="000965BA">
              <w:rPr>
                <w:rFonts w:asciiTheme="minorHAnsi" w:hAnsiTheme="minorHAnsi"/>
                <w:color w:val="auto"/>
                <w:sz w:val="18"/>
                <w:szCs w:val="18"/>
                <w:lang w:val="en-GB"/>
              </w:rPr>
              <w:t>]</w:t>
            </w:r>
          </w:p>
        </w:tc>
      </w:tr>
      <w:tr w:rsidR="00FD168E" w:rsidRPr="000965BA" w14:paraId="0FE93F38" w14:textId="77777777" w:rsidTr="00FD168E">
        <w:tc>
          <w:tcPr>
            <w:cnfStyle w:val="001000000000" w:firstRow="0" w:lastRow="0" w:firstColumn="1" w:lastColumn="0" w:oddVBand="0" w:evenVBand="0" w:oddHBand="0" w:evenHBand="0" w:firstRowFirstColumn="0" w:firstRowLastColumn="0" w:lastRowFirstColumn="0" w:lastRowLastColumn="0"/>
            <w:tcW w:w="0" w:type="auto"/>
          </w:tcPr>
          <w:p w14:paraId="303DA951" w14:textId="77777777" w:rsidR="00FD168E" w:rsidRPr="000965BA" w:rsidRDefault="00FD168E" w:rsidP="00B20B59">
            <w:pPr>
              <w:spacing w:line="360"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constant</w:t>
            </w:r>
          </w:p>
        </w:tc>
        <w:tc>
          <w:tcPr>
            <w:tcW w:w="0" w:type="auto"/>
            <w:vAlign w:val="bottom"/>
          </w:tcPr>
          <w:p w14:paraId="489551EE" w14:textId="77777777" w:rsidR="00FD168E" w:rsidRPr="000965BA" w:rsidRDefault="00FD168E" w:rsidP="00B20B59">
            <w:p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bottom"/>
          </w:tcPr>
          <w:p w14:paraId="2374F892" w14:textId="77777777" w:rsidR="00FD168E" w:rsidRPr="000965BA" w:rsidRDefault="00FD168E"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-2.5815</w:t>
            </w:r>
          </w:p>
        </w:tc>
        <w:tc>
          <w:tcPr>
            <w:tcW w:w="0" w:type="auto"/>
            <w:vAlign w:val="bottom"/>
          </w:tcPr>
          <w:p w14:paraId="5970BC19" w14:textId="77777777" w:rsidR="00FD168E" w:rsidRPr="000965BA" w:rsidRDefault="00FD168E"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4.7419</w:t>
            </w:r>
          </w:p>
        </w:tc>
        <w:tc>
          <w:tcPr>
            <w:tcW w:w="0" w:type="auto"/>
            <w:vAlign w:val="bottom"/>
          </w:tcPr>
          <w:p w14:paraId="54ECFAB9" w14:textId="77777777" w:rsidR="00FD168E" w:rsidRPr="000965BA" w:rsidRDefault="00FD168E"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-0.54</w:t>
            </w:r>
          </w:p>
        </w:tc>
        <w:tc>
          <w:tcPr>
            <w:tcW w:w="0" w:type="auto"/>
            <w:vAlign w:val="bottom"/>
          </w:tcPr>
          <w:p w14:paraId="225B7DC6" w14:textId="77777777" w:rsidR="00FD168E" w:rsidRPr="000965BA" w:rsidRDefault="00FD168E"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0.586</w:t>
            </w:r>
          </w:p>
        </w:tc>
        <w:tc>
          <w:tcPr>
            <w:tcW w:w="0" w:type="auto"/>
            <w:vAlign w:val="bottom"/>
          </w:tcPr>
          <w:p w14:paraId="2AF4E45B" w14:textId="77777777" w:rsidR="00FD168E" w:rsidRPr="000965BA" w:rsidRDefault="00FD168E" w:rsidP="002367C5">
            <w:pPr>
              <w:spacing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[-11.877;6.714]</w:t>
            </w:r>
          </w:p>
        </w:tc>
      </w:tr>
    </w:tbl>
    <w:p w14:paraId="022AF7C0" w14:textId="77777777" w:rsidR="00FD168E" w:rsidRPr="000965BA" w:rsidRDefault="00FD168E" w:rsidP="00B20B59">
      <w:pPr>
        <w:spacing w:line="360" w:lineRule="auto"/>
        <w:jc w:val="both"/>
        <w:rPr>
          <w:rFonts w:asciiTheme="minorHAnsi" w:hAnsiTheme="minorHAnsi"/>
          <w:b/>
          <w:szCs w:val="22"/>
          <w:lang w:val="en-GB"/>
        </w:rPr>
      </w:pPr>
    </w:p>
    <w:p w14:paraId="456F4143" w14:textId="77777777" w:rsidR="00FD168E" w:rsidRPr="000965BA" w:rsidRDefault="00FD168E" w:rsidP="00B20B59">
      <w:pPr>
        <w:spacing w:line="360" w:lineRule="auto"/>
        <w:jc w:val="both"/>
        <w:rPr>
          <w:rFonts w:asciiTheme="minorHAnsi" w:hAnsiTheme="minorHAnsi"/>
          <w:b/>
          <w:szCs w:val="22"/>
          <w:lang w:val="en-GB"/>
        </w:rPr>
      </w:pPr>
      <w:r w:rsidRPr="000965BA">
        <w:rPr>
          <w:rFonts w:asciiTheme="minorHAnsi" w:hAnsiTheme="minorHAnsi"/>
          <w:b/>
          <w:noProof/>
          <w:szCs w:val="22"/>
        </w:rPr>
        <w:drawing>
          <wp:inline distT="0" distB="0" distL="0" distR="0" wp14:anchorId="176919F1" wp14:editId="3614F9F5">
            <wp:extent cx="5760720" cy="2862599"/>
            <wp:effectExtent l="19050" t="0" r="11430" b="0"/>
            <wp:docPr id="2"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827903E" w14:textId="77777777" w:rsidR="0046535C" w:rsidRPr="000965BA" w:rsidRDefault="0046535C" w:rsidP="00B20B59">
      <w:pPr>
        <w:spacing w:line="360" w:lineRule="auto"/>
        <w:jc w:val="both"/>
        <w:rPr>
          <w:rFonts w:asciiTheme="minorHAnsi" w:hAnsiTheme="minorHAnsi"/>
          <w:b/>
          <w:szCs w:val="22"/>
          <w:lang w:val="en-GB"/>
        </w:rPr>
      </w:pPr>
    </w:p>
    <w:p w14:paraId="00D57065" w14:textId="77777777" w:rsidR="00F32A99" w:rsidRDefault="00F32A99">
      <w:pPr>
        <w:rPr>
          <w:rFonts w:asciiTheme="minorHAnsi" w:hAnsiTheme="minorHAnsi"/>
          <w:b/>
          <w:szCs w:val="22"/>
          <w:lang w:val="en-GB"/>
        </w:rPr>
      </w:pPr>
      <w:r>
        <w:rPr>
          <w:rFonts w:asciiTheme="minorHAnsi" w:hAnsiTheme="minorHAnsi"/>
          <w:b/>
          <w:szCs w:val="22"/>
          <w:lang w:val="en-GB"/>
        </w:rPr>
        <w:br w:type="page"/>
      </w:r>
    </w:p>
    <w:p w14:paraId="17458C50" w14:textId="77777777" w:rsidR="00FD168E" w:rsidRPr="000965BA" w:rsidRDefault="00F32A99" w:rsidP="00B20B59">
      <w:pPr>
        <w:spacing w:line="360" w:lineRule="auto"/>
        <w:jc w:val="both"/>
        <w:rPr>
          <w:rFonts w:asciiTheme="minorHAnsi" w:hAnsiTheme="minorHAnsi"/>
          <w:b/>
          <w:szCs w:val="22"/>
          <w:lang w:val="en-GB"/>
        </w:rPr>
      </w:pPr>
      <w:r>
        <w:rPr>
          <w:rFonts w:asciiTheme="minorHAnsi" w:hAnsiTheme="minorHAnsi"/>
          <w:b/>
          <w:szCs w:val="22"/>
          <w:lang w:val="en-GB"/>
        </w:rPr>
        <w:lastRenderedPageBreak/>
        <w:t>Appendix 2: Estimating thresholds per patient category</w:t>
      </w:r>
    </w:p>
    <w:p w14:paraId="6224A6B0" w14:textId="77777777" w:rsidR="00FD168E" w:rsidRPr="000965BA" w:rsidRDefault="00FD168E"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We estimate the following </w:t>
      </w:r>
      <w:r w:rsidR="00651B13">
        <w:rPr>
          <w:rFonts w:asciiTheme="minorHAnsi" w:hAnsiTheme="minorHAnsi"/>
          <w:szCs w:val="22"/>
          <w:lang w:val="en-GB"/>
        </w:rPr>
        <w:t xml:space="preserve">equations, including </w:t>
      </w:r>
      <w:r w:rsidRPr="000965BA">
        <w:rPr>
          <w:rFonts w:asciiTheme="minorHAnsi" w:hAnsiTheme="minorHAnsi"/>
          <w:szCs w:val="22"/>
          <w:lang w:val="en-GB"/>
        </w:rPr>
        <w:t xml:space="preserve">interactions with gender, age group and disease group (see tables </w:t>
      </w:r>
      <w:r w:rsidR="009842CC" w:rsidRPr="000965BA">
        <w:rPr>
          <w:rFonts w:asciiTheme="minorHAnsi" w:hAnsiTheme="minorHAnsi"/>
          <w:szCs w:val="22"/>
          <w:lang w:val="en-GB"/>
        </w:rPr>
        <w:t>8-10</w:t>
      </w:r>
      <w:r w:rsidRPr="000965BA">
        <w:rPr>
          <w:rFonts w:asciiTheme="minorHAnsi" w:hAnsiTheme="minorHAnsi"/>
          <w:szCs w:val="22"/>
          <w:lang w:val="en-GB"/>
        </w:rPr>
        <w:t xml:space="preserve">): </w:t>
      </w:r>
    </w:p>
    <w:p w14:paraId="331B9A2C" w14:textId="77777777" w:rsidR="00FD168E" w:rsidRPr="000965BA" w:rsidRDefault="00322D94" w:rsidP="00B20B59">
      <w:pPr>
        <w:spacing w:line="360" w:lineRule="auto"/>
        <w:jc w:val="both"/>
        <w:rPr>
          <w:rFonts w:asciiTheme="minorHAnsi" w:hAnsiTheme="minorHAnsi"/>
          <w:sz w:val="20"/>
          <w:lang w:val="en-GB"/>
        </w:rPr>
      </w:pPr>
      <m:oMathPara>
        <m:oMath>
          <m:sSub>
            <m:sSubPr>
              <m:ctrlPr>
                <w:rPr>
                  <w:rFonts w:ascii="Cambria Math" w:hAnsiTheme="minorHAnsi"/>
                  <w:i/>
                  <w:sz w:val="20"/>
                  <w:lang w:val="en-GB"/>
                </w:rPr>
              </m:ctrlPr>
            </m:sSubPr>
            <m:e>
              <m:r>
                <m:rPr>
                  <m:sty m:val="p"/>
                </m:rPr>
                <w:rPr>
                  <w:rFonts w:ascii="Cambria Math" w:hAnsiTheme="minorHAnsi"/>
                  <w:sz w:val="20"/>
                  <w:lang w:val="en-GB"/>
                </w:rPr>
                <m:t>log</m:t>
              </m:r>
              <m:r>
                <m:rPr>
                  <m:sty m:val="p"/>
                </m:rPr>
                <w:rPr>
                  <w:rFonts w:ascii="Cambria Math" w:hAnsi="Cambria Math"/>
                  <w:sz w:val="20"/>
                  <w:lang w:val="en-GB"/>
                </w:rPr>
                <m:t>⁡</m:t>
              </m:r>
              <m:r>
                <w:rPr>
                  <w:rFonts w:ascii="Cambria Math" w:hAnsiTheme="minorHAnsi"/>
                  <w:sz w:val="20"/>
                  <w:lang w:val="en-GB"/>
                </w:rPr>
                <m:t>(</m:t>
              </m:r>
              <m:r>
                <w:rPr>
                  <w:rFonts w:ascii="Cambria Math" w:hAnsi="Cambria Math"/>
                  <w:sz w:val="20"/>
                  <w:lang w:val="en-GB"/>
                </w:rPr>
                <m:t>Q</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1</m:t>
              </m:r>
            </m:sub>
          </m:sSub>
          <m:r>
            <w:rPr>
              <w:rFonts w:ascii="Cambria Math" w:hAnsiTheme="minorHAnsi"/>
              <w:sz w:val="20"/>
              <w:lang w:val="en-GB"/>
            </w:rPr>
            <m:t>+</m:t>
          </m:r>
          <m:sSub>
            <m:sSubPr>
              <m:ctrlPr>
                <w:rPr>
                  <w:rFonts w:ascii="Cambria Math" w:hAnsiTheme="minorHAnsi"/>
                  <w:i/>
                  <w:sz w:val="20"/>
                  <w:lang w:val="en-GB"/>
                </w:rPr>
              </m:ctrlPr>
            </m:sSubPr>
            <m:e>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2</m:t>
                  </m:r>
                </m:sub>
              </m:sSub>
              <m:sSub>
                <m:sSubPr>
                  <m:ctrlPr>
                    <w:rPr>
                      <w:rFonts w:ascii="Cambria Math" w:hAnsiTheme="minorHAnsi"/>
                      <w:i/>
                      <w:sz w:val="20"/>
                      <w:lang w:val="en-GB"/>
                    </w:rPr>
                  </m:ctrlPr>
                </m:sSubPr>
                <m:e>
                  <m:r>
                    <w:rPr>
                      <w:rFonts w:ascii="Cambria Math" w:hAnsi="Cambria Math"/>
                      <w:sz w:val="20"/>
                      <w:lang w:val="en-GB"/>
                    </w:rPr>
                    <m:t>T</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r>
                <w:rPr>
                  <w:rFonts w:ascii="Cambria Math" w:hAnsi="Cambria Math"/>
                  <w:sz w:val="20"/>
                  <w:lang w:val="en-GB"/>
                </w:rPr>
                <m:t>β</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m:t>
          </m:r>
          <m:sSub>
            <m:sSubPr>
              <m:ctrlPr>
                <w:rPr>
                  <w:rFonts w:ascii="Cambria Math" w:hAnsiTheme="minorHAnsi"/>
                  <w:i/>
                  <w:sz w:val="20"/>
                  <w:lang w:val="en-GB"/>
                </w:rPr>
              </m:ctrlPr>
            </m:sSubPr>
            <m:e>
              <m:r>
                <w:rPr>
                  <w:rFonts w:ascii="Cambria Math" w:hAnsi="Cambria Math"/>
                  <w:sz w:val="20"/>
                  <w:lang w:val="en-GB"/>
                </w:rPr>
                <m:t>gender</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p>
            <m:sSupPr>
              <m:ctrlPr>
                <w:rPr>
                  <w:rFonts w:ascii="Cambria Math" w:hAnsiTheme="minorHAnsi"/>
                  <w:i/>
                  <w:sz w:val="20"/>
                  <w:lang w:val="en-GB"/>
                </w:rPr>
              </m:ctrlPr>
            </m:sSupPr>
            <m:e>
              <m:sSub>
                <m:sSubPr>
                  <m:ctrlPr>
                    <w:rPr>
                      <w:rFonts w:ascii="Cambria Math" w:hAnsiTheme="minorHAnsi"/>
                      <w:i/>
                      <w:sz w:val="20"/>
                      <w:lang w:val="en-GB"/>
                    </w:rPr>
                  </m:ctrlPr>
                </m:sSub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r>
                    <w:rPr>
                      <w:rFonts w:ascii="Cambria Math" w:hAnsi="Cambria Math"/>
                      <w:sz w:val="20"/>
                      <w:lang w:val="en-GB"/>
                    </w:rPr>
                    <m:t>β</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p>
            <m:sSupPr>
              <m:ctrlPr>
                <w:rPr>
                  <w:rFonts w:ascii="Cambria Math" w:hAnsiTheme="minorHAnsi"/>
                  <w:i/>
                  <w:sz w:val="20"/>
                  <w:lang w:val="en-GB"/>
                </w:rPr>
              </m:ctrlPr>
            </m:sSup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β</m:t>
              </m:r>
            </m:e>
            <m:sub>
              <m:r>
                <w:rPr>
                  <w:rFonts w:ascii="Cambria Math" w:hAnsiTheme="minorHAnsi"/>
                  <w:sz w:val="20"/>
                  <w:lang w:val="en-GB"/>
                </w:rPr>
                <m:t>3</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ε</m:t>
              </m:r>
            </m:e>
            <m:sub>
              <m:r>
                <w:rPr>
                  <w:rFonts w:ascii="Cambria Math" w:hAnsi="Cambria Math"/>
                  <w:sz w:val="20"/>
                  <w:lang w:val="en-GB"/>
                </w:rPr>
                <m:t>i</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ϵ</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oMath>
      </m:oMathPara>
    </w:p>
    <w:p w14:paraId="44F65F41" w14:textId="77777777" w:rsidR="00FD168E" w:rsidRPr="000965BA" w:rsidRDefault="00322D94" w:rsidP="00B20B59">
      <w:pPr>
        <w:spacing w:line="360" w:lineRule="auto"/>
        <w:jc w:val="both"/>
        <w:rPr>
          <w:rFonts w:asciiTheme="minorHAnsi" w:hAnsiTheme="minorHAnsi"/>
          <w:sz w:val="20"/>
          <w:lang w:val="en-GB"/>
        </w:rPr>
      </w:pPr>
      <m:oMathPara>
        <m:oMath>
          <m:sSub>
            <m:sSubPr>
              <m:ctrlPr>
                <w:rPr>
                  <w:rFonts w:ascii="Cambria Math" w:hAnsiTheme="minorHAnsi"/>
                  <w:i/>
                  <w:sz w:val="20"/>
                  <w:lang w:val="en-GB"/>
                </w:rPr>
              </m:ctrlPr>
            </m:sSubPr>
            <m:e>
              <m:r>
                <m:rPr>
                  <m:sty m:val="p"/>
                </m:rPr>
                <w:rPr>
                  <w:rFonts w:ascii="Cambria Math" w:hAnsiTheme="minorHAnsi"/>
                  <w:sz w:val="20"/>
                  <w:lang w:val="en-GB"/>
                </w:rPr>
                <m:t>log</m:t>
              </m:r>
              <m:r>
                <m:rPr>
                  <m:sty m:val="p"/>
                </m:rPr>
                <w:rPr>
                  <w:rFonts w:ascii="Cambria Math" w:hAnsi="Cambria Math"/>
                  <w:sz w:val="20"/>
                  <w:lang w:val="en-GB"/>
                </w:rPr>
                <m:t>⁡</m:t>
              </m:r>
              <m:r>
                <w:rPr>
                  <w:rFonts w:ascii="Cambria Math" w:hAnsiTheme="minorHAnsi"/>
                  <w:sz w:val="20"/>
                  <w:lang w:val="en-GB"/>
                </w:rPr>
                <m:t>(</m:t>
              </m:r>
              <m:r>
                <w:rPr>
                  <w:rFonts w:ascii="Cambria Math" w:hAnsi="Cambria Math"/>
                  <w:sz w:val="20"/>
                  <w:lang w:val="en-GB"/>
                </w:rPr>
                <m:t>Q</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1</m:t>
              </m:r>
            </m:sub>
          </m:sSub>
          <m:r>
            <w:rPr>
              <w:rFonts w:ascii="Cambria Math" w:hAnsiTheme="minorHAnsi"/>
              <w:sz w:val="20"/>
              <w:lang w:val="en-GB"/>
            </w:rPr>
            <m:t>+</m:t>
          </m:r>
          <m:sSub>
            <m:sSubPr>
              <m:ctrlPr>
                <w:rPr>
                  <w:rFonts w:ascii="Cambria Math" w:hAnsiTheme="minorHAnsi"/>
                  <w:i/>
                  <w:sz w:val="20"/>
                  <w:lang w:val="en-GB"/>
                </w:rPr>
              </m:ctrlPr>
            </m:sSubPr>
            <m:e>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2</m:t>
                  </m:r>
                </m:sub>
              </m:sSub>
              <m:sSub>
                <m:sSubPr>
                  <m:ctrlPr>
                    <w:rPr>
                      <w:rFonts w:ascii="Cambria Math" w:hAnsiTheme="minorHAnsi"/>
                      <w:i/>
                      <w:sz w:val="20"/>
                      <w:lang w:val="en-GB"/>
                    </w:rPr>
                  </m:ctrlPr>
                </m:sSubPr>
                <m:e>
                  <m:r>
                    <w:rPr>
                      <w:rFonts w:ascii="Cambria Math" w:hAnsi="Cambria Math"/>
                      <w:sz w:val="20"/>
                      <w:lang w:val="en-GB"/>
                    </w:rPr>
                    <m:t>T</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r>
                <w:rPr>
                  <w:rFonts w:ascii="Cambria Math" w:hAnsi="Cambria Math"/>
                  <w:sz w:val="20"/>
                  <w:lang w:val="en-GB"/>
                </w:rPr>
                <m:t>β</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m:t>
          </m:r>
          <m:sSub>
            <m:sSubPr>
              <m:ctrlPr>
                <w:rPr>
                  <w:rFonts w:ascii="Cambria Math" w:hAnsiTheme="minorHAnsi"/>
                  <w:i/>
                  <w:sz w:val="20"/>
                  <w:lang w:val="en-GB"/>
                </w:rPr>
              </m:ctrlPr>
            </m:sSubPr>
            <m:e>
              <m:r>
                <w:rPr>
                  <w:rFonts w:ascii="Cambria Math" w:hAnsi="Cambria Math"/>
                  <w:sz w:val="20"/>
                  <w:lang w:val="en-GB"/>
                </w:rPr>
                <m:t>age</m:t>
              </m:r>
              <m:r>
                <w:rPr>
                  <w:rFonts w:ascii="Cambria Math" w:hAnsiTheme="minorHAnsi"/>
                  <w:sz w:val="20"/>
                  <w:lang w:val="en-GB"/>
                </w:rPr>
                <m:t xml:space="preserve"> </m:t>
              </m:r>
              <m:r>
                <w:rPr>
                  <w:rFonts w:ascii="Cambria Math" w:hAnsi="Cambria Math"/>
                  <w:sz w:val="20"/>
                  <w:lang w:val="en-GB"/>
                </w:rPr>
                <m:t>group</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p>
            <m:sSupPr>
              <m:ctrlPr>
                <w:rPr>
                  <w:rFonts w:ascii="Cambria Math" w:hAnsiTheme="minorHAnsi"/>
                  <w:i/>
                  <w:sz w:val="20"/>
                  <w:lang w:val="en-GB"/>
                </w:rPr>
              </m:ctrlPr>
            </m:sSupPr>
            <m:e>
              <m:sSub>
                <m:sSubPr>
                  <m:ctrlPr>
                    <w:rPr>
                      <w:rFonts w:ascii="Cambria Math" w:hAnsiTheme="minorHAnsi"/>
                      <w:i/>
                      <w:sz w:val="20"/>
                      <w:lang w:val="en-GB"/>
                    </w:rPr>
                  </m:ctrlPr>
                </m:sSub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r>
                    <w:rPr>
                      <w:rFonts w:ascii="Cambria Math" w:hAnsi="Cambria Math"/>
                      <w:sz w:val="20"/>
                      <w:lang w:val="en-GB"/>
                    </w:rPr>
                    <m:t>β</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p>
            <m:sSupPr>
              <m:ctrlPr>
                <w:rPr>
                  <w:rFonts w:ascii="Cambria Math" w:hAnsiTheme="minorHAnsi"/>
                  <w:i/>
                  <w:sz w:val="20"/>
                  <w:lang w:val="en-GB"/>
                </w:rPr>
              </m:ctrlPr>
            </m:sSup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β</m:t>
              </m:r>
            </m:e>
            <m:sub>
              <m:r>
                <w:rPr>
                  <w:rFonts w:ascii="Cambria Math" w:hAnsiTheme="minorHAnsi"/>
                  <w:sz w:val="20"/>
                  <w:lang w:val="en-GB"/>
                </w:rPr>
                <m:t>3</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ε</m:t>
              </m:r>
            </m:e>
            <m:sub>
              <m:r>
                <w:rPr>
                  <w:rFonts w:ascii="Cambria Math" w:hAnsi="Cambria Math"/>
                  <w:sz w:val="20"/>
                  <w:lang w:val="en-GB"/>
                </w:rPr>
                <m:t>i</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ϵ</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oMath>
      </m:oMathPara>
    </w:p>
    <w:p w14:paraId="3AB10F37" w14:textId="77777777" w:rsidR="00FD168E" w:rsidRPr="000965BA" w:rsidRDefault="00322D94" w:rsidP="00B20B59">
      <w:pPr>
        <w:spacing w:line="360" w:lineRule="auto"/>
        <w:jc w:val="both"/>
        <w:rPr>
          <w:rFonts w:asciiTheme="minorHAnsi" w:hAnsiTheme="minorHAnsi"/>
          <w:sz w:val="20"/>
          <w:lang w:val="en-GB"/>
        </w:rPr>
      </w:pPr>
      <m:oMathPara>
        <m:oMath>
          <m:sSub>
            <m:sSubPr>
              <m:ctrlPr>
                <w:rPr>
                  <w:rFonts w:ascii="Cambria Math" w:hAnsiTheme="minorHAnsi"/>
                  <w:i/>
                  <w:sz w:val="20"/>
                  <w:lang w:val="en-GB"/>
                </w:rPr>
              </m:ctrlPr>
            </m:sSubPr>
            <m:e>
              <m:r>
                <m:rPr>
                  <m:sty m:val="p"/>
                </m:rPr>
                <w:rPr>
                  <w:rFonts w:ascii="Cambria Math" w:hAnsiTheme="minorHAnsi"/>
                  <w:sz w:val="20"/>
                  <w:lang w:val="en-GB"/>
                </w:rPr>
                <m:t>log</m:t>
              </m:r>
              <m:r>
                <m:rPr>
                  <m:sty m:val="p"/>
                </m:rPr>
                <w:rPr>
                  <w:rFonts w:ascii="Cambria Math" w:hAnsi="Cambria Math"/>
                  <w:sz w:val="20"/>
                  <w:lang w:val="en-GB"/>
                </w:rPr>
                <m:t>⁡</m:t>
              </m:r>
              <m:r>
                <w:rPr>
                  <w:rFonts w:ascii="Cambria Math" w:hAnsiTheme="minorHAnsi"/>
                  <w:sz w:val="20"/>
                  <w:lang w:val="en-GB"/>
                </w:rPr>
                <m:t>(</m:t>
              </m:r>
              <m:r>
                <w:rPr>
                  <w:rFonts w:ascii="Cambria Math" w:hAnsi="Cambria Math"/>
                  <w:sz w:val="20"/>
                  <w:lang w:val="en-GB"/>
                </w:rPr>
                <m:t>Q</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1</m:t>
              </m:r>
            </m:sub>
          </m:sSub>
          <m:r>
            <w:rPr>
              <w:rFonts w:ascii="Cambria Math" w:hAnsiTheme="minorHAnsi"/>
              <w:sz w:val="20"/>
              <w:lang w:val="en-GB"/>
            </w:rPr>
            <m:t>+</m:t>
          </m:r>
          <m:sSub>
            <m:sSubPr>
              <m:ctrlPr>
                <w:rPr>
                  <w:rFonts w:ascii="Cambria Math" w:hAnsiTheme="minorHAnsi"/>
                  <w:i/>
                  <w:sz w:val="20"/>
                  <w:lang w:val="en-GB"/>
                </w:rPr>
              </m:ctrlPr>
            </m:sSubPr>
            <m:e>
              <m:sSub>
                <m:sSubPr>
                  <m:ctrlPr>
                    <w:rPr>
                      <w:rFonts w:ascii="Cambria Math" w:hAnsiTheme="minorHAnsi"/>
                      <w:i/>
                      <w:sz w:val="20"/>
                      <w:lang w:val="en-GB"/>
                    </w:rPr>
                  </m:ctrlPr>
                </m:sSubPr>
                <m:e>
                  <m:r>
                    <w:rPr>
                      <w:rFonts w:ascii="Cambria Math" w:hAnsi="Cambria Math"/>
                      <w:sz w:val="20"/>
                      <w:lang w:val="en-GB"/>
                    </w:rPr>
                    <m:t>α</m:t>
                  </m:r>
                </m:e>
                <m:sub>
                  <m:r>
                    <w:rPr>
                      <w:rFonts w:ascii="Cambria Math" w:hAnsiTheme="minorHAnsi"/>
                      <w:sz w:val="20"/>
                      <w:lang w:val="en-GB"/>
                    </w:rPr>
                    <m:t>2</m:t>
                  </m:r>
                </m:sub>
              </m:sSub>
              <m:sSub>
                <m:sSubPr>
                  <m:ctrlPr>
                    <w:rPr>
                      <w:rFonts w:ascii="Cambria Math" w:hAnsiTheme="minorHAnsi"/>
                      <w:i/>
                      <w:sz w:val="20"/>
                      <w:lang w:val="en-GB"/>
                    </w:rPr>
                  </m:ctrlPr>
                </m:sSubPr>
                <m:e>
                  <m:r>
                    <w:rPr>
                      <w:rFonts w:ascii="Cambria Math" w:hAnsi="Cambria Math"/>
                      <w:sz w:val="20"/>
                      <w:lang w:val="en-GB"/>
                    </w:rPr>
                    <m:t>T</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r>
                <w:rPr>
                  <w:rFonts w:ascii="Cambria Math" w:hAnsi="Cambria Math"/>
                  <w:sz w:val="20"/>
                  <w:lang w:val="en-GB"/>
                </w:rPr>
                <m:t>β</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m:t>
          </m:r>
          <m:sSub>
            <m:sSubPr>
              <m:ctrlPr>
                <w:rPr>
                  <w:rFonts w:ascii="Cambria Math" w:hAnsiTheme="minorHAnsi"/>
                  <w:i/>
                  <w:sz w:val="20"/>
                  <w:lang w:val="en-GB"/>
                </w:rPr>
              </m:ctrlPr>
            </m:sSubPr>
            <m:e>
              <m:r>
                <w:rPr>
                  <w:rFonts w:ascii="Cambria Math" w:hAnsi="Cambria Math"/>
                  <w:sz w:val="20"/>
                  <w:lang w:val="en-GB"/>
                </w:rPr>
                <m:t>ICD</m:t>
              </m:r>
              <m:r>
                <w:rPr>
                  <w:rFonts w:ascii="Cambria Math" w:hAnsiTheme="minorHAnsi"/>
                  <w:sz w:val="20"/>
                  <w:lang w:val="en-GB"/>
                </w:rPr>
                <m:t xml:space="preserve"> </m:t>
              </m:r>
              <m:r>
                <w:rPr>
                  <w:rFonts w:ascii="Cambria Math" w:hAnsi="Cambria Math"/>
                  <w:sz w:val="20"/>
                  <w:lang w:val="en-GB"/>
                </w:rPr>
                <m:t>group</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r>
            <w:rPr>
              <w:rFonts w:ascii="Cambria Math" w:hAnsiTheme="minorHAnsi"/>
              <w:sz w:val="20"/>
              <w:lang w:val="en-GB"/>
            </w:rPr>
            <m:t>+</m:t>
          </m:r>
          <m:sSup>
            <m:sSupPr>
              <m:ctrlPr>
                <w:rPr>
                  <w:rFonts w:ascii="Cambria Math" w:hAnsiTheme="minorHAnsi"/>
                  <w:i/>
                  <w:sz w:val="20"/>
                  <w:lang w:val="en-GB"/>
                </w:rPr>
              </m:ctrlPr>
            </m:sSupPr>
            <m:e>
              <m:sSub>
                <m:sSubPr>
                  <m:ctrlPr>
                    <w:rPr>
                      <w:rFonts w:ascii="Cambria Math" w:hAnsiTheme="minorHAnsi"/>
                      <w:i/>
                      <w:sz w:val="20"/>
                      <w:lang w:val="en-GB"/>
                    </w:rPr>
                  </m:ctrlPr>
                </m:sSub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r>
                    <w:rPr>
                      <w:rFonts w:ascii="Cambria Math" w:hAnsi="Cambria Math"/>
                      <w:sz w:val="20"/>
                      <w:lang w:val="en-GB"/>
                    </w:rPr>
                    <m:t>β</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1</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p>
            <m:sSupPr>
              <m:ctrlPr>
                <w:rPr>
                  <w:rFonts w:ascii="Cambria Math" w:hAnsiTheme="minorHAnsi"/>
                  <w:i/>
                  <w:sz w:val="20"/>
                  <w:lang w:val="en-GB"/>
                </w:rPr>
              </m:ctrlPr>
            </m:sSupPr>
            <m:e>
              <m:f>
                <m:fPr>
                  <m:ctrlPr>
                    <w:rPr>
                      <w:rFonts w:ascii="Cambria Math" w:hAnsiTheme="minorHAnsi"/>
                      <w:i/>
                      <w:sz w:val="20"/>
                      <w:lang w:val="en-GB"/>
                    </w:rPr>
                  </m:ctrlPr>
                </m:fPr>
                <m:num>
                  <m:r>
                    <w:rPr>
                      <w:rFonts w:ascii="Cambria Math" w:hAnsiTheme="minorHAnsi"/>
                      <w:sz w:val="20"/>
                      <w:lang w:val="en-GB"/>
                    </w:rPr>
                    <m:t>1</m:t>
                  </m:r>
                </m:num>
                <m:den>
                  <m:r>
                    <w:rPr>
                      <w:rFonts w:ascii="Cambria Math" w:hAnsiTheme="minorHAnsi"/>
                      <w:sz w:val="20"/>
                      <w:lang w:val="en-GB"/>
                    </w:rPr>
                    <m:t>2</m:t>
                  </m:r>
                </m:den>
              </m:f>
              <m:sSub>
                <m:sSubPr>
                  <m:ctrlPr>
                    <w:rPr>
                      <w:rFonts w:ascii="Cambria Math" w:hAnsiTheme="minorHAnsi"/>
                      <w:i/>
                      <w:sz w:val="20"/>
                      <w:lang w:val="en-GB"/>
                    </w:rPr>
                  </m:ctrlPr>
                </m:sSubPr>
                <m:e>
                  <m:r>
                    <w:rPr>
                      <w:rFonts w:ascii="Cambria Math" w:hAnsi="Cambria Math"/>
                      <w:sz w:val="20"/>
                      <w:lang w:val="en-GB"/>
                    </w:rPr>
                    <m:t>θ</m:t>
                  </m:r>
                </m:e>
                <m:sub>
                  <m:r>
                    <w:rPr>
                      <w:rFonts w:ascii="Cambria Math" w:hAnsiTheme="minorHAnsi"/>
                      <w:sz w:val="20"/>
                      <w:lang w:val="en-GB"/>
                    </w:rPr>
                    <m:t>2</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e>
            <m:sup>
              <m:r>
                <w:rPr>
                  <w:rFonts w:ascii="Cambria Math" w:hAnsiTheme="minorHAnsi"/>
                  <w:sz w:val="20"/>
                  <w:lang w:val="en-GB"/>
                </w:rPr>
                <m:t>2</m:t>
              </m:r>
            </m:sup>
          </m:sSup>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β</m:t>
              </m:r>
            </m:e>
            <m:sub>
              <m:r>
                <w:rPr>
                  <w:rFonts w:ascii="Cambria Math" w:hAnsiTheme="minorHAnsi"/>
                  <w:sz w:val="20"/>
                  <w:lang w:val="en-GB"/>
                </w:rPr>
                <m:t>3</m:t>
              </m:r>
            </m:sub>
          </m:sSub>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C</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Cambria Math"/>
              <w:sz w:val="20"/>
              <w:lang w:val="en-GB"/>
            </w:rPr>
            <m:t>Log</m:t>
          </m:r>
          <m:d>
            <m:dPr>
              <m:ctrlPr>
                <w:rPr>
                  <w:rFonts w:ascii="Cambria Math" w:hAnsiTheme="minorHAnsi"/>
                  <w:i/>
                  <w:sz w:val="20"/>
                  <w:lang w:val="en-GB"/>
                </w:rPr>
              </m:ctrlPr>
            </m:dPr>
            <m:e>
              <m:sSub>
                <m:sSubPr>
                  <m:ctrlPr>
                    <w:rPr>
                      <w:rFonts w:ascii="Cambria Math" w:hAnsiTheme="minorHAnsi"/>
                      <w:i/>
                      <w:sz w:val="20"/>
                      <w:lang w:val="en-GB"/>
                    </w:rPr>
                  </m:ctrlPr>
                </m:sSubPr>
                <m:e>
                  <m:r>
                    <w:rPr>
                      <w:rFonts w:ascii="Cambria Math" w:hAnsi="Cambria Math"/>
                      <w:sz w:val="20"/>
                      <w:lang w:val="en-GB"/>
                    </w:rPr>
                    <m:t>N</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e>
          </m:d>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ε</m:t>
              </m:r>
            </m:e>
            <m:sub>
              <m:r>
                <w:rPr>
                  <w:rFonts w:ascii="Cambria Math" w:hAnsi="Cambria Math"/>
                  <w:sz w:val="20"/>
                  <w:lang w:val="en-GB"/>
                </w:rPr>
                <m:t>i</m:t>
              </m:r>
            </m:sub>
          </m:sSub>
          <m:r>
            <w:rPr>
              <w:rFonts w:ascii="Cambria Math" w:hAnsiTheme="minorHAnsi"/>
              <w:sz w:val="20"/>
              <w:lang w:val="en-GB"/>
            </w:rPr>
            <m:t>+</m:t>
          </m:r>
          <m:sSub>
            <m:sSubPr>
              <m:ctrlPr>
                <w:rPr>
                  <w:rFonts w:ascii="Cambria Math" w:hAnsiTheme="minorHAnsi"/>
                  <w:i/>
                  <w:sz w:val="20"/>
                  <w:lang w:val="en-GB"/>
                </w:rPr>
              </m:ctrlPr>
            </m:sSubPr>
            <m:e>
              <m:r>
                <w:rPr>
                  <w:rFonts w:ascii="Cambria Math" w:hAnsi="Cambria Math"/>
                  <w:sz w:val="20"/>
                  <w:lang w:val="en-GB"/>
                </w:rPr>
                <m:t>ϵ</m:t>
              </m:r>
            </m:e>
            <m:sub>
              <m:r>
                <w:rPr>
                  <w:rFonts w:ascii="Cambria Math" w:hAnsi="Cambria Math"/>
                  <w:sz w:val="20"/>
                  <w:lang w:val="en-GB"/>
                </w:rPr>
                <m:t>i</m:t>
              </m:r>
              <m:r>
                <w:rPr>
                  <w:rFonts w:ascii="Cambria Math" w:hAnsiTheme="minorHAnsi"/>
                  <w:sz w:val="20"/>
                  <w:lang w:val="en-GB"/>
                </w:rPr>
                <m:t>,</m:t>
              </m:r>
              <m:r>
                <w:rPr>
                  <w:rFonts w:ascii="Cambria Math" w:hAnsi="Cambria Math"/>
                  <w:sz w:val="20"/>
                  <w:lang w:val="en-GB"/>
                </w:rPr>
                <m:t>t</m:t>
              </m:r>
            </m:sub>
          </m:sSub>
        </m:oMath>
      </m:oMathPara>
    </w:p>
    <w:p w14:paraId="35A17936" w14:textId="77777777"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ook w:val="04A0" w:firstRow="1" w:lastRow="0" w:firstColumn="1" w:lastColumn="0" w:noHBand="0" w:noVBand="1"/>
      </w:tblPr>
      <w:tblGrid>
        <w:gridCol w:w="2390"/>
        <w:gridCol w:w="976"/>
        <w:gridCol w:w="1414"/>
        <w:gridCol w:w="701"/>
        <w:gridCol w:w="865"/>
        <w:gridCol w:w="1195"/>
        <w:gridCol w:w="1531"/>
      </w:tblGrid>
      <w:tr w:rsidR="00FD168E" w:rsidRPr="004E190D" w14:paraId="27326174" w14:textId="77777777" w:rsidTr="00FD168E">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gridSpan w:val="7"/>
            <w:vAlign w:val="center"/>
          </w:tcPr>
          <w:p w14:paraId="0EB3EA5B" w14:textId="77777777"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Table </w:t>
            </w:r>
            <w:r w:rsidR="009842CC" w:rsidRPr="000965BA">
              <w:rPr>
                <w:rFonts w:asciiTheme="minorHAnsi" w:hAnsiTheme="minorHAnsi"/>
                <w:i/>
                <w:color w:val="auto"/>
                <w:sz w:val="18"/>
                <w:szCs w:val="18"/>
                <w:lang w:val="en-GB"/>
              </w:rPr>
              <w:t>8</w:t>
            </w:r>
            <w:r w:rsidRPr="000965BA">
              <w:rPr>
                <w:rFonts w:asciiTheme="minorHAnsi" w:hAnsiTheme="minorHAnsi"/>
                <w:i/>
                <w:color w:val="auto"/>
                <w:sz w:val="18"/>
                <w:szCs w:val="18"/>
                <w:lang w:val="en-GB"/>
              </w:rPr>
              <w:t>: estimation results by gender</w:t>
            </w:r>
          </w:p>
        </w:tc>
      </w:tr>
      <w:tr w:rsidR="00FD168E" w:rsidRPr="000965BA" w14:paraId="3DA3A1B4" w14:textId="77777777" w:rsidTr="00FD168E">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2D1620D"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N=11,079</w:t>
            </w:r>
          </w:p>
        </w:tc>
        <w:tc>
          <w:tcPr>
            <w:tcW w:w="0" w:type="auto"/>
            <w:gridSpan w:val="3"/>
            <w:vAlign w:val="center"/>
          </w:tcPr>
          <w:p w14:paraId="45AB6E6E"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F(7,11078) = 2313.07</w:t>
            </w:r>
          </w:p>
        </w:tc>
        <w:tc>
          <w:tcPr>
            <w:tcW w:w="0" w:type="auto"/>
            <w:gridSpan w:val="2"/>
            <w:vAlign w:val="center"/>
          </w:tcPr>
          <w:p w14:paraId="5CB84667"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Prob&gt;F=0.000</w:t>
            </w:r>
          </w:p>
        </w:tc>
        <w:tc>
          <w:tcPr>
            <w:tcW w:w="0" w:type="auto"/>
            <w:vAlign w:val="center"/>
          </w:tcPr>
          <w:p w14:paraId="2471D275"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=0.9492</w:t>
            </w:r>
          </w:p>
        </w:tc>
      </w:tr>
      <w:tr w:rsidR="00FD168E" w:rsidRPr="000965BA" w14:paraId="5A77D059" w14:textId="77777777" w:rsidTr="00FD168E">
        <w:trPr>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97F5001" w14:textId="77777777"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gender</w:t>
            </w:r>
          </w:p>
        </w:tc>
        <w:tc>
          <w:tcPr>
            <w:tcW w:w="0" w:type="auto"/>
            <w:vAlign w:val="center"/>
          </w:tcPr>
          <w:p w14:paraId="342D197F"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coefficient</w:t>
            </w:r>
          </w:p>
        </w:tc>
        <w:tc>
          <w:tcPr>
            <w:tcW w:w="0" w:type="auto"/>
            <w:vAlign w:val="center"/>
          </w:tcPr>
          <w:p w14:paraId="4137DC87"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Robust standard error</w:t>
            </w:r>
          </w:p>
        </w:tc>
        <w:tc>
          <w:tcPr>
            <w:tcW w:w="0" w:type="auto"/>
            <w:vAlign w:val="center"/>
          </w:tcPr>
          <w:p w14:paraId="1713F426"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p-value</w:t>
            </w:r>
          </w:p>
        </w:tc>
        <w:tc>
          <w:tcPr>
            <w:tcW w:w="0" w:type="auto"/>
            <w:vAlign w:val="center"/>
          </w:tcPr>
          <w:p w14:paraId="738A05C2"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elasticity</w:t>
            </w:r>
          </w:p>
        </w:tc>
        <w:tc>
          <w:tcPr>
            <w:tcW w:w="0" w:type="auto"/>
            <w:vAlign w:val="center"/>
          </w:tcPr>
          <w:p w14:paraId="110BC6E9"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Threshold value</w:t>
            </w:r>
          </w:p>
        </w:tc>
        <w:tc>
          <w:tcPr>
            <w:tcW w:w="0" w:type="auto"/>
            <w:vAlign w:val="center"/>
          </w:tcPr>
          <w:p w14:paraId="0BDA8D9F"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Bootstrapped 95%-CI</w:t>
            </w:r>
          </w:p>
        </w:tc>
      </w:tr>
      <w:tr w:rsidR="00FD168E" w:rsidRPr="000965BA" w14:paraId="004C4F93" w14:textId="77777777" w:rsidTr="00FD168E">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80BA07"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Male </w:t>
            </w:r>
          </w:p>
        </w:tc>
        <w:tc>
          <w:tcPr>
            <w:tcW w:w="0" w:type="auto"/>
          </w:tcPr>
          <w:p w14:paraId="026D744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0" w:type="auto"/>
          </w:tcPr>
          <w:p w14:paraId="3C12006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0" w:type="auto"/>
          </w:tcPr>
          <w:p w14:paraId="19A5ABD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0.673</w:t>
            </w:r>
          </w:p>
        </w:tc>
        <w:tc>
          <w:tcPr>
            <w:tcW w:w="0" w:type="auto"/>
          </w:tcPr>
          <w:p w14:paraId="03BE015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 w:val="18"/>
                <w:szCs w:val="18"/>
                <w:lang w:val="en-GB"/>
              </w:rPr>
            </w:pPr>
            <w:r w:rsidRPr="000965BA">
              <w:rPr>
                <w:rFonts w:asciiTheme="minorHAnsi" w:hAnsiTheme="minorHAnsi"/>
                <w:bCs/>
                <w:color w:val="auto"/>
                <w:sz w:val="18"/>
                <w:szCs w:val="18"/>
                <w:lang w:val="en-GB"/>
              </w:rPr>
              <w:t>-0.145</w:t>
            </w:r>
          </w:p>
        </w:tc>
        <w:tc>
          <w:tcPr>
            <w:tcW w:w="0" w:type="auto"/>
          </w:tcPr>
          <w:p w14:paraId="2B4737B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 w:val="18"/>
                <w:szCs w:val="18"/>
                <w:lang w:val="en-GB"/>
              </w:rPr>
            </w:pPr>
            <w:r w:rsidRPr="000965BA">
              <w:rPr>
                <w:rFonts w:asciiTheme="minorHAnsi" w:hAnsiTheme="minorHAnsi"/>
                <w:bCs/>
                <w:color w:val="auto"/>
                <w:sz w:val="18"/>
                <w:szCs w:val="18"/>
                <w:lang w:val="en-GB"/>
              </w:rPr>
              <w:t>€ 84,900</w:t>
            </w:r>
          </w:p>
        </w:tc>
        <w:tc>
          <w:tcPr>
            <w:tcW w:w="0" w:type="auto"/>
          </w:tcPr>
          <w:p w14:paraId="6630FC4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color w:val="auto"/>
                <w:sz w:val="18"/>
                <w:szCs w:val="18"/>
                <w:lang w:val="en-GB"/>
              </w:rPr>
            </w:pPr>
            <w:r w:rsidRPr="000965BA">
              <w:rPr>
                <w:rFonts w:asciiTheme="minorHAnsi" w:hAnsiTheme="minorHAnsi"/>
                <w:bCs/>
                <w:color w:val="auto"/>
                <w:sz w:val="18"/>
                <w:szCs w:val="18"/>
                <w:lang w:val="en-GB"/>
              </w:rPr>
              <w:t>€ 58,000-€ 112,000</w:t>
            </w:r>
          </w:p>
        </w:tc>
      </w:tr>
      <w:tr w:rsidR="00FD168E" w:rsidRPr="000965BA" w14:paraId="1AD3FD67" w14:textId="77777777" w:rsidTr="00FD168E">
        <w:trPr>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A956AF6"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Female</w:t>
            </w:r>
          </w:p>
        </w:tc>
        <w:tc>
          <w:tcPr>
            <w:tcW w:w="0" w:type="auto"/>
          </w:tcPr>
          <w:p w14:paraId="2135077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-0.06</w:t>
            </w:r>
          </w:p>
        </w:tc>
        <w:tc>
          <w:tcPr>
            <w:tcW w:w="0" w:type="auto"/>
          </w:tcPr>
          <w:p w14:paraId="0A6BDC2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0" w:type="auto"/>
          </w:tcPr>
          <w:p w14:paraId="66EA7C4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0.46</w:t>
            </w:r>
          </w:p>
        </w:tc>
        <w:tc>
          <w:tcPr>
            <w:tcW w:w="0" w:type="auto"/>
          </w:tcPr>
          <w:p w14:paraId="4CAEB4C1"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color w:val="auto"/>
                <w:sz w:val="18"/>
                <w:szCs w:val="18"/>
                <w:lang w:val="en-GB"/>
              </w:rPr>
            </w:pPr>
            <w:r w:rsidRPr="000965BA">
              <w:rPr>
                <w:rFonts w:asciiTheme="minorHAnsi" w:hAnsiTheme="minorHAnsi"/>
                <w:bCs/>
                <w:color w:val="auto"/>
                <w:sz w:val="18"/>
                <w:szCs w:val="18"/>
                <w:lang w:val="en-GB"/>
              </w:rPr>
              <w:t>-0.167</w:t>
            </w:r>
          </w:p>
        </w:tc>
        <w:tc>
          <w:tcPr>
            <w:tcW w:w="0" w:type="auto"/>
          </w:tcPr>
          <w:p w14:paraId="6559232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€ 65,100</w:t>
            </w:r>
          </w:p>
        </w:tc>
        <w:tc>
          <w:tcPr>
            <w:tcW w:w="0" w:type="auto"/>
          </w:tcPr>
          <w:p w14:paraId="27A5B31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€ 43,000-€ 88,000</w:t>
            </w:r>
          </w:p>
        </w:tc>
      </w:tr>
      <w:tr w:rsidR="00FD168E" w:rsidRPr="000965BA" w14:paraId="59D52381" w14:textId="77777777" w:rsidTr="00FD168E">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1AD2AEA"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Ln(spending)</w:t>
            </w:r>
            <w:r w:rsidRPr="000965BA">
              <w:rPr>
                <w:rFonts w:asciiTheme="minorHAnsi" w:hAnsiTheme="minorHAnsi"/>
                <w:color w:val="auto"/>
                <w:sz w:val="18"/>
                <w:szCs w:val="18"/>
                <w:vertAlign w:val="superscript"/>
                <w:lang w:val="en-GB"/>
              </w:rPr>
              <w:t>2</w:t>
            </w:r>
          </w:p>
        </w:tc>
        <w:tc>
          <w:tcPr>
            <w:tcW w:w="0" w:type="auto"/>
          </w:tcPr>
          <w:p w14:paraId="7B542C5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0" w:type="auto"/>
          </w:tcPr>
          <w:p w14:paraId="6735336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0" w:type="auto"/>
          </w:tcPr>
          <w:p w14:paraId="7F02131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0.593</w:t>
            </w:r>
          </w:p>
        </w:tc>
        <w:tc>
          <w:tcPr>
            <w:tcW w:w="0" w:type="auto"/>
            <w:vAlign w:val="center"/>
          </w:tcPr>
          <w:p w14:paraId="0DA3524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4D98C15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783D117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FD168E" w:rsidRPr="000965BA" w14:paraId="0B13C12F" w14:textId="77777777" w:rsidTr="00FD168E">
        <w:trPr>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BFFB21"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Ln(spending)*Ln(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0" w:type="auto"/>
          </w:tcPr>
          <w:p w14:paraId="4012171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0" w:type="auto"/>
          </w:tcPr>
          <w:p w14:paraId="110C17E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0" w:type="auto"/>
          </w:tcPr>
          <w:p w14:paraId="17FEF21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0.004</w:t>
            </w:r>
          </w:p>
        </w:tc>
        <w:tc>
          <w:tcPr>
            <w:tcW w:w="0" w:type="auto"/>
            <w:vAlign w:val="center"/>
          </w:tcPr>
          <w:p w14:paraId="2A9ADE2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124A8BE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50E562F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FD168E" w:rsidRPr="000965BA" w14:paraId="5D9DE7E4" w14:textId="77777777" w:rsidTr="00FD168E">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E6D4CF"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0" w:type="auto"/>
          </w:tcPr>
          <w:p w14:paraId="257ECD8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1.30</w:t>
            </w:r>
          </w:p>
        </w:tc>
        <w:tc>
          <w:tcPr>
            <w:tcW w:w="0" w:type="auto"/>
          </w:tcPr>
          <w:p w14:paraId="0C9FCD6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0" w:type="auto"/>
          </w:tcPr>
          <w:p w14:paraId="69987B1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p>
        </w:tc>
        <w:tc>
          <w:tcPr>
            <w:tcW w:w="0" w:type="auto"/>
            <w:vAlign w:val="center"/>
          </w:tcPr>
          <w:p w14:paraId="19B7909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32333CF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72B67B1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FD168E" w:rsidRPr="000965BA" w14:paraId="5C8FF40E" w14:textId="77777777" w:rsidTr="00FD168E">
        <w:trPr>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D60673"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r w:rsidRPr="000965BA">
              <w:rPr>
                <w:rFonts w:asciiTheme="minorHAnsi" w:hAnsiTheme="minorHAnsi"/>
                <w:color w:val="auto"/>
                <w:sz w:val="18"/>
                <w:szCs w:val="18"/>
                <w:vertAlign w:val="superscript"/>
                <w:lang w:val="en-GB"/>
              </w:rPr>
              <w:t>2</w:t>
            </w:r>
          </w:p>
        </w:tc>
        <w:tc>
          <w:tcPr>
            <w:tcW w:w="0" w:type="auto"/>
          </w:tcPr>
          <w:p w14:paraId="66C21D7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0" w:type="auto"/>
          </w:tcPr>
          <w:p w14:paraId="3FF1B7E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0" w:type="auto"/>
          </w:tcPr>
          <w:p w14:paraId="3728BF9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0.003</w:t>
            </w:r>
          </w:p>
        </w:tc>
        <w:tc>
          <w:tcPr>
            <w:tcW w:w="0" w:type="auto"/>
            <w:vAlign w:val="center"/>
          </w:tcPr>
          <w:p w14:paraId="314A867B"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1315DDE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48ED8EE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FD168E" w:rsidRPr="000965BA" w14:paraId="523EF684" w14:textId="77777777" w:rsidTr="00FD168E">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1992A983"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0" w:type="auto"/>
          </w:tcPr>
          <w:p w14:paraId="2A7DB3B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0" w:type="auto"/>
          </w:tcPr>
          <w:p w14:paraId="33639AD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0" w:type="auto"/>
          </w:tcPr>
          <w:p w14:paraId="0F38088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p>
        </w:tc>
        <w:tc>
          <w:tcPr>
            <w:tcW w:w="0" w:type="auto"/>
            <w:vAlign w:val="center"/>
          </w:tcPr>
          <w:p w14:paraId="73AB84B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160E8B3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46FF7BD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FD168E" w:rsidRPr="000965BA" w14:paraId="0E86F570" w14:textId="77777777" w:rsidTr="00FD168E">
        <w:trPr>
          <w:trHeight w:val="113"/>
        </w:trPr>
        <w:tc>
          <w:tcPr>
            <w:cnfStyle w:val="001000000000" w:firstRow="0" w:lastRow="0" w:firstColumn="1" w:lastColumn="0" w:oddVBand="0" w:evenVBand="0" w:oddHBand="0" w:evenHBand="0" w:firstRowFirstColumn="0" w:firstRowLastColumn="0" w:lastRowFirstColumn="0" w:lastRowLastColumn="0"/>
            <w:tcW w:w="0" w:type="auto"/>
            <w:vAlign w:val="center"/>
          </w:tcPr>
          <w:p w14:paraId="5484191E"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Constant</w:t>
            </w:r>
          </w:p>
        </w:tc>
        <w:tc>
          <w:tcPr>
            <w:tcW w:w="0" w:type="auto"/>
          </w:tcPr>
          <w:p w14:paraId="6AC474B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35.44</w:t>
            </w:r>
          </w:p>
        </w:tc>
        <w:tc>
          <w:tcPr>
            <w:tcW w:w="0" w:type="auto"/>
          </w:tcPr>
          <w:p w14:paraId="0DBE114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3.47</w:t>
            </w:r>
          </w:p>
        </w:tc>
        <w:tc>
          <w:tcPr>
            <w:tcW w:w="0" w:type="auto"/>
          </w:tcPr>
          <w:p w14:paraId="4FAAB72D"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p>
        </w:tc>
        <w:tc>
          <w:tcPr>
            <w:tcW w:w="0" w:type="auto"/>
            <w:vAlign w:val="center"/>
          </w:tcPr>
          <w:p w14:paraId="63420B0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77AD983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0" w:type="auto"/>
            <w:vAlign w:val="center"/>
          </w:tcPr>
          <w:p w14:paraId="59B4F77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bl>
    <w:p w14:paraId="6A8295AA" w14:textId="77777777"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ayout w:type="fixed"/>
        <w:tblLook w:val="04A0" w:firstRow="1" w:lastRow="0" w:firstColumn="1" w:lastColumn="0" w:noHBand="0" w:noVBand="1"/>
      </w:tblPr>
      <w:tblGrid>
        <w:gridCol w:w="2093"/>
        <w:gridCol w:w="992"/>
        <w:gridCol w:w="1276"/>
        <w:gridCol w:w="855"/>
        <w:gridCol w:w="865"/>
        <w:gridCol w:w="1312"/>
        <w:gridCol w:w="1895"/>
      </w:tblGrid>
      <w:tr w:rsidR="00FD168E" w:rsidRPr="004E190D" w14:paraId="5CF81719" w14:textId="77777777" w:rsidTr="002367C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9288" w:type="dxa"/>
            <w:gridSpan w:val="7"/>
            <w:vAlign w:val="center"/>
          </w:tcPr>
          <w:p w14:paraId="2EB47BA4" w14:textId="77777777" w:rsidR="00FD168E" w:rsidRPr="000965BA" w:rsidRDefault="00FD168E" w:rsidP="002367C5">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Table </w:t>
            </w:r>
            <w:r w:rsidR="009842CC" w:rsidRPr="000965BA">
              <w:rPr>
                <w:rFonts w:asciiTheme="minorHAnsi" w:hAnsiTheme="minorHAnsi"/>
                <w:i/>
                <w:color w:val="auto"/>
                <w:sz w:val="18"/>
                <w:szCs w:val="18"/>
                <w:lang w:val="en-GB"/>
              </w:rPr>
              <w:t>9</w:t>
            </w:r>
            <w:r w:rsidRPr="000965BA">
              <w:rPr>
                <w:rFonts w:asciiTheme="minorHAnsi" w:hAnsiTheme="minorHAnsi"/>
                <w:i/>
                <w:color w:val="auto"/>
                <w:sz w:val="18"/>
                <w:szCs w:val="18"/>
                <w:lang w:val="en-GB"/>
              </w:rPr>
              <w:t xml:space="preserve">: estimation results by age group </w:t>
            </w:r>
          </w:p>
        </w:tc>
      </w:tr>
      <w:tr w:rsidR="00FD168E" w:rsidRPr="000965BA" w14:paraId="0B4A49B6"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085" w:type="dxa"/>
            <w:gridSpan w:val="2"/>
            <w:vAlign w:val="center"/>
          </w:tcPr>
          <w:p w14:paraId="349AEFBA"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N=11,079</w:t>
            </w:r>
          </w:p>
        </w:tc>
        <w:tc>
          <w:tcPr>
            <w:tcW w:w="2996" w:type="dxa"/>
            <w:gridSpan w:val="3"/>
            <w:vAlign w:val="center"/>
          </w:tcPr>
          <w:p w14:paraId="36EB7DA6" w14:textId="77777777" w:rsidR="00FD168E" w:rsidRPr="000965BA" w:rsidRDefault="00FD168E" w:rsidP="002367C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F(26,11078) = 724.56</w:t>
            </w:r>
          </w:p>
        </w:tc>
        <w:tc>
          <w:tcPr>
            <w:tcW w:w="1312" w:type="dxa"/>
            <w:vAlign w:val="center"/>
          </w:tcPr>
          <w:p w14:paraId="0340234C" w14:textId="77777777" w:rsidR="00FD168E" w:rsidRPr="000965BA" w:rsidRDefault="00FD168E" w:rsidP="002367C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Prob&gt;F=0.000</w:t>
            </w:r>
          </w:p>
        </w:tc>
        <w:tc>
          <w:tcPr>
            <w:tcW w:w="1895" w:type="dxa"/>
            <w:vAlign w:val="center"/>
          </w:tcPr>
          <w:p w14:paraId="4E96D3DB" w14:textId="77777777" w:rsidR="00FD168E" w:rsidRPr="000965BA" w:rsidRDefault="00FD168E" w:rsidP="002367C5">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=0.9300</w:t>
            </w:r>
          </w:p>
        </w:tc>
      </w:tr>
      <w:tr w:rsidR="00FD168E" w:rsidRPr="000965BA" w14:paraId="3678E56B"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BFA8ABB" w14:textId="77777777" w:rsidR="00FD168E" w:rsidRPr="000965BA" w:rsidRDefault="00FD168E" w:rsidP="002367C5">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Age group</w:t>
            </w:r>
          </w:p>
        </w:tc>
        <w:tc>
          <w:tcPr>
            <w:tcW w:w="992" w:type="dxa"/>
            <w:vAlign w:val="center"/>
          </w:tcPr>
          <w:p w14:paraId="15A909F1" w14:textId="77777777" w:rsidR="00FD168E" w:rsidRPr="000965BA" w:rsidRDefault="00FD168E" w:rsidP="002367C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coefficient</w:t>
            </w:r>
          </w:p>
        </w:tc>
        <w:tc>
          <w:tcPr>
            <w:tcW w:w="1276" w:type="dxa"/>
            <w:vAlign w:val="center"/>
          </w:tcPr>
          <w:p w14:paraId="10EF2C82" w14:textId="77777777" w:rsidR="00FD168E" w:rsidRPr="000965BA" w:rsidRDefault="00FD168E" w:rsidP="002367C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Robust standard error</w:t>
            </w:r>
          </w:p>
        </w:tc>
        <w:tc>
          <w:tcPr>
            <w:tcW w:w="855" w:type="dxa"/>
            <w:vAlign w:val="center"/>
          </w:tcPr>
          <w:p w14:paraId="428B356B" w14:textId="77777777" w:rsidR="00FD168E" w:rsidRPr="000965BA" w:rsidRDefault="00FD168E" w:rsidP="002367C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p-value</w:t>
            </w:r>
          </w:p>
        </w:tc>
        <w:tc>
          <w:tcPr>
            <w:tcW w:w="865" w:type="dxa"/>
            <w:vAlign w:val="center"/>
          </w:tcPr>
          <w:p w14:paraId="718D1A91" w14:textId="77777777" w:rsidR="00FD168E" w:rsidRPr="000965BA" w:rsidRDefault="00FD168E" w:rsidP="002367C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elasticity</w:t>
            </w:r>
          </w:p>
        </w:tc>
        <w:tc>
          <w:tcPr>
            <w:tcW w:w="1312" w:type="dxa"/>
            <w:vAlign w:val="center"/>
          </w:tcPr>
          <w:p w14:paraId="4D411E91" w14:textId="77777777" w:rsidR="00FD168E" w:rsidRPr="000965BA" w:rsidRDefault="00FD168E" w:rsidP="002367C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Threshold value</w:t>
            </w:r>
          </w:p>
        </w:tc>
        <w:tc>
          <w:tcPr>
            <w:tcW w:w="1895" w:type="dxa"/>
            <w:vAlign w:val="center"/>
          </w:tcPr>
          <w:p w14:paraId="563E7E1C" w14:textId="77777777" w:rsidR="00FD168E" w:rsidRPr="000965BA" w:rsidRDefault="00FD168E" w:rsidP="002367C5">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Bootstrapped 95%-CI</w:t>
            </w:r>
          </w:p>
        </w:tc>
      </w:tr>
      <w:tr w:rsidR="00FD168E" w:rsidRPr="000965BA" w14:paraId="158747D8"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7060D44"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0 years</w:t>
            </w:r>
          </w:p>
        </w:tc>
        <w:tc>
          <w:tcPr>
            <w:tcW w:w="992" w:type="dxa"/>
            <w:vAlign w:val="center"/>
          </w:tcPr>
          <w:p w14:paraId="1E37C9E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-0.014</w:t>
            </w:r>
          </w:p>
        </w:tc>
        <w:tc>
          <w:tcPr>
            <w:tcW w:w="1276" w:type="dxa"/>
            <w:vAlign w:val="center"/>
          </w:tcPr>
          <w:p w14:paraId="5D49D22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0.072</w:t>
            </w:r>
          </w:p>
        </w:tc>
        <w:tc>
          <w:tcPr>
            <w:tcW w:w="855" w:type="dxa"/>
            <w:vAlign w:val="center"/>
          </w:tcPr>
          <w:p w14:paraId="7410DCB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0.849</w:t>
            </w:r>
          </w:p>
        </w:tc>
        <w:tc>
          <w:tcPr>
            <w:tcW w:w="865" w:type="dxa"/>
            <w:vAlign w:val="center"/>
          </w:tcPr>
          <w:p w14:paraId="45F0468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043</w:t>
            </w:r>
          </w:p>
        </w:tc>
        <w:tc>
          <w:tcPr>
            <w:tcW w:w="1312" w:type="dxa"/>
            <w:vAlign w:val="center"/>
          </w:tcPr>
          <w:p w14:paraId="2DCF629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€ 418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14:paraId="0807279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-112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€ 111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14:paraId="2091FD9E"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01DBD77B"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1 to 5 years</w:t>
            </w:r>
          </w:p>
        </w:tc>
        <w:tc>
          <w:tcPr>
            <w:tcW w:w="992" w:type="dxa"/>
            <w:vAlign w:val="center"/>
          </w:tcPr>
          <w:p w14:paraId="69E62B0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-0.120</w:t>
            </w:r>
          </w:p>
        </w:tc>
        <w:tc>
          <w:tcPr>
            <w:tcW w:w="1276" w:type="dxa"/>
            <w:vAlign w:val="center"/>
          </w:tcPr>
          <w:p w14:paraId="3E0D7ED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0.081</w:t>
            </w:r>
          </w:p>
        </w:tc>
        <w:tc>
          <w:tcPr>
            <w:tcW w:w="855" w:type="dxa"/>
            <w:vAlign w:val="center"/>
          </w:tcPr>
          <w:p w14:paraId="26C8D48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0.141</w:t>
            </w:r>
          </w:p>
        </w:tc>
        <w:tc>
          <w:tcPr>
            <w:tcW w:w="865" w:type="dxa"/>
            <w:vAlign w:val="center"/>
          </w:tcPr>
          <w:p w14:paraId="018E1CA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176</w:t>
            </w:r>
          </w:p>
        </w:tc>
        <w:tc>
          <w:tcPr>
            <w:tcW w:w="1312" w:type="dxa"/>
            <w:vAlign w:val="center"/>
          </w:tcPr>
          <w:p w14:paraId="43ED214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14:paraId="7B239ED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40EF4F3D"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1BBB69F2"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6 to 10 years</w:t>
            </w:r>
          </w:p>
        </w:tc>
        <w:tc>
          <w:tcPr>
            <w:tcW w:w="992" w:type="dxa"/>
            <w:vAlign w:val="center"/>
          </w:tcPr>
          <w:p w14:paraId="7FDC30B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-0.143</w:t>
            </w:r>
          </w:p>
        </w:tc>
        <w:tc>
          <w:tcPr>
            <w:tcW w:w="1276" w:type="dxa"/>
            <w:vAlign w:val="center"/>
          </w:tcPr>
          <w:p w14:paraId="3D44F6F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0.084</w:t>
            </w:r>
          </w:p>
        </w:tc>
        <w:tc>
          <w:tcPr>
            <w:tcW w:w="855" w:type="dxa"/>
            <w:vAlign w:val="center"/>
          </w:tcPr>
          <w:p w14:paraId="19C2C3D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0.089</w:t>
            </w:r>
          </w:p>
        </w:tc>
        <w:tc>
          <w:tcPr>
            <w:tcW w:w="865" w:type="dxa"/>
            <w:vAlign w:val="center"/>
          </w:tcPr>
          <w:p w14:paraId="5FDFB05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197</w:t>
            </w:r>
          </w:p>
        </w:tc>
        <w:tc>
          <w:tcPr>
            <w:tcW w:w="1312" w:type="dxa"/>
            <w:vAlign w:val="center"/>
          </w:tcPr>
          <w:p w14:paraId="237E1F3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300 </w:t>
            </w:r>
          </w:p>
        </w:tc>
        <w:tc>
          <w:tcPr>
            <w:tcW w:w="1895" w:type="dxa"/>
            <w:vAlign w:val="center"/>
          </w:tcPr>
          <w:p w14:paraId="3880D16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7D62C1C9"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7BFAEAD"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11 to 15 years</w:t>
            </w:r>
          </w:p>
        </w:tc>
        <w:tc>
          <w:tcPr>
            <w:tcW w:w="992" w:type="dxa"/>
            <w:vAlign w:val="center"/>
          </w:tcPr>
          <w:p w14:paraId="4F9D02A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-0.064</w:t>
            </w:r>
          </w:p>
        </w:tc>
        <w:tc>
          <w:tcPr>
            <w:tcW w:w="1276" w:type="dxa"/>
            <w:vAlign w:val="center"/>
          </w:tcPr>
          <w:p w14:paraId="557CB34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855" w:type="dxa"/>
            <w:vAlign w:val="center"/>
          </w:tcPr>
          <w:p w14:paraId="2BF5FA51"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0.464</w:t>
            </w:r>
          </w:p>
        </w:tc>
        <w:tc>
          <w:tcPr>
            <w:tcW w:w="865" w:type="dxa"/>
            <w:vAlign w:val="center"/>
          </w:tcPr>
          <w:p w14:paraId="1690BB4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120</w:t>
            </w:r>
          </w:p>
        </w:tc>
        <w:tc>
          <w:tcPr>
            <w:tcW w:w="1312" w:type="dxa"/>
            <w:vAlign w:val="center"/>
          </w:tcPr>
          <w:p w14:paraId="496CB7E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€ 83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14:paraId="6AD80C7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-181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€ 347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1878C1C0"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B141C4"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16 to 20 years</w:t>
            </w:r>
          </w:p>
        </w:tc>
        <w:tc>
          <w:tcPr>
            <w:tcW w:w="992" w:type="dxa"/>
            <w:vAlign w:val="center"/>
          </w:tcPr>
          <w:p w14:paraId="3B34DEE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-0.089</w:t>
            </w:r>
          </w:p>
        </w:tc>
        <w:tc>
          <w:tcPr>
            <w:tcW w:w="1276" w:type="dxa"/>
            <w:vAlign w:val="center"/>
          </w:tcPr>
          <w:p w14:paraId="7657666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0.083</w:t>
            </w:r>
          </w:p>
        </w:tc>
        <w:tc>
          <w:tcPr>
            <w:tcW w:w="855" w:type="dxa"/>
            <w:vAlign w:val="center"/>
          </w:tcPr>
          <w:p w14:paraId="1200899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0.285</w:t>
            </w:r>
          </w:p>
        </w:tc>
        <w:tc>
          <w:tcPr>
            <w:tcW w:w="865" w:type="dxa"/>
            <w:vAlign w:val="center"/>
          </w:tcPr>
          <w:p w14:paraId="39ABF9D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151</w:t>
            </w:r>
          </w:p>
        </w:tc>
        <w:tc>
          <w:tcPr>
            <w:tcW w:w="1312" w:type="dxa"/>
            <w:vAlign w:val="center"/>
          </w:tcPr>
          <w:p w14:paraId="159BA01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100 </w:t>
            </w:r>
          </w:p>
        </w:tc>
        <w:tc>
          <w:tcPr>
            <w:tcW w:w="1895" w:type="dxa"/>
            <w:vAlign w:val="center"/>
          </w:tcPr>
          <w:p w14:paraId="0E59720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6DB2C31B"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BADAD9A"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21 to 25 years</w:t>
            </w:r>
          </w:p>
        </w:tc>
        <w:tc>
          <w:tcPr>
            <w:tcW w:w="992" w:type="dxa"/>
            <w:vAlign w:val="center"/>
          </w:tcPr>
          <w:p w14:paraId="00E9D86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-0.058</w:t>
            </w:r>
          </w:p>
        </w:tc>
        <w:tc>
          <w:tcPr>
            <w:tcW w:w="1276" w:type="dxa"/>
            <w:vAlign w:val="center"/>
          </w:tcPr>
          <w:p w14:paraId="261F607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0.082</w:t>
            </w:r>
          </w:p>
        </w:tc>
        <w:tc>
          <w:tcPr>
            <w:tcW w:w="855" w:type="dxa"/>
            <w:vAlign w:val="center"/>
          </w:tcPr>
          <w:p w14:paraId="1CC3F9B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0.479</w:t>
            </w:r>
          </w:p>
        </w:tc>
        <w:tc>
          <w:tcPr>
            <w:tcW w:w="865" w:type="dxa"/>
            <w:vAlign w:val="center"/>
          </w:tcPr>
          <w:p w14:paraId="2550A47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125</w:t>
            </w:r>
          </w:p>
        </w:tc>
        <w:tc>
          <w:tcPr>
            <w:tcW w:w="1312" w:type="dxa"/>
            <w:vAlign w:val="center"/>
          </w:tcPr>
          <w:p w14:paraId="21C20811"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€ 85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14:paraId="2BBC310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€ 135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363BFA06"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DF3E345"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26 to 30 years</w:t>
            </w:r>
          </w:p>
        </w:tc>
        <w:tc>
          <w:tcPr>
            <w:tcW w:w="992" w:type="dxa"/>
            <w:vAlign w:val="center"/>
          </w:tcPr>
          <w:p w14:paraId="1062CB6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-0.109</w:t>
            </w:r>
          </w:p>
        </w:tc>
        <w:tc>
          <w:tcPr>
            <w:tcW w:w="1276" w:type="dxa"/>
            <w:vAlign w:val="center"/>
          </w:tcPr>
          <w:p w14:paraId="3922C3B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855" w:type="dxa"/>
            <w:vAlign w:val="center"/>
          </w:tcPr>
          <w:p w14:paraId="05BB9A1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0.21</w:t>
            </w:r>
          </w:p>
        </w:tc>
        <w:tc>
          <w:tcPr>
            <w:tcW w:w="865" w:type="dxa"/>
            <w:vAlign w:val="center"/>
          </w:tcPr>
          <w:p w14:paraId="0912AD2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180</w:t>
            </w:r>
          </w:p>
        </w:tc>
        <w:tc>
          <w:tcPr>
            <w:tcW w:w="1312" w:type="dxa"/>
            <w:vAlign w:val="center"/>
          </w:tcPr>
          <w:p w14:paraId="2C88D03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14:paraId="17A87FD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€ 138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14:paraId="566CDA3C"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5F37925"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31 to 35 years</w:t>
            </w:r>
          </w:p>
        </w:tc>
        <w:tc>
          <w:tcPr>
            <w:tcW w:w="992" w:type="dxa"/>
            <w:vAlign w:val="center"/>
          </w:tcPr>
          <w:p w14:paraId="587B466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-0.130</w:t>
            </w:r>
          </w:p>
        </w:tc>
        <w:tc>
          <w:tcPr>
            <w:tcW w:w="1276" w:type="dxa"/>
            <w:vAlign w:val="center"/>
          </w:tcPr>
          <w:p w14:paraId="0C49901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0.090</w:t>
            </w:r>
          </w:p>
        </w:tc>
        <w:tc>
          <w:tcPr>
            <w:tcW w:w="855" w:type="dxa"/>
            <w:vAlign w:val="center"/>
          </w:tcPr>
          <w:p w14:paraId="7D29FA6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0.146</w:t>
            </w:r>
          </w:p>
        </w:tc>
        <w:tc>
          <w:tcPr>
            <w:tcW w:w="865" w:type="dxa"/>
            <w:vAlign w:val="center"/>
          </w:tcPr>
          <w:p w14:paraId="4E77394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204</w:t>
            </w:r>
          </w:p>
        </w:tc>
        <w:tc>
          <w:tcPr>
            <w:tcW w:w="1312" w:type="dxa"/>
            <w:vAlign w:val="center"/>
          </w:tcPr>
          <w:p w14:paraId="4EDD0AC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€ 59</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14:paraId="10F3075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13E7DE04"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8FD1CE5"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36 to 40 years</w:t>
            </w:r>
          </w:p>
        </w:tc>
        <w:tc>
          <w:tcPr>
            <w:tcW w:w="992" w:type="dxa"/>
            <w:vAlign w:val="center"/>
          </w:tcPr>
          <w:p w14:paraId="114A42A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-0.082</w:t>
            </w:r>
          </w:p>
        </w:tc>
        <w:tc>
          <w:tcPr>
            <w:tcW w:w="1276" w:type="dxa"/>
            <w:vAlign w:val="center"/>
          </w:tcPr>
          <w:p w14:paraId="68EBC2C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855" w:type="dxa"/>
            <w:vAlign w:val="center"/>
          </w:tcPr>
          <w:p w14:paraId="379B47E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0.347</w:t>
            </w:r>
          </w:p>
        </w:tc>
        <w:tc>
          <w:tcPr>
            <w:tcW w:w="865" w:type="dxa"/>
            <w:vAlign w:val="center"/>
          </w:tcPr>
          <w:p w14:paraId="5B21F79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161</w:t>
            </w:r>
          </w:p>
        </w:tc>
        <w:tc>
          <w:tcPr>
            <w:tcW w:w="1312" w:type="dxa"/>
            <w:vAlign w:val="center"/>
          </w:tcPr>
          <w:p w14:paraId="4124BFD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€ 73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300 </w:t>
            </w:r>
          </w:p>
        </w:tc>
        <w:tc>
          <w:tcPr>
            <w:tcW w:w="1895" w:type="dxa"/>
            <w:vAlign w:val="center"/>
          </w:tcPr>
          <w:p w14:paraId="39E150D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€ 168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744EB65F"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13D0DFA"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41 to 45 years</w:t>
            </w:r>
          </w:p>
        </w:tc>
        <w:tc>
          <w:tcPr>
            <w:tcW w:w="992" w:type="dxa"/>
            <w:vAlign w:val="center"/>
          </w:tcPr>
          <w:p w14:paraId="5E4E177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-0.076</w:t>
            </w:r>
          </w:p>
        </w:tc>
        <w:tc>
          <w:tcPr>
            <w:tcW w:w="1276" w:type="dxa"/>
            <w:vAlign w:val="center"/>
          </w:tcPr>
          <w:p w14:paraId="74E6524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0.083</w:t>
            </w:r>
          </w:p>
        </w:tc>
        <w:tc>
          <w:tcPr>
            <w:tcW w:w="855" w:type="dxa"/>
            <w:vAlign w:val="center"/>
          </w:tcPr>
          <w:p w14:paraId="42EF037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0.363</w:t>
            </w:r>
          </w:p>
        </w:tc>
        <w:tc>
          <w:tcPr>
            <w:tcW w:w="865" w:type="dxa"/>
            <w:vAlign w:val="center"/>
          </w:tcPr>
          <w:p w14:paraId="6664194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162</w:t>
            </w:r>
          </w:p>
        </w:tc>
        <w:tc>
          <w:tcPr>
            <w:tcW w:w="1312" w:type="dxa"/>
            <w:vAlign w:val="center"/>
          </w:tcPr>
          <w:p w14:paraId="292ADC7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€ 72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500 </w:t>
            </w:r>
          </w:p>
        </w:tc>
        <w:tc>
          <w:tcPr>
            <w:tcW w:w="1895" w:type="dxa"/>
            <w:vAlign w:val="center"/>
          </w:tcPr>
          <w:p w14:paraId="6C57832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14:paraId="6F8B2209"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0AB740A4"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46 to 50 years</w:t>
            </w:r>
          </w:p>
        </w:tc>
        <w:tc>
          <w:tcPr>
            <w:tcW w:w="992" w:type="dxa"/>
            <w:vAlign w:val="center"/>
          </w:tcPr>
          <w:p w14:paraId="33379D3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-0.152</w:t>
            </w:r>
          </w:p>
        </w:tc>
        <w:tc>
          <w:tcPr>
            <w:tcW w:w="1276" w:type="dxa"/>
            <w:vAlign w:val="center"/>
          </w:tcPr>
          <w:p w14:paraId="7797CF7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0.082</w:t>
            </w:r>
          </w:p>
        </w:tc>
        <w:tc>
          <w:tcPr>
            <w:tcW w:w="855" w:type="dxa"/>
            <w:vAlign w:val="center"/>
          </w:tcPr>
          <w:p w14:paraId="15FF5C8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0.064</w:t>
            </w:r>
          </w:p>
        </w:tc>
        <w:tc>
          <w:tcPr>
            <w:tcW w:w="865" w:type="dxa"/>
            <w:vAlign w:val="center"/>
          </w:tcPr>
          <w:p w14:paraId="008C8AF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242</w:t>
            </w:r>
          </w:p>
        </w:tc>
        <w:tc>
          <w:tcPr>
            <w:tcW w:w="1312" w:type="dxa"/>
            <w:vAlign w:val="center"/>
          </w:tcPr>
          <w:p w14:paraId="2ABC183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€ 48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500 </w:t>
            </w:r>
          </w:p>
        </w:tc>
        <w:tc>
          <w:tcPr>
            <w:tcW w:w="1895" w:type="dxa"/>
            <w:vAlign w:val="center"/>
          </w:tcPr>
          <w:p w14:paraId="0CFA0B2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€ 61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14:paraId="2CC9793D"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7A5984F"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51 to 55 years</w:t>
            </w:r>
          </w:p>
        </w:tc>
        <w:tc>
          <w:tcPr>
            <w:tcW w:w="992" w:type="dxa"/>
            <w:vAlign w:val="center"/>
          </w:tcPr>
          <w:p w14:paraId="36D0F99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-0.093</w:t>
            </w:r>
          </w:p>
        </w:tc>
        <w:tc>
          <w:tcPr>
            <w:tcW w:w="1276" w:type="dxa"/>
            <w:vAlign w:val="center"/>
          </w:tcPr>
          <w:p w14:paraId="0A052A5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0.079</w:t>
            </w:r>
          </w:p>
        </w:tc>
        <w:tc>
          <w:tcPr>
            <w:tcW w:w="855" w:type="dxa"/>
            <w:vAlign w:val="center"/>
          </w:tcPr>
          <w:p w14:paraId="0335524D"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0.243</w:t>
            </w:r>
          </w:p>
        </w:tc>
        <w:tc>
          <w:tcPr>
            <w:tcW w:w="865" w:type="dxa"/>
            <w:vAlign w:val="center"/>
          </w:tcPr>
          <w:p w14:paraId="2FA3048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185</w:t>
            </w:r>
          </w:p>
        </w:tc>
        <w:tc>
          <w:tcPr>
            <w:tcW w:w="1312" w:type="dxa"/>
            <w:vAlign w:val="center"/>
          </w:tcPr>
          <w:p w14:paraId="1BF17D7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200 </w:t>
            </w:r>
          </w:p>
        </w:tc>
        <w:tc>
          <w:tcPr>
            <w:tcW w:w="1895" w:type="dxa"/>
            <w:vAlign w:val="center"/>
          </w:tcPr>
          <w:p w14:paraId="1A68427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€ 80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25EC528D"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83CD5A1"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56 to 60 years</w:t>
            </w:r>
          </w:p>
        </w:tc>
        <w:tc>
          <w:tcPr>
            <w:tcW w:w="992" w:type="dxa"/>
            <w:vAlign w:val="center"/>
          </w:tcPr>
          <w:p w14:paraId="60DC4B5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-0.076</w:t>
            </w:r>
          </w:p>
        </w:tc>
        <w:tc>
          <w:tcPr>
            <w:tcW w:w="1276" w:type="dxa"/>
            <w:vAlign w:val="center"/>
          </w:tcPr>
          <w:p w14:paraId="7E4432B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0.084</w:t>
            </w:r>
          </w:p>
        </w:tc>
        <w:tc>
          <w:tcPr>
            <w:tcW w:w="855" w:type="dxa"/>
            <w:vAlign w:val="center"/>
          </w:tcPr>
          <w:p w14:paraId="195B2B1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0.368</w:t>
            </w:r>
          </w:p>
        </w:tc>
        <w:tc>
          <w:tcPr>
            <w:tcW w:w="865" w:type="dxa"/>
            <w:vAlign w:val="center"/>
          </w:tcPr>
          <w:p w14:paraId="5991E90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171</w:t>
            </w:r>
          </w:p>
        </w:tc>
        <w:tc>
          <w:tcPr>
            <w:tcW w:w="1312" w:type="dxa"/>
            <w:vAlign w:val="center"/>
          </w:tcPr>
          <w:p w14:paraId="4DA678A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14:paraId="067086B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€ 100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14:paraId="34AEF3AA"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627B6AC"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61 to 65 years</w:t>
            </w:r>
          </w:p>
        </w:tc>
        <w:tc>
          <w:tcPr>
            <w:tcW w:w="992" w:type="dxa"/>
            <w:vAlign w:val="center"/>
          </w:tcPr>
          <w:p w14:paraId="6C97E15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-0.055</w:t>
            </w:r>
          </w:p>
        </w:tc>
        <w:tc>
          <w:tcPr>
            <w:tcW w:w="1276" w:type="dxa"/>
            <w:vAlign w:val="center"/>
          </w:tcPr>
          <w:p w14:paraId="19ABAB9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0.078</w:t>
            </w:r>
          </w:p>
        </w:tc>
        <w:tc>
          <w:tcPr>
            <w:tcW w:w="855" w:type="dxa"/>
            <w:vAlign w:val="center"/>
          </w:tcPr>
          <w:p w14:paraId="69E22DC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0.482</w:t>
            </w:r>
          </w:p>
        </w:tc>
        <w:tc>
          <w:tcPr>
            <w:tcW w:w="865" w:type="dxa"/>
            <w:vAlign w:val="center"/>
          </w:tcPr>
          <w:p w14:paraId="2503CD91"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153</w:t>
            </w:r>
          </w:p>
        </w:tc>
        <w:tc>
          <w:tcPr>
            <w:tcW w:w="1312" w:type="dxa"/>
            <w:vAlign w:val="center"/>
          </w:tcPr>
          <w:p w14:paraId="1DF2011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€ 76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800 </w:t>
            </w:r>
          </w:p>
        </w:tc>
        <w:tc>
          <w:tcPr>
            <w:tcW w:w="1895" w:type="dxa"/>
            <w:vAlign w:val="center"/>
          </w:tcPr>
          <w:p w14:paraId="6820281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€ 104</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5ED36AF5"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36C69D85"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66 to 70 years</w:t>
            </w:r>
          </w:p>
        </w:tc>
        <w:tc>
          <w:tcPr>
            <w:tcW w:w="992" w:type="dxa"/>
            <w:vAlign w:val="center"/>
          </w:tcPr>
          <w:p w14:paraId="7C95CC3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-0.087</w:t>
            </w:r>
          </w:p>
        </w:tc>
        <w:tc>
          <w:tcPr>
            <w:tcW w:w="1276" w:type="dxa"/>
            <w:vAlign w:val="center"/>
          </w:tcPr>
          <w:p w14:paraId="19C805B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855" w:type="dxa"/>
            <w:vAlign w:val="center"/>
          </w:tcPr>
          <w:p w14:paraId="2991007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0.257</w:t>
            </w:r>
          </w:p>
        </w:tc>
        <w:tc>
          <w:tcPr>
            <w:tcW w:w="865" w:type="dxa"/>
            <w:vAlign w:val="center"/>
          </w:tcPr>
          <w:p w14:paraId="3ACCE40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185</w:t>
            </w:r>
          </w:p>
        </w:tc>
        <w:tc>
          <w:tcPr>
            <w:tcW w:w="1312" w:type="dxa"/>
            <w:vAlign w:val="center"/>
          </w:tcPr>
          <w:p w14:paraId="6153A20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€ 64</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300 </w:t>
            </w:r>
          </w:p>
        </w:tc>
        <w:tc>
          <w:tcPr>
            <w:tcW w:w="1895" w:type="dxa"/>
            <w:vAlign w:val="center"/>
          </w:tcPr>
          <w:p w14:paraId="607AB73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€ 47</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€ 82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3F432887"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FBB18C2"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71 to 75 years</w:t>
            </w:r>
          </w:p>
        </w:tc>
        <w:tc>
          <w:tcPr>
            <w:tcW w:w="992" w:type="dxa"/>
            <w:vAlign w:val="center"/>
          </w:tcPr>
          <w:p w14:paraId="77B1CFE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-0.085</w:t>
            </w:r>
          </w:p>
        </w:tc>
        <w:tc>
          <w:tcPr>
            <w:tcW w:w="1276" w:type="dxa"/>
            <w:vAlign w:val="center"/>
          </w:tcPr>
          <w:p w14:paraId="7B827DE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0.078</w:t>
            </w:r>
          </w:p>
        </w:tc>
        <w:tc>
          <w:tcPr>
            <w:tcW w:w="855" w:type="dxa"/>
            <w:vAlign w:val="center"/>
          </w:tcPr>
          <w:p w14:paraId="5824F9C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0.278</w:t>
            </w:r>
          </w:p>
        </w:tc>
        <w:tc>
          <w:tcPr>
            <w:tcW w:w="865" w:type="dxa"/>
            <w:vAlign w:val="center"/>
          </w:tcPr>
          <w:p w14:paraId="1D8F590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179</w:t>
            </w:r>
          </w:p>
        </w:tc>
        <w:tc>
          <w:tcPr>
            <w:tcW w:w="1312" w:type="dxa"/>
            <w:vAlign w:val="center"/>
          </w:tcPr>
          <w:p w14:paraId="1F57468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14:paraId="723A3D0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€ 88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429E8B1C"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0E76A2E1"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76 to 80 years</w:t>
            </w:r>
          </w:p>
        </w:tc>
        <w:tc>
          <w:tcPr>
            <w:tcW w:w="992" w:type="dxa"/>
            <w:vAlign w:val="center"/>
          </w:tcPr>
          <w:p w14:paraId="7853516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-0.105</w:t>
            </w:r>
          </w:p>
        </w:tc>
        <w:tc>
          <w:tcPr>
            <w:tcW w:w="1276" w:type="dxa"/>
            <w:vAlign w:val="center"/>
          </w:tcPr>
          <w:p w14:paraId="2F67AB9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855" w:type="dxa"/>
            <w:vAlign w:val="center"/>
          </w:tcPr>
          <w:p w14:paraId="372DEC5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0.173</w:t>
            </w:r>
          </w:p>
        </w:tc>
        <w:tc>
          <w:tcPr>
            <w:tcW w:w="865" w:type="dxa"/>
            <w:vAlign w:val="center"/>
          </w:tcPr>
          <w:p w14:paraId="77CF7E9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194</w:t>
            </w:r>
          </w:p>
        </w:tc>
        <w:tc>
          <w:tcPr>
            <w:tcW w:w="1312" w:type="dxa"/>
            <w:vAlign w:val="center"/>
          </w:tcPr>
          <w:p w14:paraId="6E387CA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€ 59</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100 </w:t>
            </w:r>
          </w:p>
        </w:tc>
        <w:tc>
          <w:tcPr>
            <w:tcW w:w="1895" w:type="dxa"/>
            <w:vAlign w:val="center"/>
          </w:tcPr>
          <w:p w14:paraId="081256F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€ 44</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€ 75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5B8080E6"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74B7B0D"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lastRenderedPageBreak/>
              <w:t>81 to 85 years</w:t>
            </w:r>
          </w:p>
        </w:tc>
        <w:tc>
          <w:tcPr>
            <w:tcW w:w="992" w:type="dxa"/>
            <w:vAlign w:val="center"/>
          </w:tcPr>
          <w:p w14:paraId="05BC7F5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1276" w:type="dxa"/>
            <w:vAlign w:val="center"/>
          </w:tcPr>
          <w:p w14:paraId="2B6CCE8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0.075</w:t>
            </w:r>
          </w:p>
        </w:tc>
        <w:tc>
          <w:tcPr>
            <w:tcW w:w="855" w:type="dxa"/>
            <w:vAlign w:val="center"/>
          </w:tcPr>
          <w:p w14:paraId="083B8F79"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0.304</w:t>
            </w:r>
          </w:p>
        </w:tc>
        <w:tc>
          <w:tcPr>
            <w:tcW w:w="865" w:type="dxa"/>
            <w:vAlign w:val="center"/>
          </w:tcPr>
          <w:p w14:paraId="6FFBCF8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158</w:t>
            </w:r>
          </w:p>
        </w:tc>
        <w:tc>
          <w:tcPr>
            <w:tcW w:w="1312" w:type="dxa"/>
            <w:vAlign w:val="center"/>
          </w:tcPr>
          <w:p w14:paraId="2A562FB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600 </w:t>
            </w:r>
          </w:p>
        </w:tc>
        <w:tc>
          <w:tcPr>
            <w:tcW w:w="1895" w:type="dxa"/>
            <w:vAlign w:val="center"/>
          </w:tcPr>
          <w:p w14:paraId="47712AB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€ 42</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6ADFF83A"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BDDF043"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86 to 90 years</w:t>
            </w:r>
          </w:p>
        </w:tc>
        <w:tc>
          <w:tcPr>
            <w:tcW w:w="992" w:type="dxa"/>
            <w:vAlign w:val="center"/>
          </w:tcPr>
          <w:p w14:paraId="3C572C1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-0.069</w:t>
            </w:r>
          </w:p>
        </w:tc>
        <w:tc>
          <w:tcPr>
            <w:tcW w:w="1276" w:type="dxa"/>
            <w:vAlign w:val="center"/>
          </w:tcPr>
          <w:p w14:paraId="7742F14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0.074</w:t>
            </w:r>
          </w:p>
        </w:tc>
        <w:tc>
          <w:tcPr>
            <w:tcW w:w="855" w:type="dxa"/>
            <w:vAlign w:val="center"/>
          </w:tcPr>
          <w:p w14:paraId="5E2F0DD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0.356</w:t>
            </w:r>
          </w:p>
        </w:tc>
        <w:tc>
          <w:tcPr>
            <w:tcW w:w="865" w:type="dxa"/>
            <w:vAlign w:val="center"/>
          </w:tcPr>
          <w:p w14:paraId="4E33551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133</w:t>
            </w:r>
          </w:p>
        </w:tc>
        <w:tc>
          <w:tcPr>
            <w:tcW w:w="1312" w:type="dxa"/>
            <w:vAlign w:val="center"/>
          </w:tcPr>
          <w:p w14:paraId="2255091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€ 68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c>
          <w:tcPr>
            <w:tcW w:w="1895" w:type="dxa"/>
            <w:vAlign w:val="center"/>
          </w:tcPr>
          <w:p w14:paraId="334B4D4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€ 41</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€ 96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65147A77"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D42B0B3"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91 to 95 years</w:t>
            </w:r>
          </w:p>
        </w:tc>
        <w:tc>
          <w:tcPr>
            <w:tcW w:w="992" w:type="dxa"/>
            <w:vAlign w:val="center"/>
          </w:tcPr>
          <w:p w14:paraId="72817E9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-0.040</w:t>
            </w:r>
          </w:p>
        </w:tc>
        <w:tc>
          <w:tcPr>
            <w:tcW w:w="1276" w:type="dxa"/>
            <w:vAlign w:val="center"/>
          </w:tcPr>
          <w:p w14:paraId="6CE27691"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0.070</w:t>
            </w:r>
          </w:p>
        </w:tc>
        <w:tc>
          <w:tcPr>
            <w:tcW w:w="855" w:type="dxa"/>
            <w:vAlign w:val="center"/>
          </w:tcPr>
          <w:p w14:paraId="46EB818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0.57</w:t>
            </w:r>
          </w:p>
        </w:tc>
        <w:tc>
          <w:tcPr>
            <w:tcW w:w="865" w:type="dxa"/>
            <w:vAlign w:val="center"/>
          </w:tcPr>
          <w:p w14:paraId="53D3E9D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075</w:t>
            </w:r>
          </w:p>
        </w:tc>
        <w:tc>
          <w:tcPr>
            <w:tcW w:w="1312" w:type="dxa"/>
            <w:vAlign w:val="center"/>
          </w:tcPr>
          <w:p w14:paraId="03BE848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€ 115</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14:paraId="3EEEAA9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€ 48</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€ 183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000 </w:t>
            </w:r>
          </w:p>
        </w:tc>
      </w:tr>
      <w:tr w:rsidR="00FD168E" w:rsidRPr="000965BA" w14:paraId="7D370CF5"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DAB05DD"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95+ years</w:t>
            </w:r>
          </w:p>
        </w:tc>
        <w:tc>
          <w:tcPr>
            <w:tcW w:w="992" w:type="dxa"/>
            <w:vAlign w:val="center"/>
          </w:tcPr>
          <w:p w14:paraId="050CD8F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-0.051</w:t>
            </w:r>
          </w:p>
        </w:tc>
        <w:tc>
          <w:tcPr>
            <w:tcW w:w="1276" w:type="dxa"/>
            <w:vAlign w:val="center"/>
          </w:tcPr>
          <w:p w14:paraId="58EB270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0.073</w:t>
            </w:r>
          </w:p>
        </w:tc>
        <w:tc>
          <w:tcPr>
            <w:tcW w:w="855" w:type="dxa"/>
            <w:vAlign w:val="center"/>
          </w:tcPr>
          <w:p w14:paraId="50445DE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0.483</w:t>
            </w:r>
          </w:p>
        </w:tc>
        <w:tc>
          <w:tcPr>
            <w:tcW w:w="865" w:type="dxa"/>
            <w:vAlign w:val="center"/>
          </w:tcPr>
          <w:p w14:paraId="69D4440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048</w:t>
            </w:r>
          </w:p>
        </w:tc>
        <w:tc>
          <w:tcPr>
            <w:tcW w:w="1312" w:type="dxa"/>
            <w:vAlign w:val="center"/>
          </w:tcPr>
          <w:p w14:paraId="0F41E4A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€ 193</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 xml:space="preserve">400 </w:t>
            </w:r>
          </w:p>
        </w:tc>
        <w:tc>
          <w:tcPr>
            <w:tcW w:w="1895" w:type="dxa"/>
            <w:vAlign w:val="center"/>
          </w:tcPr>
          <w:p w14:paraId="6DEECCE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€ 76</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000 - € 310</w:t>
            </w:r>
            <w:r w:rsidR="001A7A6F" w:rsidRPr="000965BA">
              <w:rPr>
                <w:rFonts w:asciiTheme="minorHAnsi" w:hAnsiTheme="minorHAnsi"/>
                <w:color w:val="auto"/>
                <w:sz w:val="18"/>
                <w:szCs w:val="18"/>
                <w:lang w:val="en-GB"/>
              </w:rPr>
              <w:t>,</w:t>
            </w:r>
            <w:r w:rsidRPr="000965BA">
              <w:rPr>
                <w:rFonts w:asciiTheme="minorHAnsi" w:hAnsiTheme="minorHAnsi"/>
                <w:color w:val="auto"/>
                <w:sz w:val="18"/>
                <w:szCs w:val="18"/>
                <w:lang w:val="en-GB"/>
              </w:rPr>
              <w:t>000</w:t>
            </w:r>
          </w:p>
        </w:tc>
      </w:tr>
      <w:tr w:rsidR="00FD168E" w:rsidRPr="000965BA" w14:paraId="355E434C"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3F913CE"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Ln(spending)</w:t>
            </w:r>
            <w:r w:rsidRPr="000965BA">
              <w:rPr>
                <w:rFonts w:asciiTheme="minorHAnsi" w:hAnsiTheme="minorHAnsi"/>
                <w:color w:val="auto"/>
                <w:sz w:val="18"/>
                <w:szCs w:val="18"/>
                <w:vertAlign w:val="superscript"/>
                <w:lang w:val="en-GB"/>
              </w:rPr>
              <w:t>2</w:t>
            </w:r>
          </w:p>
        </w:tc>
        <w:tc>
          <w:tcPr>
            <w:tcW w:w="992" w:type="dxa"/>
            <w:vAlign w:val="center"/>
          </w:tcPr>
          <w:p w14:paraId="4579A8F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0.005</w:t>
            </w:r>
          </w:p>
        </w:tc>
        <w:tc>
          <w:tcPr>
            <w:tcW w:w="1276" w:type="dxa"/>
            <w:vAlign w:val="center"/>
          </w:tcPr>
          <w:p w14:paraId="6753F17B"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0.006</w:t>
            </w:r>
          </w:p>
        </w:tc>
        <w:tc>
          <w:tcPr>
            <w:tcW w:w="855" w:type="dxa"/>
            <w:vAlign w:val="center"/>
          </w:tcPr>
          <w:p w14:paraId="1A63EF2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0.363</w:t>
            </w:r>
          </w:p>
        </w:tc>
        <w:tc>
          <w:tcPr>
            <w:tcW w:w="865" w:type="dxa"/>
            <w:vAlign w:val="center"/>
          </w:tcPr>
          <w:p w14:paraId="06DA5B2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312" w:type="dxa"/>
            <w:vAlign w:val="center"/>
          </w:tcPr>
          <w:p w14:paraId="01E697B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895" w:type="dxa"/>
            <w:vAlign w:val="center"/>
          </w:tcPr>
          <w:p w14:paraId="06563C91"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FD168E" w:rsidRPr="000965BA" w14:paraId="40E27234"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7C48830D"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Ln(spending)*</w:t>
            </w:r>
            <w:r w:rsidR="001A7A6F" w:rsidRPr="000965BA">
              <w:rPr>
                <w:rFonts w:asciiTheme="minorHAnsi" w:hAnsiTheme="minorHAnsi"/>
                <w:color w:val="auto"/>
                <w:sz w:val="18"/>
                <w:szCs w:val="18"/>
                <w:lang w:val="en-GB"/>
              </w:rPr>
              <w:t xml:space="preserve"> </w:t>
            </w: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14:paraId="04D8937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-0.038</w:t>
            </w:r>
          </w:p>
        </w:tc>
        <w:tc>
          <w:tcPr>
            <w:tcW w:w="1276" w:type="dxa"/>
            <w:vAlign w:val="center"/>
          </w:tcPr>
          <w:p w14:paraId="039E9A6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0.012</w:t>
            </w:r>
          </w:p>
        </w:tc>
        <w:tc>
          <w:tcPr>
            <w:tcW w:w="855" w:type="dxa"/>
            <w:vAlign w:val="center"/>
          </w:tcPr>
          <w:p w14:paraId="7695DDD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0.001</w:t>
            </w:r>
          </w:p>
        </w:tc>
        <w:tc>
          <w:tcPr>
            <w:tcW w:w="865" w:type="dxa"/>
            <w:vAlign w:val="center"/>
          </w:tcPr>
          <w:p w14:paraId="6E6BA5E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312" w:type="dxa"/>
            <w:vAlign w:val="center"/>
          </w:tcPr>
          <w:p w14:paraId="32C9001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895" w:type="dxa"/>
            <w:vAlign w:val="center"/>
          </w:tcPr>
          <w:p w14:paraId="641626F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FD168E" w:rsidRPr="000965BA" w14:paraId="30C2EF2E"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441ADE"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14:paraId="31C798A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1.316</w:t>
            </w:r>
          </w:p>
        </w:tc>
        <w:tc>
          <w:tcPr>
            <w:tcW w:w="1276" w:type="dxa"/>
            <w:vAlign w:val="center"/>
          </w:tcPr>
          <w:p w14:paraId="51382EF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0.077</w:t>
            </w:r>
          </w:p>
        </w:tc>
        <w:tc>
          <w:tcPr>
            <w:tcW w:w="855" w:type="dxa"/>
            <w:vAlign w:val="center"/>
          </w:tcPr>
          <w:p w14:paraId="736F5E19"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w:t>
            </w:r>
            <w:r w:rsidR="001A7A6F" w:rsidRPr="000965BA">
              <w:rPr>
                <w:rFonts w:asciiTheme="minorHAnsi" w:hAnsiTheme="minorHAnsi"/>
                <w:color w:val="auto"/>
                <w:sz w:val="18"/>
                <w:szCs w:val="18"/>
                <w:lang w:val="en-GB"/>
              </w:rPr>
              <w:t>.000</w:t>
            </w:r>
          </w:p>
        </w:tc>
        <w:tc>
          <w:tcPr>
            <w:tcW w:w="865" w:type="dxa"/>
            <w:vAlign w:val="center"/>
          </w:tcPr>
          <w:p w14:paraId="1279DC2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312" w:type="dxa"/>
            <w:vAlign w:val="center"/>
          </w:tcPr>
          <w:p w14:paraId="67FF430B"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895" w:type="dxa"/>
            <w:vAlign w:val="center"/>
          </w:tcPr>
          <w:p w14:paraId="46BBE16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FD168E" w:rsidRPr="000965BA" w14:paraId="04733A68"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15E8B7B"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r w:rsidRPr="000965BA">
              <w:rPr>
                <w:rFonts w:asciiTheme="minorHAnsi" w:hAnsiTheme="minorHAnsi"/>
                <w:color w:val="auto"/>
                <w:sz w:val="18"/>
                <w:szCs w:val="18"/>
                <w:vertAlign w:val="superscript"/>
                <w:lang w:val="en-GB"/>
              </w:rPr>
              <w:t>2</w:t>
            </w:r>
          </w:p>
        </w:tc>
        <w:tc>
          <w:tcPr>
            <w:tcW w:w="992" w:type="dxa"/>
            <w:vAlign w:val="center"/>
          </w:tcPr>
          <w:p w14:paraId="6319CA5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0.022</w:t>
            </w:r>
          </w:p>
        </w:tc>
        <w:tc>
          <w:tcPr>
            <w:tcW w:w="1276" w:type="dxa"/>
            <w:vAlign w:val="center"/>
          </w:tcPr>
          <w:p w14:paraId="6F756C6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0.007</w:t>
            </w:r>
          </w:p>
        </w:tc>
        <w:tc>
          <w:tcPr>
            <w:tcW w:w="855" w:type="dxa"/>
            <w:vAlign w:val="center"/>
          </w:tcPr>
          <w:p w14:paraId="06CDDAE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w:t>
            </w:r>
          </w:p>
        </w:tc>
        <w:tc>
          <w:tcPr>
            <w:tcW w:w="865" w:type="dxa"/>
            <w:vAlign w:val="center"/>
          </w:tcPr>
          <w:p w14:paraId="2254B90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312" w:type="dxa"/>
            <w:vAlign w:val="center"/>
          </w:tcPr>
          <w:p w14:paraId="2749F4F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895" w:type="dxa"/>
            <w:vAlign w:val="center"/>
          </w:tcPr>
          <w:p w14:paraId="5B486C6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FD168E" w:rsidRPr="000965BA" w14:paraId="792F5A6B" w14:textId="77777777" w:rsidTr="002367C5">
        <w:trPr>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39467D8"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992" w:type="dxa"/>
            <w:vAlign w:val="center"/>
          </w:tcPr>
          <w:p w14:paraId="7F60AEEB"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-0.018</w:t>
            </w:r>
          </w:p>
        </w:tc>
        <w:tc>
          <w:tcPr>
            <w:tcW w:w="1276" w:type="dxa"/>
            <w:vAlign w:val="center"/>
          </w:tcPr>
          <w:p w14:paraId="3B236B5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0.002</w:t>
            </w:r>
          </w:p>
        </w:tc>
        <w:tc>
          <w:tcPr>
            <w:tcW w:w="855" w:type="dxa"/>
            <w:vAlign w:val="center"/>
          </w:tcPr>
          <w:p w14:paraId="58D93607" w14:textId="77777777" w:rsidR="00FD168E" w:rsidRPr="000965BA" w:rsidRDefault="001A7A6F"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865" w:type="dxa"/>
            <w:vAlign w:val="center"/>
          </w:tcPr>
          <w:p w14:paraId="1FFA937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312" w:type="dxa"/>
            <w:vAlign w:val="center"/>
          </w:tcPr>
          <w:p w14:paraId="6AF73B4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895" w:type="dxa"/>
            <w:vAlign w:val="center"/>
          </w:tcPr>
          <w:p w14:paraId="29A9FBD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FD168E" w:rsidRPr="000965BA" w14:paraId="2BBFAE71" w14:textId="77777777" w:rsidTr="002367C5">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28ACA99E" w14:textId="77777777" w:rsidR="00FD168E" w:rsidRPr="000965BA" w:rsidRDefault="00FD168E" w:rsidP="002367C5">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 xml:space="preserve">Constant </w:t>
            </w:r>
          </w:p>
        </w:tc>
        <w:tc>
          <w:tcPr>
            <w:tcW w:w="992" w:type="dxa"/>
            <w:vAlign w:val="center"/>
          </w:tcPr>
          <w:p w14:paraId="02F3D7D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35.124</w:t>
            </w:r>
          </w:p>
        </w:tc>
        <w:tc>
          <w:tcPr>
            <w:tcW w:w="1276" w:type="dxa"/>
            <w:vAlign w:val="center"/>
          </w:tcPr>
          <w:p w14:paraId="5FACD50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3.348</w:t>
            </w:r>
          </w:p>
        </w:tc>
        <w:tc>
          <w:tcPr>
            <w:tcW w:w="855" w:type="dxa"/>
            <w:vAlign w:val="center"/>
          </w:tcPr>
          <w:p w14:paraId="04748F84" w14:textId="77777777" w:rsidR="00FD168E" w:rsidRPr="000965BA" w:rsidRDefault="001A7A6F"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865" w:type="dxa"/>
            <w:vAlign w:val="center"/>
          </w:tcPr>
          <w:p w14:paraId="06B260A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312" w:type="dxa"/>
            <w:vAlign w:val="center"/>
          </w:tcPr>
          <w:p w14:paraId="04325B6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895" w:type="dxa"/>
            <w:vAlign w:val="center"/>
          </w:tcPr>
          <w:p w14:paraId="1AEA5B5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bl>
    <w:p w14:paraId="7393EC9B" w14:textId="77777777" w:rsidR="00FD168E" w:rsidRPr="000965BA" w:rsidRDefault="00FD168E" w:rsidP="00B20B59">
      <w:pPr>
        <w:spacing w:line="360" w:lineRule="auto"/>
        <w:jc w:val="both"/>
        <w:rPr>
          <w:rFonts w:asciiTheme="minorHAnsi" w:hAnsiTheme="minorHAnsi"/>
          <w:szCs w:val="22"/>
          <w:lang w:val="en-GB"/>
        </w:rPr>
      </w:pPr>
    </w:p>
    <w:tbl>
      <w:tblPr>
        <w:tblStyle w:val="Lichtearcering1"/>
        <w:tblW w:w="0" w:type="auto"/>
        <w:tblLayout w:type="fixed"/>
        <w:tblLook w:val="04A0" w:firstRow="1" w:lastRow="0" w:firstColumn="1" w:lastColumn="0" w:noHBand="0" w:noVBand="1"/>
      </w:tblPr>
      <w:tblGrid>
        <w:gridCol w:w="2660"/>
        <w:gridCol w:w="992"/>
        <w:gridCol w:w="851"/>
        <w:gridCol w:w="850"/>
        <w:gridCol w:w="992"/>
        <w:gridCol w:w="993"/>
        <w:gridCol w:w="1950"/>
      </w:tblGrid>
      <w:tr w:rsidR="00FD168E" w:rsidRPr="004E190D" w14:paraId="5D3514B7" w14:textId="77777777" w:rsidTr="00FD168E">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9288" w:type="dxa"/>
            <w:gridSpan w:val="7"/>
            <w:vAlign w:val="center"/>
          </w:tcPr>
          <w:p w14:paraId="0CE8E20F" w14:textId="77777777"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Table </w:t>
            </w:r>
            <w:r w:rsidR="009842CC" w:rsidRPr="000965BA">
              <w:rPr>
                <w:rFonts w:asciiTheme="minorHAnsi" w:hAnsiTheme="minorHAnsi"/>
                <w:i/>
                <w:color w:val="auto"/>
                <w:sz w:val="18"/>
                <w:szCs w:val="18"/>
                <w:lang w:val="en-GB"/>
              </w:rPr>
              <w:t>10</w:t>
            </w:r>
            <w:r w:rsidRPr="000965BA">
              <w:rPr>
                <w:rFonts w:asciiTheme="minorHAnsi" w:hAnsiTheme="minorHAnsi"/>
                <w:i/>
                <w:color w:val="auto"/>
                <w:sz w:val="18"/>
                <w:szCs w:val="18"/>
                <w:lang w:val="en-GB"/>
              </w:rPr>
              <w:t>: estimation results by disease group</w:t>
            </w:r>
          </w:p>
        </w:tc>
      </w:tr>
      <w:tr w:rsidR="00FD168E" w:rsidRPr="000965BA" w14:paraId="7C9826AE"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868A452"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N=11,079</w:t>
            </w:r>
          </w:p>
        </w:tc>
        <w:tc>
          <w:tcPr>
            <w:tcW w:w="2693" w:type="dxa"/>
            <w:gridSpan w:val="3"/>
            <w:vAlign w:val="center"/>
          </w:tcPr>
          <w:p w14:paraId="4174B096"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F(22,11078) = 1393.34</w:t>
            </w:r>
          </w:p>
        </w:tc>
        <w:tc>
          <w:tcPr>
            <w:tcW w:w="1985" w:type="dxa"/>
            <w:gridSpan w:val="2"/>
            <w:vAlign w:val="center"/>
          </w:tcPr>
          <w:p w14:paraId="34A73951"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Prob&gt;F=0.000</w:t>
            </w:r>
          </w:p>
        </w:tc>
        <w:tc>
          <w:tcPr>
            <w:tcW w:w="1950" w:type="dxa"/>
            <w:vAlign w:val="center"/>
          </w:tcPr>
          <w:p w14:paraId="0E4EB591"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w:t>
            </w:r>
            <w:r w:rsidRPr="000965BA">
              <w:rPr>
                <w:rFonts w:asciiTheme="minorHAnsi" w:hAnsiTheme="minorHAnsi"/>
                <w:color w:val="auto"/>
                <w:sz w:val="18"/>
                <w:szCs w:val="18"/>
                <w:vertAlign w:val="superscript"/>
                <w:lang w:val="en-GB"/>
              </w:rPr>
              <w:t>2</w:t>
            </w:r>
            <w:r w:rsidRPr="000965BA">
              <w:rPr>
                <w:rFonts w:asciiTheme="minorHAnsi" w:hAnsiTheme="minorHAnsi"/>
                <w:color w:val="auto"/>
                <w:sz w:val="18"/>
                <w:szCs w:val="18"/>
                <w:lang w:val="en-GB"/>
              </w:rPr>
              <w:t>=0.8688</w:t>
            </w:r>
          </w:p>
        </w:tc>
      </w:tr>
      <w:tr w:rsidR="001A7A6F" w:rsidRPr="000965BA" w14:paraId="5191E7DB"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410EB73" w14:textId="77777777" w:rsidR="00FD168E" w:rsidRPr="000965BA" w:rsidRDefault="00FD168E" w:rsidP="00B20B59">
            <w:pPr>
              <w:spacing w:line="276" w:lineRule="auto"/>
              <w:jc w:val="both"/>
              <w:rPr>
                <w:rFonts w:asciiTheme="minorHAnsi" w:hAnsiTheme="minorHAnsi"/>
                <w:i/>
                <w:color w:val="auto"/>
                <w:sz w:val="18"/>
                <w:szCs w:val="18"/>
                <w:lang w:val="en-GB"/>
              </w:rPr>
            </w:pPr>
            <w:r w:rsidRPr="000965BA">
              <w:rPr>
                <w:rFonts w:asciiTheme="minorHAnsi" w:hAnsiTheme="minorHAnsi"/>
                <w:i/>
                <w:color w:val="auto"/>
                <w:sz w:val="18"/>
                <w:szCs w:val="18"/>
                <w:lang w:val="en-GB"/>
              </w:rPr>
              <w:t>Disease group</w:t>
            </w:r>
          </w:p>
        </w:tc>
        <w:tc>
          <w:tcPr>
            <w:tcW w:w="992" w:type="dxa"/>
            <w:vAlign w:val="center"/>
          </w:tcPr>
          <w:p w14:paraId="48259FED"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coefficient</w:t>
            </w:r>
          </w:p>
        </w:tc>
        <w:tc>
          <w:tcPr>
            <w:tcW w:w="851" w:type="dxa"/>
            <w:vAlign w:val="center"/>
          </w:tcPr>
          <w:p w14:paraId="66751865"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 xml:space="preserve">Robust </w:t>
            </w:r>
            <w:r w:rsidR="001A7A6F" w:rsidRPr="000965BA">
              <w:rPr>
                <w:rFonts w:asciiTheme="minorHAnsi" w:hAnsiTheme="minorHAnsi"/>
                <w:i/>
                <w:color w:val="auto"/>
                <w:sz w:val="18"/>
                <w:szCs w:val="18"/>
                <w:lang w:val="en-GB"/>
              </w:rPr>
              <w:t>SE</w:t>
            </w:r>
          </w:p>
        </w:tc>
        <w:tc>
          <w:tcPr>
            <w:tcW w:w="850" w:type="dxa"/>
            <w:vAlign w:val="center"/>
          </w:tcPr>
          <w:p w14:paraId="3535B79A"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i/>
                <w:color w:val="auto"/>
                <w:sz w:val="18"/>
                <w:szCs w:val="18"/>
                <w:lang w:val="en-GB"/>
              </w:rPr>
            </w:pPr>
            <w:r w:rsidRPr="000965BA">
              <w:rPr>
                <w:rFonts w:asciiTheme="minorHAnsi" w:hAnsiTheme="minorHAnsi"/>
                <w:i/>
                <w:color w:val="auto"/>
                <w:sz w:val="18"/>
                <w:szCs w:val="18"/>
                <w:lang w:val="en-GB"/>
              </w:rPr>
              <w:t>p-value</w:t>
            </w:r>
          </w:p>
        </w:tc>
        <w:tc>
          <w:tcPr>
            <w:tcW w:w="992" w:type="dxa"/>
            <w:vAlign w:val="center"/>
          </w:tcPr>
          <w:p w14:paraId="68D171C6"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elasticity</w:t>
            </w:r>
          </w:p>
        </w:tc>
        <w:tc>
          <w:tcPr>
            <w:tcW w:w="993" w:type="dxa"/>
            <w:vAlign w:val="center"/>
          </w:tcPr>
          <w:p w14:paraId="4606A92C"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Threshold value</w:t>
            </w:r>
          </w:p>
        </w:tc>
        <w:tc>
          <w:tcPr>
            <w:tcW w:w="1950" w:type="dxa"/>
            <w:vAlign w:val="center"/>
          </w:tcPr>
          <w:p w14:paraId="0894DA93"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Bootstrapped 95%-CI</w:t>
            </w:r>
          </w:p>
        </w:tc>
      </w:tr>
      <w:tr w:rsidR="001A7A6F" w:rsidRPr="000965BA" w14:paraId="1397717A"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6578AE13"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Infectious diseases</w:t>
            </w:r>
          </w:p>
        </w:tc>
        <w:tc>
          <w:tcPr>
            <w:tcW w:w="992" w:type="dxa"/>
            <w:vAlign w:val="center"/>
          </w:tcPr>
          <w:p w14:paraId="61BAEFD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1" w:type="dxa"/>
            <w:vAlign w:val="center"/>
          </w:tcPr>
          <w:p w14:paraId="5B90A66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574CDBA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0.279</w:t>
            </w:r>
          </w:p>
        </w:tc>
        <w:tc>
          <w:tcPr>
            <w:tcW w:w="992" w:type="dxa"/>
            <w:vAlign w:val="center"/>
          </w:tcPr>
          <w:p w14:paraId="3A93FA9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-0.162</w:t>
            </w:r>
          </w:p>
        </w:tc>
        <w:tc>
          <w:tcPr>
            <w:tcW w:w="993" w:type="dxa"/>
            <w:vAlign w:val="center"/>
          </w:tcPr>
          <w:p w14:paraId="5A00AFD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€ 53,500</w:t>
            </w:r>
          </w:p>
        </w:tc>
        <w:tc>
          <w:tcPr>
            <w:tcW w:w="1950" w:type="dxa"/>
            <w:vAlign w:val="center"/>
          </w:tcPr>
          <w:p w14:paraId="6767C90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€ 32,000 - € 75,000</w:t>
            </w:r>
          </w:p>
        </w:tc>
      </w:tr>
      <w:tr w:rsidR="001A7A6F" w:rsidRPr="000965BA" w14:paraId="3A206DE2"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3E912B0"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Neoplasms</w:t>
            </w:r>
          </w:p>
        </w:tc>
        <w:tc>
          <w:tcPr>
            <w:tcW w:w="992" w:type="dxa"/>
            <w:vAlign w:val="center"/>
          </w:tcPr>
          <w:p w14:paraId="0F7EBAB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1" w:type="dxa"/>
            <w:vAlign w:val="center"/>
          </w:tcPr>
          <w:p w14:paraId="0BCDAA9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14:paraId="6C172259"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0.311</w:t>
            </w:r>
          </w:p>
        </w:tc>
        <w:tc>
          <w:tcPr>
            <w:tcW w:w="992" w:type="dxa"/>
            <w:vAlign w:val="center"/>
          </w:tcPr>
          <w:p w14:paraId="4E8D9DF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-0.148</w:t>
            </w:r>
          </w:p>
        </w:tc>
        <w:tc>
          <w:tcPr>
            <w:tcW w:w="993" w:type="dxa"/>
            <w:vAlign w:val="center"/>
          </w:tcPr>
          <w:p w14:paraId="29F1699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€ 68,300</w:t>
            </w:r>
          </w:p>
        </w:tc>
        <w:tc>
          <w:tcPr>
            <w:tcW w:w="1950" w:type="dxa"/>
            <w:vAlign w:val="center"/>
          </w:tcPr>
          <w:p w14:paraId="2D6C986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€ 28,000 - € 109,000</w:t>
            </w:r>
          </w:p>
        </w:tc>
      </w:tr>
      <w:tr w:rsidR="001A7A6F" w:rsidRPr="000965BA" w14:paraId="08D7847B"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9243A3E"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blood</w:t>
            </w:r>
          </w:p>
        </w:tc>
        <w:tc>
          <w:tcPr>
            <w:tcW w:w="992" w:type="dxa"/>
            <w:vAlign w:val="center"/>
          </w:tcPr>
          <w:p w14:paraId="4DDB066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1" w:type="dxa"/>
            <w:vAlign w:val="center"/>
          </w:tcPr>
          <w:p w14:paraId="6691B23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7E6F2AD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0.89</w:t>
            </w:r>
          </w:p>
        </w:tc>
        <w:tc>
          <w:tcPr>
            <w:tcW w:w="992" w:type="dxa"/>
            <w:vAlign w:val="center"/>
          </w:tcPr>
          <w:p w14:paraId="09CC71A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-0.086</w:t>
            </w:r>
          </w:p>
        </w:tc>
        <w:tc>
          <w:tcPr>
            <w:tcW w:w="993" w:type="dxa"/>
            <w:vAlign w:val="center"/>
          </w:tcPr>
          <w:p w14:paraId="0330AF7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€ 201,800</w:t>
            </w:r>
          </w:p>
        </w:tc>
        <w:tc>
          <w:tcPr>
            <w:tcW w:w="1950" w:type="dxa"/>
            <w:vAlign w:val="center"/>
          </w:tcPr>
          <w:p w14:paraId="7DC850F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-362,000 - € 766,000</w:t>
            </w:r>
          </w:p>
        </w:tc>
      </w:tr>
      <w:tr w:rsidR="001A7A6F" w:rsidRPr="000965BA" w14:paraId="4A155935"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F021E40"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Endocrine diseases</w:t>
            </w:r>
          </w:p>
        </w:tc>
        <w:tc>
          <w:tcPr>
            <w:tcW w:w="992" w:type="dxa"/>
            <w:vAlign w:val="center"/>
          </w:tcPr>
          <w:p w14:paraId="1F4F669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w:t>
            </w:r>
          </w:p>
        </w:tc>
        <w:tc>
          <w:tcPr>
            <w:tcW w:w="851" w:type="dxa"/>
            <w:vAlign w:val="center"/>
          </w:tcPr>
          <w:p w14:paraId="441FE44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1684884D"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0.51</w:t>
            </w:r>
          </w:p>
        </w:tc>
        <w:tc>
          <w:tcPr>
            <w:tcW w:w="992" w:type="dxa"/>
            <w:vAlign w:val="center"/>
          </w:tcPr>
          <w:p w14:paraId="756DC10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-0.133</w:t>
            </w:r>
          </w:p>
        </w:tc>
        <w:tc>
          <w:tcPr>
            <w:tcW w:w="993" w:type="dxa"/>
            <w:vAlign w:val="center"/>
          </w:tcPr>
          <w:p w14:paraId="0E92CED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€ 75,700</w:t>
            </w:r>
          </w:p>
        </w:tc>
        <w:tc>
          <w:tcPr>
            <w:tcW w:w="1950" w:type="dxa"/>
            <w:vAlign w:val="center"/>
          </w:tcPr>
          <w:p w14:paraId="3116931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€ 36,000 - € 116,000</w:t>
            </w:r>
          </w:p>
        </w:tc>
      </w:tr>
      <w:tr w:rsidR="001A7A6F" w:rsidRPr="000965BA" w14:paraId="51B8FD91"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00C1228"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Mental disorders</w:t>
            </w:r>
          </w:p>
        </w:tc>
        <w:tc>
          <w:tcPr>
            <w:tcW w:w="992" w:type="dxa"/>
            <w:vAlign w:val="center"/>
          </w:tcPr>
          <w:p w14:paraId="5A21627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851" w:type="dxa"/>
            <w:vAlign w:val="center"/>
          </w:tcPr>
          <w:p w14:paraId="4DCA880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14:paraId="6DD2565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0.585</w:t>
            </w:r>
          </w:p>
        </w:tc>
        <w:tc>
          <w:tcPr>
            <w:tcW w:w="992" w:type="dxa"/>
            <w:vAlign w:val="center"/>
          </w:tcPr>
          <w:p w14:paraId="3947AFA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-0.106</w:t>
            </w:r>
          </w:p>
        </w:tc>
        <w:tc>
          <w:tcPr>
            <w:tcW w:w="993" w:type="dxa"/>
            <w:vAlign w:val="center"/>
          </w:tcPr>
          <w:p w14:paraId="0E2AAEB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€ 64,000</w:t>
            </w:r>
          </w:p>
        </w:tc>
        <w:tc>
          <w:tcPr>
            <w:tcW w:w="1950" w:type="dxa"/>
            <w:vAlign w:val="center"/>
          </w:tcPr>
          <w:p w14:paraId="167CEDB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€ 41,000 - € 87,000</w:t>
            </w:r>
          </w:p>
        </w:tc>
      </w:tr>
      <w:tr w:rsidR="001A7A6F" w:rsidRPr="000965BA" w14:paraId="4FE28FCA"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0E48D53"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nervous system</w:t>
            </w:r>
          </w:p>
        </w:tc>
        <w:tc>
          <w:tcPr>
            <w:tcW w:w="992" w:type="dxa"/>
            <w:vAlign w:val="center"/>
          </w:tcPr>
          <w:p w14:paraId="1B0E875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-0.23</w:t>
            </w:r>
          </w:p>
        </w:tc>
        <w:tc>
          <w:tcPr>
            <w:tcW w:w="851" w:type="dxa"/>
            <w:vAlign w:val="center"/>
          </w:tcPr>
          <w:p w14:paraId="176AD47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0.10</w:t>
            </w:r>
          </w:p>
        </w:tc>
        <w:tc>
          <w:tcPr>
            <w:tcW w:w="850" w:type="dxa"/>
            <w:vAlign w:val="center"/>
          </w:tcPr>
          <w:p w14:paraId="7864E9F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0.019</w:t>
            </w:r>
          </w:p>
        </w:tc>
        <w:tc>
          <w:tcPr>
            <w:tcW w:w="992" w:type="dxa"/>
            <w:vAlign w:val="center"/>
          </w:tcPr>
          <w:p w14:paraId="5270665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-0.340</w:t>
            </w:r>
          </w:p>
        </w:tc>
        <w:tc>
          <w:tcPr>
            <w:tcW w:w="993" w:type="dxa"/>
            <w:vAlign w:val="center"/>
          </w:tcPr>
          <w:p w14:paraId="3D123D9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€ 33,500</w:t>
            </w:r>
          </w:p>
        </w:tc>
        <w:tc>
          <w:tcPr>
            <w:tcW w:w="1950" w:type="dxa"/>
            <w:vAlign w:val="center"/>
          </w:tcPr>
          <w:p w14:paraId="7FD2AA7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€ 14,000 - € 53,000</w:t>
            </w:r>
          </w:p>
        </w:tc>
      </w:tr>
      <w:tr w:rsidR="001A7A6F" w:rsidRPr="000965BA" w14:paraId="763B30AA"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1B31C43"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eye and ear</w:t>
            </w:r>
          </w:p>
        </w:tc>
        <w:tc>
          <w:tcPr>
            <w:tcW w:w="992" w:type="dxa"/>
            <w:vAlign w:val="center"/>
          </w:tcPr>
          <w:p w14:paraId="0F50150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1" w:type="dxa"/>
            <w:vAlign w:val="center"/>
          </w:tcPr>
          <w:p w14:paraId="0E445DF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14:paraId="6FD619E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0.835</w:t>
            </w:r>
          </w:p>
        </w:tc>
        <w:tc>
          <w:tcPr>
            <w:tcW w:w="992" w:type="dxa"/>
            <w:vAlign w:val="center"/>
          </w:tcPr>
          <w:p w14:paraId="03ABD9A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-0.125</w:t>
            </w:r>
          </w:p>
        </w:tc>
        <w:tc>
          <w:tcPr>
            <w:tcW w:w="993" w:type="dxa"/>
            <w:vAlign w:val="center"/>
          </w:tcPr>
          <w:p w14:paraId="72CAB54F"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€ 42,700</w:t>
            </w:r>
          </w:p>
        </w:tc>
        <w:tc>
          <w:tcPr>
            <w:tcW w:w="1950" w:type="dxa"/>
            <w:vAlign w:val="center"/>
          </w:tcPr>
          <w:p w14:paraId="659A946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€ 28,000 - € 57,000</w:t>
            </w:r>
          </w:p>
        </w:tc>
      </w:tr>
      <w:tr w:rsidR="001A7A6F" w:rsidRPr="000965BA" w14:paraId="58C79E6F"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7C6EB62"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circulatory system</w:t>
            </w:r>
          </w:p>
        </w:tc>
        <w:tc>
          <w:tcPr>
            <w:tcW w:w="992" w:type="dxa"/>
            <w:vAlign w:val="center"/>
          </w:tcPr>
          <w:p w14:paraId="0540F1B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w:t>
            </w:r>
          </w:p>
        </w:tc>
        <w:tc>
          <w:tcPr>
            <w:tcW w:w="851" w:type="dxa"/>
            <w:vAlign w:val="center"/>
          </w:tcPr>
          <w:p w14:paraId="278678B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6CD0C509"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0.481</w:t>
            </w:r>
          </w:p>
        </w:tc>
        <w:tc>
          <w:tcPr>
            <w:tcW w:w="992" w:type="dxa"/>
            <w:vAlign w:val="center"/>
          </w:tcPr>
          <w:p w14:paraId="2023E6F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-0.141</w:t>
            </w:r>
          </w:p>
        </w:tc>
        <w:tc>
          <w:tcPr>
            <w:tcW w:w="993" w:type="dxa"/>
            <w:vAlign w:val="center"/>
          </w:tcPr>
          <w:p w14:paraId="1C5FDBB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€ 95,700</w:t>
            </w:r>
          </w:p>
        </w:tc>
        <w:tc>
          <w:tcPr>
            <w:tcW w:w="1950" w:type="dxa"/>
            <w:vAlign w:val="center"/>
          </w:tcPr>
          <w:p w14:paraId="247C8A0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€ 30,000 - € 161,000</w:t>
            </w:r>
          </w:p>
        </w:tc>
      </w:tr>
      <w:tr w:rsidR="001A7A6F" w:rsidRPr="000965BA" w14:paraId="0A45B6EA"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D15E023"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respiratory system</w:t>
            </w:r>
          </w:p>
        </w:tc>
        <w:tc>
          <w:tcPr>
            <w:tcW w:w="992" w:type="dxa"/>
            <w:vAlign w:val="center"/>
          </w:tcPr>
          <w:p w14:paraId="4B449A6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1" w:type="dxa"/>
            <w:vAlign w:val="center"/>
          </w:tcPr>
          <w:p w14:paraId="21E4F6E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67DFE0D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0.407</w:t>
            </w:r>
          </w:p>
        </w:tc>
        <w:tc>
          <w:tcPr>
            <w:tcW w:w="992" w:type="dxa"/>
            <w:vAlign w:val="center"/>
          </w:tcPr>
          <w:p w14:paraId="12C08BE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-0.174</w:t>
            </w:r>
          </w:p>
        </w:tc>
        <w:tc>
          <w:tcPr>
            <w:tcW w:w="993" w:type="dxa"/>
            <w:vAlign w:val="center"/>
          </w:tcPr>
          <w:p w14:paraId="7FC46F9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€ 59,600</w:t>
            </w:r>
          </w:p>
        </w:tc>
        <w:tc>
          <w:tcPr>
            <w:tcW w:w="1950" w:type="dxa"/>
            <w:vAlign w:val="center"/>
          </w:tcPr>
          <w:p w14:paraId="2DFAD18C"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€ 28,000 - € 92,000</w:t>
            </w:r>
          </w:p>
        </w:tc>
      </w:tr>
      <w:tr w:rsidR="001A7A6F" w:rsidRPr="000965BA" w14:paraId="0F553AFC"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F86D453"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digestive system</w:t>
            </w:r>
          </w:p>
        </w:tc>
        <w:tc>
          <w:tcPr>
            <w:tcW w:w="992" w:type="dxa"/>
            <w:vAlign w:val="center"/>
          </w:tcPr>
          <w:p w14:paraId="628C3929"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w:t>
            </w:r>
          </w:p>
        </w:tc>
        <w:tc>
          <w:tcPr>
            <w:tcW w:w="851" w:type="dxa"/>
            <w:vAlign w:val="center"/>
          </w:tcPr>
          <w:p w14:paraId="3879BEE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319D51B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0.562</w:t>
            </w:r>
          </w:p>
        </w:tc>
        <w:tc>
          <w:tcPr>
            <w:tcW w:w="992" w:type="dxa"/>
            <w:vAlign w:val="center"/>
          </w:tcPr>
          <w:p w14:paraId="7B54193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-0.151</w:t>
            </w:r>
          </w:p>
        </w:tc>
        <w:tc>
          <w:tcPr>
            <w:tcW w:w="993" w:type="dxa"/>
            <w:vAlign w:val="center"/>
          </w:tcPr>
          <w:p w14:paraId="64574C7B"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€ 116,800</w:t>
            </w:r>
          </w:p>
        </w:tc>
        <w:tc>
          <w:tcPr>
            <w:tcW w:w="1950" w:type="dxa"/>
            <w:vAlign w:val="center"/>
          </w:tcPr>
          <w:p w14:paraId="041E093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€ 82,000 - € 151,000</w:t>
            </w:r>
          </w:p>
        </w:tc>
      </w:tr>
      <w:tr w:rsidR="001A7A6F" w:rsidRPr="000965BA" w14:paraId="1F639ACD"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3C49682"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skin</w:t>
            </w:r>
          </w:p>
        </w:tc>
        <w:tc>
          <w:tcPr>
            <w:tcW w:w="992" w:type="dxa"/>
            <w:vAlign w:val="center"/>
          </w:tcPr>
          <w:p w14:paraId="37CEE59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851" w:type="dxa"/>
            <w:vAlign w:val="center"/>
          </w:tcPr>
          <w:p w14:paraId="174A04E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14:paraId="0DAAFD3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0.7</w:t>
            </w:r>
          </w:p>
        </w:tc>
        <w:tc>
          <w:tcPr>
            <w:tcW w:w="992" w:type="dxa"/>
            <w:vAlign w:val="center"/>
          </w:tcPr>
          <w:p w14:paraId="73C1050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-0.154</w:t>
            </w:r>
          </w:p>
        </w:tc>
        <w:tc>
          <w:tcPr>
            <w:tcW w:w="993" w:type="dxa"/>
            <w:vAlign w:val="center"/>
          </w:tcPr>
          <w:p w14:paraId="4EEA42B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€ 38,500</w:t>
            </w:r>
          </w:p>
        </w:tc>
        <w:tc>
          <w:tcPr>
            <w:tcW w:w="1950" w:type="dxa"/>
            <w:vAlign w:val="center"/>
          </w:tcPr>
          <w:p w14:paraId="0C0E65C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€ 20,000 - € 57,000</w:t>
            </w:r>
          </w:p>
        </w:tc>
      </w:tr>
      <w:tr w:rsidR="001A7A6F" w:rsidRPr="000965BA" w14:paraId="33418062"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B366896"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musculoskeletal system</w:t>
            </w:r>
          </w:p>
        </w:tc>
        <w:tc>
          <w:tcPr>
            <w:tcW w:w="992" w:type="dxa"/>
            <w:vAlign w:val="center"/>
          </w:tcPr>
          <w:p w14:paraId="0157329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851" w:type="dxa"/>
            <w:vAlign w:val="center"/>
          </w:tcPr>
          <w:p w14:paraId="093C7425"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14:paraId="6F406623"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0.626</w:t>
            </w:r>
          </w:p>
        </w:tc>
        <w:tc>
          <w:tcPr>
            <w:tcW w:w="992" w:type="dxa"/>
            <w:vAlign w:val="center"/>
          </w:tcPr>
          <w:p w14:paraId="149B48FD"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-0.143</w:t>
            </w:r>
          </w:p>
        </w:tc>
        <w:tc>
          <w:tcPr>
            <w:tcW w:w="993" w:type="dxa"/>
            <w:vAlign w:val="center"/>
          </w:tcPr>
          <w:p w14:paraId="244BBBF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€ 117,200</w:t>
            </w:r>
          </w:p>
        </w:tc>
        <w:tc>
          <w:tcPr>
            <w:tcW w:w="1950" w:type="dxa"/>
            <w:vAlign w:val="center"/>
          </w:tcPr>
          <w:p w14:paraId="087608E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€ 86,000 - € 148,000</w:t>
            </w:r>
          </w:p>
        </w:tc>
      </w:tr>
      <w:tr w:rsidR="001A7A6F" w:rsidRPr="000965BA" w14:paraId="20FCAD94"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2E6F4FB"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Diseases of the genitourinary system</w:t>
            </w:r>
          </w:p>
        </w:tc>
        <w:tc>
          <w:tcPr>
            <w:tcW w:w="992" w:type="dxa"/>
            <w:vAlign w:val="center"/>
          </w:tcPr>
          <w:p w14:paraId="21514908"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851" w:type="dxa"/>
            <w:vAlign w:val="center"/>
          </w:tcPr>
          <w:p w14:paraId="466B778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0.07</w:t>
            </w:r>
          </w:p>
        </w:tc>
        <w:tc>
          <w:tcPr>
            <w:tcW w:w="850" w:type="dxa"/>
            <w:vAlign w:val="center"/>
          </w:tcPr>
          <w:p w14:paraId="23D50B5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0.657</w:t>
            </w:r>
          </w:p>
        </w:tc>
        <w:tc>
          <w:tcPr>
            <w:tcW w:w="992" w:type="dxa"/>
            <w:vAlign w:val="center"/>
          </w:tcPr>
          <w:p w14:paraId="3F20391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-0.121</w:t>
            </w:r>
          </w:p>
        </w:tc>
        <w:tc>
          <w:tcPr>
            <w:tcW w:w="993" w:type="dxa"/>
            <w:vAlign w:val="center"/>
          </w:tcPr>
          <w:p w14:paraId="523BA55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€ 138,400</w:t>
            </w:r>
          </w:p>
        </w:tc>
        <w:tc>
          <w:tcPr>
            <w:tcW w:w="1950" w:type="dxa"/>
            <w:vAlign w:val="center"/>
          </w:tcPr>
          <w:p w14:paraId="5543B17B"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€ 100,000 - € 177,000</w:t>
            </w:r>
          </w:p>
        </w:tc>
      </w:tr>
      <w:tr w:rsidR="001A7A6F" w:rsidRPr="000965BA" w14:paraId="10927B1A"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89BBDD7"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Pregnancy, childbirth and perinatal period</w:t>
            </w:r>
          </w:p>
        </w:tc>
        <w:tc>
          <w:tcPr>
            <w:tcW w:w="992" w:type="dxa"/>
            <w:vAlign w:val="center"/>
          </w:tcPr>
          <w:p w14:paraId="29CEA7FD"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-0.03</w:t>
            </w:r>
          </w:p>
        </w:tc>
        <w:tc>
          <w:tcPr>
            <w:tcW w:w="851" w:type="dxa"/>
            <w:vAlign w:val="center"/>
          </w:tcPr>
          <w:p w14:paraId="780F684D"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0221588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0.674</w:t>
            </w:r>
          </w:p>
        </w:tc>
        <w:tc>
          <w:tcPr>
            <w:tcW w:w="992" w:type="dxa"/>
            <w:vAlign w:val="center"/>
          </w:tcPr>
          <w:p w14:paraId="544EAF0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-0.099</w:t>
            </w:r>
          </w:p>
        </w:tc>
        <w:tc>
          <w:tcPr>
            <w:tcW w:w="993" w:type="dxa"/>
            <w:vAlign w:val="center"/>
          </w:tcPr>
          <w:p w14:paraId="699D73E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€ 215,800</w:t>
            </w:r>
          </w:p>
        </w:tc>
        <w:tc>
          <w:tcPr>
            <w:tcW w:w="1950" w:type="dxa"/>
            <w:vAlign w:val="center"/>
          </w:tcPr>
          <w:p w14:paraId="5874B6B7"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€ 120,000 - € 312,000</w:t>
            </w:r>
          </w:p>
        </w:tc>
      </w:tr>
      <w:tr w:rsidR="001A7A6F" w:rsidRPr="000965BA" w14:paraId="1EE03EBD"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5E894825"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Congenital abnormalities</w:t>
            </w:r>
          </w:p>
        </w:tc>
        <w:tc>
          <w:tcPr>
            <w:tcW w:w="992" w:type="dxa"/>
            <w:vAlign w:val="center"/>
          </w:tcPr>
          <w:p w14:paraId="53A19A0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-0.06</w:t>
            </w:r>
          </w:p>
        </w:tc>
        <w:tc>
          <w:tcPr>
            <w:tcW w:w="851" w:type="dxa"/>
            <w:vAlign w:val="center"/>
          </w:tcPr>
          <w:p w14:paraId="799E7ED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5074F3D1"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0.463</w:t>
            </w:r>
          </w:p>
        </w:tc>
        <w:tc>
          <w:tcPr>
            <w:tcW w:w="992" w:type="dxa"/>
            <w:vAlign w:val="center"/>
          </w:tcPr>
          <w:p w14:paraId="31BA808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-0.106</w:t>
            </w:r>
          </w:p>
        </w:tc>
        <w:tc>
          <w:tcPr>
            <w:tcW w:w="993" w:type="dxa"/>
            <w:vAlign w:val="center"/>
          </w:tcPr>
          <w:p w14:paraId="5AE2831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€ 102,800</w:t>
            </w:r>
          </w:p>
        </w:tc>
        <w:tc>
          <w:tcPr>
            <w:tcW w:w="1950" w:type="dxa"/>
            <w:vAlign w:val="center"/>
          </w:tcPr>
          <w:p w14:paraId="3ECB78A6"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€ 68,000 - € 137,000</w:t>
            </w:r>
          </w:p>
        </w:tc>
      </w:tr>
      <w:tr w:rsidR="001A7A6F" w:rsidRPr="000965BA" w14:paraId="024E280F"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BD3A89C"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Symptoms not elsewhere classified</w:t>
            </w:r>
          </w:p>
        </w:tc>
        <w:tc>
          <w:tcPr>
            <w:tcW w:w="992" w:type="dxa"/>
            <w:vAlign w:val="center"/>
          </w:tcPr>
          <w:p w14:paraId="21F83B3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1" w:type="dxa"/>
            <w:vAlign w:val="center"/>
          </w:tcPr>
          <w:p w14:paraId="4B0599C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30EA5D56"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0.864</w:t>
            </w:r>
          </w:p>
        </w:tc>
        <w:tc>
          <w:tcPr>
            <w:tcW w:w="992" w:type="dxa"/>
            <w:vAlign w:val="center"/>
          </w:tcPr>
          <w:p w14:paraId="2A0B7C7E"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-0.112</w:t>
            </w:r>
          </w:p>
        </w:tc>
        <w:tc>
          <w:tcPr>
            <w:tcW w:w="993" w:type="dxa"/>
            <w:vAlign w:val="center"/>
          </w:tcPr>
          <w:p w14:paraId="15B3B5DB"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€ 71,700</w:t>
            </w:r>
          </w:p>
        </w:tc>
        <w:tc>
          <w:tcPr>
            <w:tcW w:w="1950" w:type="dxa"/>
            <w:vAlign w:val="center"/>
          </w:tcPr>
          <w:p w14:paraId="2A54625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€ 50,000 - € 94,000</w:t>
            </w:r>
          </w:p>
        </w:tc>
      </w:tr>
      <w:tr w:rsidR="001A7A6F" w:rsidRPr="000965BA" w14:paraId="5987C8B7"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B63899D"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External causes</w:t>
            </w:r>
          </w:p>
        </w:tc>
        <w:tc>
          <w:tcPr>
            <w:tcW w:w="992" w:type="dxa"/>
            <w:vAlign w:val="center"/>
          </w:tcPr>
          <w:p w14:paraId="04A30E6E"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0.16</w:t>
            </w:r>
          </w:p>
        </w:tc>
        <w:tc>
          <w:tcPr>
            <w:tcW w:w="851" w:type="dxa"/>
            <w:vAlign w:val="center"/>
          </w:tcPr>
          <w:p w14:paraId="7E6D3384"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3E5E4E4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0.054</w:t>
            </w:r>
          </w:p>
        </w:tc>
        <w:tc>
          <w:tcPr>
            <w:tcW w:w="992" w:type="dxa"/>
            <w:vAlign w:val="center"/>
          </w:tcPr>
          <w:p w14:paraId="42EE18B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-0.093</w:t>
            </w:r>
          </w:p>
        </w:tc>
        <w:tc>
          <w:tcPr>
            <w:tcW w:w="993" w:type="dxa"/>
            <w:vAlign w:val="center"/>
          </w:tcPr>
          <w:p w14:paraId="4337084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€ 129,300</w:t>
            </w:r>
          </w:p>
        </w:tc>
        <w:tc>
          <w:tcPr>
            <w:tcW w:w="1950" w:type="dxa"/>
            <w:vAlign w:val="center"/>
          </w:tcPr>
          <w:p w14:paraId="3145B04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-1,170,000 - € 1,429,000</w:t>
            </w:r>
          </w:p>
        </w:tc>
      </w:tr>
      <w:tr w:rsidR="001A7A6F" w:rsidRPr="000965BA" w14:paraId="1DF6AE4A"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92BEE2B"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Ln(spending)</w:t>
            </w:r>
            <w:r w:rsidRPr="000965BA">
              <w:rPr>
                <w:rFonts w:asciiTheme="minorHAnsi" w:hAnsiTheme="minorHAnsi"/>
                <w:color w:val="auto"/>
                <w:sz w:val="18"/>
                <w:szCs w:val="18"/>
                <w:vertAlign w:val="superscript"/>
                <w:lang w:val="en-GB"/>
              </w:rPr>
              <w:t>2</w:t>
            </w:r>
          </w:p>
        </w:tc>
        <w:tc>
          <w:tcPr>
            <w:tcW w:w="992" w:type="dxa"/>
            <w:vAlign w:val="center"/>
          </w:tcPr>
          <w:p w14:paraId="355CD1B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851" w:type="dxa"/>
            <w:vAlign w:val="center"/>
          </w:tcPr>
          <w:p w14:paraId="44E6617A"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0" w:type="dxa"/>
            <w:vAlign w:val="center"/>
          </w:tcPr>
          <w:p w14:paraId="553652C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0.516</w:t>
            </w:r>
          </w:p>
        </w:tc>
        <w:tc>
          <w:tcPr>
            <w:tcW w:w="992" w:type="dxa"/>
            <w:vAlign w:val="center"/>
          </w:tcPr>
          <w:p w14:paraId="20132EE8"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993" w:type="dxa"/>
            <w:vAlign w:val="center"/>
          </w:tcPr>
          <w:p w14:paraId="1AFB491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950" w:type="dxa"/>
            <w:vAlign w:val="center"/>
          </w:tcPr>
          <w:p w14:paraId="35306DF2"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1A7A6F" w:rsidRPr="000965BA" w14:paraId="1E1EF405"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B890A67"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Ln(spending)*Ln(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14:paraId="7360C9C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851" w:type="dxa"/>
            <w:vAlign w:val="center"/>
          </w:tcPr>
          <w:p w14:paraId="63292E7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0" w:type="dxa"/>
            <w:vAlign w:val="center"/>
          </w:tcPr>
          <w:p w14:paraId="3DE818A5"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0.009</w:t>
            </w:r>
          </w:p>
        </w:tc>
        <w:tc>
          <w:tcPr>
            <w:tcW w:w="992" w:type="dxa"/>
            <w:vAlign w:val="center"/>
          </w:tcPr>
          <w:p w14:paraId="0C063920"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993" w:type="dxa"/>
            <w:vAlign w:val="center"/>
          </w:tcPr>
          <w:p w14:paraId="65CA498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950" w:type="dxa"/>
            <w:vAlign w:val="center"/>
          </w:tcPr>
          <w:p w14:paraId="1C73B62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1A7A6F" w:rsidRPr="000965BA" w14:paraId="60211775"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4842A1A"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p>
        </w:tc>
        <w:tc>
          <w:tcPr>
            <w:tcW w:w="992" w:type="dxa"/>
            <w:vAlign w:val="center"/>
          </w:tcPr>
          <w:p w14:paraId="7D4FE97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1.29</w:t>
            </w:r>
          </w:p>
        </w:tc>
        <w:tc>
          <w:tcPr>
            <w:tcW w:w="851" w:type="dxa"/>
            <w:vAlign w:val="center"/>
          </w:tcPr>
          <w:p w14:paraId="7DBC0850"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0.08</w:t>
            </w:r>
          </w:p>
        </w:tc>
        <w:tc>
          <w:tcPr>
            <w:tcW w:w="850" w:type="dxa"/>
            <w:vAlign w:val="center"/>
          </w:tcPr>
          <w:p w14:paraId="3197EAF6" w14:textId="77777777" w:rsidR="00FD168E" w:rsidRPr="000965BA" w:rsidRDefault="001A7A6F"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992" w:type="dxa"/>
            <w:vAlign w:val="center"/>
          </w:tcPr>
          <w:p w14:paraId="2C1DA99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993" w:type="dxa"/>
            <w:vAlign w:val="center"/>
          </w:tcPr>
          <w:p w14:paraId="090112D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950" w:type="dxa"/>
            <w:vAlign w:val="center"/>
          </w:tcPr>
          <w:p w14:paraId="093C0F3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1A7A6F" w:rsidRPr="000965BA" w14:paraId="3A92AAE8"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708DD937"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Ln(</w:t>
            </w:r>
            <w:r w:rsidR="00D65EAA" w:rsidRPr="000965BA">
              <w:rPr>
                <w:rFonts w:asciiTheme="minorHAnsi" w:hAnsiTheme="minorHAnsi"/>
                <w:color w:val="auto"/>
                <w:sz w:val="18"/>
                <w:szCs w:val="18"/>
                <w:lang w:val="en-GB"/>
              </w:rPr>
              <w:t>treatment</w:t>
            </w:r>
            <w:r w:rsidRPr="000965BA">
              <w:rPr>
                <w:rFonts w:asciiTheme="minorHAnsi" w:hAnsiTheme="minorHAnsi"/>
                <w:color w:val="auto"/>
                <w:sz w:val="18"/>
                <w:szCs w:val="18"/>
                <w:lang w:val="en-GB"/>
              </w:rPr>
              <w:t>s)</w:t>
            </w:r>
            <w:r w:rsidRPr="000965BA">
              <w:rPr>
                <w:rFonts w:asciiTheme="minorHAnsi" w:hAnsiTheme="minorHAnsi"/>
                <w:color w:val="auto"/>
                <w:sz w:val="18"/>
                <w:szCs w:val="18"/>
                <w:vertAlign w:val="superscript"/>
                <w:lang w:val="en-GB"/>
              </w:rPr>
              <w:t>2</w:t>
            </w:r>
          </w:p>
        </w:tc>
        <w:tc>
          <w:tcPr>
            <w:tcW w:w="992" w:type="dxa"/>
            <w:vAlign w:val="center"/>
          </w:tcPr>
          <w:p w14:paraId="0CD2FA8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-0.04</w:t>
            </w:r>
          </w:p>
        </w:tc>
        <w:tc>
          <w:tcPr>
            <w:tcW w:w="851" w:type="dxa"/>
            <w:vAlign w:val="center"/>
          </w:tcPr>
          <w:p w14:paraId="14E20E72"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0.01</w:t>
            </w:r>
          </w:p>
        </w:tc>
        <w:tc>
          <w:tcPr>
            <w:tcW w:w="850" w:type="dxa"/>
            <w:vAlign w:val="center"/>
          </w:tcPr>
          <w:p w14:paraId="3F50F97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0.004</w:t>
            </w:r>
          </w:p>
        </w:tc>
        <w:tc>
          <w:tcPr>
            <w:tcW w:w="992" w:type="dxa"/>
            <w:vAlign w:val="center"/>
          </w:tcPr>
          <w:p w14:paraId="2080149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993" w:type="dxa"/>
            <w:vAlign w:val="center"/>
          </w:tcPr>
          <w:p w14:paraId="6CA2B913"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950" w:type="dxa"/>
            <w:vAlign w:val="center"/>
          </w:tcPr>
          <w:p w14:paraId="39A2EE09"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r w:rsidR="001A7A6F" w:rsidRPr="000965BA" w14:paraId="7A684A2E" w14:textId="77777777" w:rsidTr="001A7A6F">
        <w:trPr>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27B365BE" w14:textId="77777777" w:rsidR="00FD168E" w:rsidRPr="000965BA" w:rsidRDefault="00FD168E" w:rsidP="00B04BB2">
            <w:pPr>
              <w:spacing w:line="276" w:lineRule="auto"/>
              <w:rPr>
                <w:rFonts w:asciiTheme="minorHAnsi" w:hAnsiTheme="minorHAnsi"/>
                <w:color w:val="auto"/>
                <w:sz w:val="18"/>
                <w:szCs w:val="18"/>
                <w:lang w:val="en-GB"/>
              </w:rPr>
            </w:pPr>
            <w:r w:rsidRPr="000965BA">
              <w:rPr>
                <w:rFonts w:asciiTheme="minorHAnsi" w:hAnsiTheme="minorHAnsi"/>
                <w:color w:val="auto"/>
                <w:sz w:val="18"/>
                <w:szCs w:val="18"/>
                <w:lang w:val="en-GB"/>
              </w:rPr>
              <w:t>Time trend</w:t>
            </w:r>
          </w:p>
        </w:tc>
        <w:tc>
          <w:tcPr>
            <w:tcW w:w="992" w:type="dxa"/>
            <w:vAlign w:val="center"/>
          </w:tcPr>
          <w:p w14:paraId="2852ED3C"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-0.02</w:t>
            </w:r>
          </w:p>
        </w:tc>
        <w:tc>
          <w:tcPr>
            <w:tcW w:w="851" w:type="dxa"/>
            <w:vAlign w:val="center"/>
          </w:tcPr>
          <w:p w14:paraId="1063EE04"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w:t>
            </w:r>
          </w:p>
        </w:tc>
        <w:tc>
          <w:tcPr>
            <w:tcW w:w="850" w:type="dxa"/>
            <w:vAlign w:val="center"/>
          </w:tcPr>
          <w:p w14:paraId="64AED369" w14:textId="77777777" w:rsidR="00FD168E" w:rsidRPr="000965BA" w:rsidRDefault="001A7A6F"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992" w:type="dxa"/>
            <w:vAlign w:val="center"/>
          </w:tcPr>
          <w:p w14:paraId="21F159AF" w14:textId="77777777" w:rsidR="00FD168E" w:rsidRPr="000965BA" w:rsidRDefault="00FD168E" w:rsidP="002367C5">
            <w:pPr>
              <w:spacing w:line="276"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993" w:type="dxa"/>
            <w:vAlign w:val="center"/>
          </w:tcPr>
          <w:p w14:paraId="430A4FB0"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c>
          <w:tcPr>
            <w:tcW w:w="1950" w:type="dxa"/>
            <w:vAlign w:val="center"/>
          </w:tcPr>
          <w:p w14:paraId="7D9FE6DB" w14:textId="77777777" w:rsidR="00FD168E" w:rsidRPr="000965BA" w:rsidRDefault="00FD168E" w:rsidP="00B20B59">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
        </w:tc>
      </w:tr>
      <w:tr w:rsidR="001A7A6F" w:rsidRPr="000965BA" w14:paraId="3FE86D5D" w14:textId="77777777" w:rsidTr="001A7A6F">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0DF2B2D6" w14:textId="77777777" w:rsidR="00FD168E" w:rsidRPr="000965BA" w:rsidRDefault="00FD168E" w:rsidP="00B20B59">
            <w:pPr>
              <w:spacing w:line="276" w:lineRule="auto"/>
              <w:jc w:val="both"/>
              <w:rPr>
                <w:rFonts w:asciiTheme="minorHAnsi" w:hAnsiTheme="minorHAnsi"/>
                <w:color w:val="auto"/>
                <w:sz w:val="18"/>
                <w:szCs w:val="18"/>
                <w:lang w:val="en-GB"/>
              </w:rPr>
            </w:pPr>
            <w:r w:rsidRPr="000965BA">
              <w:rPr>
                <w:rFonts w:asciiTheme="minorHAnsi" w:hAnsiTheme="minorHAnsi"/>
                <w:color w:val="auto"/>
                <w:sz w:val="18"/>
                <w:szCs w:val="18"/>
                <w:lang w:val="en-GB"/>
              </w:rPr>
              <w:t>Constant</w:t>
            </w:r>
          </w:p>
        </w:tc>
        <w:tc>
          <w:tcPr>
            <w:tcW w:w="992" w:type="dxa"/>
            <w:vAlign w:val="center"/>
          </w:tcPr>
          <w:p w14:paraId="32C3736A"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33.68</w:t>
            </w:r>
          </w:p>
        </w:tc>
        <w:tc>
          <w:tcPr>
            <w:tcW w:w="851" w:type="dxa"/>
            <w:vAlign w:val="center"/>
          </w:tcPr>
          <w:p w14:paraId="0F2F81C7"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3.42</w:t>
            </w:r>
          </w:p>
        </w:tc>
        <w:tc>
          <w:tcPr>
            <w:tcW w:w="850" w:type="dxa"/>
            <w:vAlign w:val="center"/>
          </w:tcPr>
          <w:p w14:paraId="2C9261B9" w14:textId="77777777" w:rsidR="00FD168E" w:rsidRPr="000965BA" w:rsidRDefault="001A7A6F"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0.000</w:t>
            </w:r>
          </w:p>
        </w:tc>
        <w:tc>
          <w:tcPr>
            <w:tcW w:w="992" w:type="dxa"/>
            <w:vAlign w:val="center"/>
          </w:tcPr>
          <w:p w14:paraId="06BBB30D" w14:textId="77777777" w:rsidR="00FD168E" w:rsidRPr="000965BA" w:rsidRDefault="00FD168E" w:rsidP="002367C5">
            <w:pPr>
              <w:spacing w:line="276"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993" w:type="dxa"/>
            <w:vAlign w:val="center"/>
          </w:tcPr>
          <w:p w14:paraId="69D0C014"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c>
          <w:tcPr>
            <w:tcW w:w="1950" w:type="dxa"/>
            <w:vAlign w:val="center"/>
          </w:tcPr>
          <w:p w14:paraId="0865AE9D" w14:textId="77777777" w:rsidR="00FD168E" w:rsidRPr="000965BA" w:rsidRDefault="00FD168E"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
        </w:tc>
      </w:tr>
    </w:tbl>
    <w:p w14:paraId="52B868B1" w14:textId="77777777" w:rsidR="00FD168E" w:rsidRPr="000965BA" w:rsidRDefault="00FD168E" w:rsidP="00B20B59">
      <w:pPr>
        <w:spacing w:line="360" w:lineRule="auto"/>
        <w:jc w:val="both"/>
        <w:rPr>
          <w:rFonts w:asciiTheme="minorHAnsi" w:hAnsiTheme="minorHAnsi"/>
          <w:szCs w:val="22"/>
          <w:lang w:val="en-GB"/>
        </w:rPr>
      </w:pPr>
    </w:p>
    <w:p w14:paraId="07953B53" w14:textId="77777777" w:rsidR="00FD168E" w:rsidRPr="000965BA" w:rsidRDefault="00FD168E" w:rsidP="00B20B59">
      <w:pPr>
        <w:spacing w:line="360" w:lineRule="auto"/>
        <w:jc w:val="both"/>
        <w:rPr>
          <w:rFonts w:asciiTheme="minorHAnsi" w:hAnsiTheme="minorHAnsi"/>
          <w:b/>
          <w:szCs w:val="22"/>
          <w:lang w:val="en-GB"/>
        </w:rPr>
      </w:pPr>
    </w:p>
    <w:p w14:paraId="03119DA6" w14:textId="77777777" w:rsidR="00330BC3" w:rsidRPr="000965BA" w:rsidRDefault="00330BC3" w:rsidP="00B20B59">
      <w:pPr>
        <w:jc w:val="both"/>
        <w:rPr>
          <w:rFonts w:asciiTheme="minorHAnsi" w:hAnsiTheme="minorHAnsi"/>
          <w:szCs w:val="22"/>
          <w:lang w:val="en-GB"/>
        </w:rPr>
      </w:pPr>
      <w:r w:rsidRPr="000965BA">
        <w:rPr>
          <w:rFonts w:asciiTheme="minorHAnsi" w:hAnsiTheme="minorHAnsi"/>
          <w:szCs w:val="22"/>
          <w:lang w:val="en-GB"/>
        </w:rPr>
        <w:br w:type="page"/>
      </w:r>
    </w:p>
    <w:p w14:paraId="55D98926" w14:textId="77777777" w:rsidR="00367154" w:rsidRPr="000965BA" w:rsidRDefault="00330BC3" w:rsidP="00B20B59">
      <w:pPr>
        <w:spacing w:line="360" w:lineRule="auto"/>
        <w:jc w:val="both"/>
        <w:rPr>
          <w:rFonts w:asciiTheme="minorHAnsi" w:hAnsiTheme="minorHAnsi"/>
          <w:b/>
          <w:szCs w:val="22"/>
          <w:lang w:val="en-GB"/>
        </w:rPr>
      </w:pPr>
      <w:r w:rsidRPr="000965BA">
        <w:rPr>
          <w:rFonts w:asciiTheme="minorHAnsi" w:hAnsiTheme="minorHAnsi"/>
          <w:b/>
          <w:szCs w:val="22"/>
          <w:lang w:val="en-GB"/>
        </w:rPr>
        <w:lastRenderedPageBreak/>
        <w:t>Appendix 3: Robustness checks</w:t>
      </w:r>
    </w:p>
    <w:p w14:paraId="156F5837" w14:textId="77777777" w:rsidR="00B04BB2" w:rsidRPr="000965BA" w:rsidRDefault="008F1F3D" w:rsidP="00B20B59">
      <w:pPr>
        <w:spacing w:line="360" w:lineRule="auto"/>
        <w:jc w:val="both"/>
        <w:rPr>
          <w:rFonts w:asciiTheme="minorHAnsi" w:hAnsiTheme="minorHAnsi"/>
          <w:szCs w:val="22"/>
          <w:lang w:val="en-GB"/>
        </w:rPr>
      </w:pPr>
      <w:r w:rsidRPr="000965BA">
        <w:rPr>
          <w:rFonts w:asciiTheme="minorHAnsi" w:hAnsiTheme="minorHAnsi"/>
          <w:szCs w:val="22"/>
          <w:lang w:val="en-GB"/>
        </w:rPr>
        <w:t xml:space="preserve">Table </w:t>
      </w:r>
      <w:r w:rsidR="009842CC" w:rsidRPr="000965BA">
        <w:rPr>
          <w:rFonts w:asciiTheme="minorHAnsi" w:hAnsiTheme="minorHAnsi"/>
          <w:szCs w:val="22"/>
          <w:lang w:val="en-GB"/>
        </w:rPr>
        <w:t>11</w:t>
      </w:r>
      <w:r w:rsidRPr="000965BA">
        <w:rPr>
          <w:rFonts w:asciiTheme="minorHAnsi" w:hAnsiTheme="minorHAnsi"/>
          <w:szCs w:val="22"/>
          <w:lang w:val="en-GB"/>
        </w:rPr>
        <w:t xml:space="preserve"> summarizes the results of the robustness checks. Individual regression outcomes, specifics and descriptive statistics are available from the authors on demand. </w:t>
      </w:r>
    </w:p>
    <w:p w14:paraId="6B98058D" w14:textId="77777777" w:rsidR="00D24961" w:rsidRPr="000965BA" w:rsidRDefault="00D24961" w:rsidP="00B20B59">
      <w:pPr>
        <w:spacing w:line="360" w:lineRule="auto"/>
        <w:jc w:val="both"/>
        <w:rPr>
          <w:rFonts w:asciiTheme="minorHAnsi" w:hAnsiTheme="minorHAnsi"/>
          <w:szCs w:val="22"/>
          <w:lang w:val="en-GB"/>
        </w:rPr>
      </w:pPr>
    </w:p>
    <w:tbl>
      <w:tblPr>
        <w:tblStyle w:val="Lichtearcering1"/>
        <w:tblW w:w="0" w:type="auto"/>
        <w:tblLook w:val="04A0" w:firstRow="1" w:lastRow="0" w:firstColumn="1" w:lastColumn="0" w:noHBand="0" w:noVBand="1"/>
      </w:tblPr>
      <w:tblGrid>
        <w:gridCol w:w="399"/>
        <w:gridCol w:w="2229"/>
        <w:gridCol w:w="3148"/>
        <w:gridCol w:w="1463"/>
        <w:gridCol w:w="1833"/>
      </w:tblGrid>
      <w:tr w:rsidR="009B2A60" w:rsidRPr="004E190D" w14:paraId="77E657CF" w14:textId="77777777" w:rsidTr="009B2A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5"/>
          </w:tcPr>
          <w:p w14:paraId="4219EEAE" w14:textId="77777777" w:rsidR="009B2A60" w:rsidRPr="000965BA" w:rsidRDefault="009B2A60" w:rsidP="00B20B59">
            <w:pPr>
              <w:spacing w:line="276" w:lineRule="auto"/>
              <w:jc w:val="both"/>
              <w:rPr>
                <w:rFonts w:asciiTheme="minorHAnsi" w:hAnsiTheme="minorHAnsi"/>
                <w:sz w:val="18"/>
                <w:szCs w:val="18"/>
                <w:lang w:val="en-GB"/>
              </w:rPr>
            </w:pPr>
            <w:r w:rsidRPr="000965BA">
              <w:rPr>
                <w:rFonts w:asciiTheme="minorHAnsi" w:hAnsiTheme="minorHAnsi"/>
                <w:sz w:val="18"/>
                <w:szCs w:val="18"/>
                <w:lang w:val="en-GB"/>
              </w:rPr>
              <w:t>Table 11: summary of robustness checks</w:t>
            </w:r>
          </w:p>
        </w:tc>
      </w:tr>
      <w:tr w:rsidR="009B2A60" w:rsidRPr="000965BA" w14:paraId="45688D4B"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5AC38ECB" w14:textId="77777777" w:rsidR="009B2A60" w:rsidRPr="000965BA" w:rsidRDefault="009B2A60" w:rsidP="00B20B59">
            <w:pPr>
              <w:spacing w:line="276" w:lineRule="auto"/>
              <w:jc w:val="both"/>
              <w:rPr>
                <w:rFonts w:asciiTheme="minorHAnsi" w:hAnsiTheme="minorHAnsi"/>
                <w:sz w:val="18"/>
                <w:szCs w:val="18"/>
                <w:lang w:val="en-GB"/>
              </w:rPr>
            </w:pPr>
          </w:p>
        </w:tc>
        <w:tc>
          <w:tcPr>
            <w:tcW w:w="0" w:type="auto"/>
            <w:tcBorders>
              <w:top w:val="nil"/>
              <w:bottom w:val="single" w:sz="4" w:space="0" w:color="auto"/>
            </w:tcBorders>
          </w:tcPr>
          <w:p w14:paraId="1B49DF7C" w14:textId="77777777" w:rsidR="009B2A60" w:rsidRPr="000965BA" w:rsidRDefault="009B2A60"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Robustness checks</w:t>
            </w:r>
          </w:p>
        </w:tc>
        <w:tc>
          <w:tcPr>
            <w:tcW w:w="0" w:type="auto"/>
            <w:tcBorders>
              <w:top w:val="nil"/>
              <w:bottom w:val="single" w:sz="4" w:space="0" w:color="auto"/>
            </w:tcBorders>
          </w:tcPr>
          <w:p w14:paraId="7C0F5470" w14:textId="77777777" w:rsidR="009B2A60" w:rsidRPr="000965BA" w:rsidRDefault="009B2A60"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sz w:val="18"/>
                <w:szCs w:val="18"/>
                <w:lang w:val="en-GB"/>
              </w:rPr>
            </w:pPr>
            <w:r w:rsidRPr="000965BA">
              <w:rPr>
                <w:rFonts w:asciiTheme="minorHAnsi" w:hAnsiTheme="minorHAnsi"/>
                <w:b/>
                <w:color w:val="auto"/>
                <w:sz w:val="18"/>
                <w:szCs w:val="18"/>
                <w:lang w:val="en-GB"/>
              </w:rPr>
              <w:t>Description</w:t>
            </w:r>
          </w:p>
        </w:tc>
        <w:tc>
          <w:tcPr>
            <w:tcW w:w="0" w:type="auto"/>
            <w:tcBorders>
              <w:top w:val="nil"/>
              <w:bottom w:val="single" w:sz="4" w:space="0" w:color="auto"/>
            </w:tcBorders>
          </w:tcPr>
          <w:p w14:paraId="732735F5" w14:textId="77777777" w:rsidR="009B2A60" w:rsidRPr="000965BA" w:rsidRDefault="009B2A60"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sz w:val="18"/>
                <w:szCs w:val="18"/>
                <w:lang w:val="en-GB"/>
              </w:rPr>
            </w:pPr>
            <w:r w:rsidRPr="000965BA">
              <w:rPr>
                <w:rFonts w:asciiTheme="minorHAnsi" w:hAnsiTheme="minorHAnsi"/>
                <w:b/>
                <w:color w:val="auto"/>
                <w:sz w:val="18"/>
                <w:szCs w:val="18"/>
                <w:lang w:val="en-GB"/>
              </w:rPr>
              <w:t>Estimated threshold</w:t>
            </w:r>
          </w:p>
        </w:tc>
        <w:tc>
          <w:tcPr>
            <w:tcW w:w="0" w:type="auto"/>
            <w:tcBorders>
              <w:top w:val="nil"/>
              <w:bottom w:val="single" w:sz="4" w:space="0" w:color="auto"/>
            </w:tcBorders>
          </w:tcPr>
          <w:p w14:paraId="424E0026" w14:textId="77777777" w:rsidR="009B2A60" w:rsidRPr="000965BA" w:rsidRDefault="009B2A60" w:rsidP="00B20B59">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sz w:val="18"/>
                <w:szCs w:val="18"/>
                <w:lang w:val="en-GB"/>
              </w:rPr>
            </w:pPr>
            <w:r w:rsidRPr="000965BA">
              <w:rPr>
                <w:rFonts w:asciiTheme="minorHAnsi" w:hAnsiTheme="minorHAnsi"/>
                <w:b/>
                <w:color w:val="auto"/>
                <w:sz w:val="18"/>
                <w:szCs w:val="18"/>
                <w:lang w:val="en-GB"/>
              </w:rPr>
              <w:t>Confidence intervals</w:t>
            </w:r>
          </w:p>
        </w:tc>
      </w:tr>
      <w:tr w:rsidR="009B2A60" w:rsidRPr="000965BA" w14:paraId="01031EA2" w14:textId="77777777" w:rsidTr="009B2A60">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14:paraId="570147C4"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1</w:t>
            </w:r>
          </w:p>
        </w:tc>
        <w:tc>
          <w:tcPr>
            <w:tcW w:w="0" w:type="auto"/>
            <w:tcBorders>
              <w:top w:val="single" w:sz="4" w:space="0" w:color="auto"/>
            </w:tcBorders>
          </w:tcPr>
          <w:p w14:paraId="672B1C04"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en-GB"/>
              </w:rPr>
            </w:pPr>
            <w:r w:rsidRPr="000965BA">
              <w:rPr>
                <w:rFonts w:asciiTheme="minorHAnsi" w:hAnsiTheme="minorHAnsi"/>
                <w:sz w:val="18"/>
                <w:szCs w:val="18"/>
                <w:lang w:val="en-GB"/>
              </w:rPr>
              <w:t>Discount rate</w:t>
            </w:r>
          </w:p>
        </w:tc>
        <w:tc>
          <w:tcPr>
            <w:tcW w:w="0" w:type="auto"/>
          </w:tcPr>
          <w:p w14:paraId="7BDEC248"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en-GB"/>
              </w:rPr>
            </w:pPr>
            <w:r w:rsidRPr="000965BA">
              <w:rPr>
                <w:rFonts w:asciiTheme="minorHAnsi" w:hAnsiTheme="minorHAnsi"/>
                <w:sz w:val="18"/>
                <w:szCs w:val="18"/>
                <w:lang w:val="en-GB"/>
              </w:rPr>
              <w:t>Discount rate is varied between 0% and 5%.</w:t>
            </w:r>
          </w:p>
        </w:tc>
        <w:tc>
          <w:tcPr>
            <w:tcW w:w="0" w:type="auto"/>
          </w:tcPr>
          <w:p w14:paraId="2BD03586"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en-GB"/>
              </w:rPr>
            </w:pPr>
            <w:r w:rsidRPr="000965BA">
              <w:rPr>
                <w:rFonts w:asciiTheme="minorHAnsi" w:hAnsiTheme="minorHAnsi"/>
                <w:sz w:val="18"/>
                <w:szCs w:val="18"/>
                <w:lang w:val="en-GB"/>
              </w:rPr>
              <w:t>€ 73,600 per QALY (1,5%)</w:t>
            </w:r>
          </w:p>
        </w:tc>
        <w:tc>
          <w:tcPr>
            <w:tcW w:w="0" w:type="auto"/>
          </w:tcPr>
          <w:p w14:paraId="6DA228C6"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18"/>
                <w:szCs w:val="18"/>
                <w:lang w:val="en-GB"/>
              </w:rPr>
            </w:pPr>
            <w:r w:rsidRPr="000965BA">
              <w:rPr>
                <w:rFonts w:asciiTheme="minorHAnsi" w:hAnsiTheme="minorHAnsi"/>
                <w:sz w:val="18"/>
                <w:szCs w:val="18"/>
                <w:lang w:val="en-GB"/>
              </w:rPr>
              <w:t>€ 66,500 (0%) to € 90,200 (5%) per QALY</w:t>
            </w:r>
          </w:p>
        </w:tc>
      </w:tr>
      <w:tr w:rsidR="009B2A60" w:rsidRPr="000965BA" w14:paraId="7B13FC5A"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FBAD323"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2</w:t>
            </w:r>
          </w:p>
        </w:tc>
        <w:tc>
          <w:tcPr>
            <w:tcW w:w="0" w:type="auto"/>
          </w:tcPr>
          <w:p w14:paraId="6D42DEF3"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Cobb-Douglas specification</w:t>
            </w:r>
          </w:p>
        </w:tc>
        <w:tc>
          <w:tcPr>
            <w:tcW w:w="0" w:type="auto"/>
          </w:tcPr>
          <w:p w14:paraId="396FF19C"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A specific health production function with diminishing marginal returns and constant elasticity of substitution.</w:t>
            </w:r>
          </w:p>
        </w:tc>
        <w:tc>
          <w:tcPr>
            <w:tcW w:w="0" w:type="auto"/>
          </w:tcPr>
          <w:p w14:paraId="1694C5B7"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€140,000 per QALY</w:t>
            </w:r>
          </w:p>
        </w:tc>
        <w:tc>
          <w:tcPr>
            <w:tcW w:w="0" w:type="auto"/>
          </w:tcPr>
          <w:p w14:paraId="6471C15D"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€ 113,000 - € 185,000 </w:t>
            </w:r>
            <w:r w:rsidRPr="000965BA">
              <w:rPr>
                <w:rFonts w:asciiTheme="minorHAnsi" w:hAnsiTheme="minorHAnsi"/>
                <w:sz w:val="18"/>
                <w:szCs w:val="18"/>
                <w:lang w:val="en-GB"/>
              </w:rPr>
              <w:t>per QALY</w:t>
            </w:r>
          </w:p>
        </w:tc>
      </w:tr>
      <w:tr w:rsidR="009B2A60" w:rsidRPr="000965BA" w14:paraId="1AC83AAA" w14:textId="77777777" w:rsidTr="009B2A60">
        <w:tc>
          <w:tcPr>
            <w:cnfStyle w:val="001000000000" w:firstRow="0" w:lastRow="0" w:firstColumn="1" w:lastColumn="0" w:oddVBand="0" w:evenVBand="0" w:oddHBand="0" w:evenHBand="0" w:firstRowFirstColumn="0" w:firstRowLastColumn="0" w:lastRowFirstColumn="0" w:lastRowLastColumn="0"/>
            <w:tcW w:w="0" w:type="auto"/>
          </w:tcPr>
          <w:p w14:paraId="48C4F44B"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3</w:t>
            </w:r>
          </w:p>
        </w:tc>
        <w:tc>
          <w:tcPr>
            <w:tcW w:w="0" w:type="auto"/>
          </w:tcPr>
          <w:p w14:paraId="46DCB4CB"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Cobb-Douglas specification, mortality only</w:t>
            </w:r>
          </w:p>
        </w:tc>
        <w:tc>
          <w:tcPr>
            <w:tcW w:w="0" w:type="auto"/>
          </w:tcPr>
          <w:p w14:paraId="1C109788"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Cobb-Douglas health production function, only patient groups with mortality analyzed</w:t>
            </w:r>
          </w:p>
        </w:tc>
        <w:tc>
          <w:tcPr>
            <w:tcW w:w="0" w:type="auto"/>
          </w:tcPr>
          <w:p w14:paraId="4391F055"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€104,000 per QALY</w:t>
            </w:r>
          </w:p>
        </w:tc>
        <w:tc>
          <w:tcPr>
            <w:tcW w:w="0" w:type="auto"/>
          </w:tcPr>
          <w:p w14:paraId="50BDC1FF"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€ 88,000 - € 129,000 per QALY</w:t>
            </w:r>
          </w:p>
        </w:tc>
      </w:tr>
      <w:tr w:rsidR="009B2A60" w:rsidRPr="000965BA" w14:paraId="64F8B47E"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7F5C3C"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4</w:t>
            </w:r>
          </w:p>
        </w:tc>
        <w:tc>
          <w:tcPr>
            <w:tcW w:w="0" w:type="auto"/>
          </w:tcPr>
          <w:p w14:paraId="4702206B"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Linear specification</w:t>
            </w:r>
          </w:p>
        </w:tc>
        <w:tc>
          <w:tcPr>
            <w:tcW w:w="0" w:type="auto"/>
          </w:tcPr>
          <w:p w14:paraId="37A292AC"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A linear production function with constant marginal returns and elasticity of substitution</w:t>
            </w:r>
          </w:p>
        </w:tc>
        <w:tc>
          <w:tcPr>
            <w:tcW w:w="0" w:type="auto"/>
          </w:tcPr>
          <w:p w14:paraId="72E1963D"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€184,000 per QALY</w:t>
            </w:r>
          </w:p>
        </w:tc>
        <w:tc>
          <w:tcPr>
            <w:tcW w:w="0" w:type="auto"/>
          </w:tcPr>
          <w:p w14:paraId="534DA67C"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€ 115,000 - € 472,000 per QALY</w:t>
            </w:r>
          </w:p>
        </w:tc>
      </w:tr>
      <w:tr w:rsidR="009B2A60" w:rsidRPr="000965BA" w14:paraId="4E70D91D" w14:textId="77777777" w:rsidTr="009B2A60">
        <w:trPr>
          <w:trHeight w:val="590"/>
        </w:trPr>
        <w:tc>
          <w:tcPr>
            <w:cnfStyle w:val="001000000000" w:firstRow="0" w:lastRow="0" w:firstColumn="1" w:lastColumn="0" w:oddVBand="0" w:evenVBand="0" w:oddHBand="0" w:evenHBand="0" w:firstRowFirstColumn="0" w:firstRowLastColumn="0" w:lastRowFirstColumn="0" w:lastRowLastColumn="0"/>
            <w:tcW w:w="0" w:type="auto"/>
          </w:tcPr>
          <w:p w14:paraId="3431309F"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5</w:t>
            </w:r>
          </w:p>
        </w:tc>
        <w:tc>
          <w:tcPr>
            <w:tcW w:w="0" w:type="auto"/>
          </w:tcPr>
          <w:p w14:paraId="5E231E59"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Random effects specification</w:t>
            </w:r>
          </w:p>
        </w:tc>
        <w:tc>
          <w:tcPr>
            <w:tcW w:w="0" w:type="auto"/>
          </w:tcPr>
          <w:p w14:paraId="04502D54"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production function allowing for random variation in the estimated effect</w:t>
            </w:r>
          </w:p>
        </w:tc>
        <w:tc>
          <w:tcPr>
            <w:tcW w:w="0" w:type="auto"/>
          </w:tcPr>
          <w:p w14:paraId="12E79FB3"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Not valid</w:t>
            </w:r>
          </w:p>
        </w:tc>
        <w:tc>
          <w:tcPr>
            <w:tcW w:w="0" w:type="auto"/>
          </w:tcPr>
          <w:p w14:paraId="5AE641A2"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Hausman test rejected (P&lt;0.0001)</w:t>
            </w:r>
          </w:p>
        </w:tc>
      </w:tr>
      <w:tr w:rsidR="009B2A60" w:rsidRPr="000965BA" w14:paraId="7F95170F"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A4611A3"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6</w:t>
            </w:r>
          </w:p>
        </w:tc>
        <w:tc>
          <w:tcPr>
            <w:tcW w:w="0" w:type="auto"/>
          </w:tcPr>
          <w:p w14:paraId="4D1F8DD4"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Proportional multimorbidity correction </w:t>
            </w:r>
          </w:p>
        </w:tc>
        <w:tc>
          <w:tcPr>
            <w:tcW w:w="0" w:type="auto"/>
          </w:tcPr>
          <w:p w14:paraId="4E90E245"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Patient groups are defined on first opened DRG, mortality is appointed proportionally</w:t>
            </w:r>
          </w:p>
        </w:tc>
        <w:tc>
          <w:tcPr>
            <w:tcW w:w="0" w:type="auto"/>
          </w:tcPr>
          <w:p w14:paraId="27454C42"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€201,000 per QALY</w:t>
            </w:r>
          </w:p>
        </w:tc>
        <w:tc>
          <w:tcPr>
            <w:tcW w:w="0" w:type="auto"/>
          </w:tcPr>
          <w:p w14:paraId="288B35A1"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€ 143,000 - € 271,000 per QALY</w:t>
            </w:r>
          </w:p>
        </w:tc>
      </w:tr>
      <w:tr w:rsidR="009B2A60" w:rsidRPr="000965BA" w14:paraId="7E44776D" w14:textId="77777777" w:rsidTr="009B2A60">
        <w:tc>
          <w:tcPr>
            <w:cnfStyle w:val="001000000000" w:firstRow="0" w:lastRow="0" w:firstColumn="1" w:lastColumn="0" w:oddVBand="0" w:evenVBand="0" w:oddHBand="0" w:evenHBand="0" w:firstRowFirstColumn="0" w:firstRowLastColumn="0" w:lastRowFirstColumn="0" w:lastRowLastColumn="0"/>
            <w:tcW w:w="0" w:type="auto"/>
          </w:tcPr>
          <w:p w14:paraId="15A295C9"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7</w:t>
            </w:r>
          </w:p>
        </w:tc>
        <w:tc>
          <w:tcPr>
            <w:tcW w:w="0" w:type="auto"/>
          </w:tcPr>
          <w:p w14:paraId="1958F2E6"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Estimated multimorbidity correction</w:t>
            </w:r>
          </w:p>
        </w:tc>
        <w:tc>
          <w:tcPr>
            <w:tcW w:w="0" w:type="auto"/>
          </w:tcPr>
          <w:p w14:paraId="046B21D9"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Patient groups are defined on first opened DRG, mortality is estimated on spending patterns</w:t>
            </w:r>
          </w:p>
        </w:tc>
        <w:tc>
          <w:tcPr>
            <w:tcW w:w="0" w:type="auto"/>
          </w:tcPr>
          <w:p w14:paraId="1CFE2F77"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€49,600 per QALY</w:t>
            </w:r>
          </w:p>
        </w:tc>
        <w:tc>
          <w:tcPr>
            <w:tcW w:w="0" w:type="auto"/>
          </w:tcPr>
          <w:p w14:paraId="5E6FB375"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€ 46,000 - € 63,000 per QALY</w:t>
            </w:r>
          </w:p>
        </w:tc>
      </w:tr>
      <w:tr w:rsidR="009B2A60" w:rsidRPr="000965BA" w14:paraId="614F9D9D"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3A68E54"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8</w:t>
            </w:r>
          </w:p>
        </w:tc>
        <w:tc>
          <w:tcPr>
            <w:tcW w:w="0" w:type="auto"/>
          </w:tcPr>
          <w:p w14:paraId="47AEFE90"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Per patient specification</w:t>
            </w:r>
          </w:p>
        </w:tc>
        <w:tc>
          <w:tcPr>
            <w:tcW w:w="0" w:type="auto"/>
          </w:tcPr>
          <w:p w14:paraId="1F68B02F"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model relating per patient outcomes to per patient spending</w:t>
            </w:r>
          </w:p>
        </w:tc>
        <w:tc>
          <w:tcPr>
            <w:tcW w:w="0" w:type="auto"/>
          </w:tcPr>
          <w:p w14:paraId="0E3BB4B3"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€176,000 per QALY</w:t>
            </w:r>
          </w:p>
        </w:tc>
        <w:tc>
          <w:tcPr>
            <w:tcW w:w="0" w:type="auto"/>
          </w:tcPr>
          <w:p w14:paraId="238FDE4B"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€ 116,000 - € 237,000 per QALY</w:t>
            </w:r>
          </w:p>
        </w:tc>
      </w:tr>
      <w:tr w:rsidR="009B2A60" w:rsidRPr="000965BA" w14:paraId="4CA12CE5" w14:textId="77777777" w:rsidTr="009B2A60">
        <w:tc>
          <w:tcPr>
            <w:cnfStyle w:val="001000000000" w:firstRow="0" w:lastRow="0" w:firstColumn="1" w:lastColumn="0" w:oddVBand="0" w:evenVBand="0" w:oddHBand="0" w:evenHBand="0" w:firstRowFirstColumn="0" w:firstRowLastColumn="0" w:lastRowFirstColumn="0" w:lastRowLastColumn="0"/>
            <w:tcW w:w="0" w:type="auto"/>
          </w:tcPr>
          <w:p w14:paraId="465E7CFB" w14:textId="77777777" w:rsidR="009B2A60" w:rsidRPr="000965BA" w:rsidRDefault="009B2A60" w:rsidP="002367C5">
            <w:pPr>
              <w:spacing w:line="276" w:lineRule="auto"/>
              <w:rPr>
                <w:rFonts w:asciiTheme="minorHAnsi" w:hAnsiTheme="minorHAnsi"/>
                <w:sz w:val="18"/>
                <w:szCs w:val="18"/>
                <w:lang w:val="en-GB"/>
              </w:rPr>
            </w:pPr>
            <w:r>
              <w:rPr>
                <w:rFonts w:asciiTheme="minorHAnsi" w:hAnsiTheme="minorHAnsi"/>
                <w:sz w:val="18"/>
                <w:szCs w:val="18"/>
                <w:lang w:val="en-GB"/>
              </w:rPr>
              <w:t>9</w:t>
            </w:r>
          </w:p>
        </w:tc>
        <w:tc>
          <w:tcPr>
            <w:tcW w:w="0" w:type="auto"/>
          </w:tcPr>
          <w:p w14:paraId="31ED8712"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Linear per patient specification</w:t>
            </w:r>
          </w:p>
        </w:tc>
        <w:tc>
          <w:tcPr>
            <w:tcW w:w="0" w:type="auto"/>
          </w:tcPr>
          <w:p w14:paraId="006387DF"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Linear model relating per patient outcomes to per patient spending</w:t>
            </w:r>
          </w:p>
        </w:tc>
        <w:tc>
          <w:tcPr>
            <w:tcW w:w="0" w:type="auto"/>
          </w:tcPr>
          <w:p w14:paraId="056030AF"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€85.000 per QALY</w:t>
            </w:r>
          </w:p>
        </w:tc>
        <w:tc>
          <w:tcPr>
            <w:tcW w:w="0" w:type="auto"/>
          </w:tcPr>
          <w:p w14:paraId="563865AB"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€ 58,000 - € 153,000 per QALY</w:t>
            </w:r>
          </w:p>
        </w:tc>
      </w:tr>
      <w:tr w:rsidR="009B2A60" w:rsidRPr="000965BA" w14:paraId="3B43C14A"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4423BB"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10</w:t>
            </w:r>
          </w:p>
        </w:tc>
        <w:tc>
          <w:tcPr>
            <w:tcW w:w="0" w:type="auto"/>
          </w:tcPr>
          <w:p w14:paraId="771BB544"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Only mortality as outcome</w:t>
            </w:r>
          </w:p>
        </w:tc>
        <w:tc>
          <w:tcPr>
            <w:tcW w:w="0" w:type="auto"/>
          </w:tcPr>
          <w:p w14:paraId="7D05E6F6"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Only mortality QALYS are used as </w:t>
            </w:r>
            <w:proofErr w:type="spellStart"/>
            <w:r w:rsidRPr="000965BA">
              <w:rPr>
                <w:rFonts w:asciiTheme="minorHAnsi" w:hAnsiTheme="minorHAnsi"/>
                <w:color w:val="auto"/>
                <w:sz w:val="18"/>
                <w:szCs w:val="18"/>
                <w:lang w:val="en-GB"/>
              </w:rPr>
              <w:t>oucome</w:t>
            </w:r>
            <w:proofErr w:type="spellEnd"/>
            <w:r w:rsidRPr="000965BA">
              <w:rPr>
                <w:rFonts w:asciiTheme="minorHAnsi" w:hAnsiTheme="minorHAnsi"/>
                <w:color w:val="auto"/>
                <w:sz w:val="18"/>
                <w:szCs w:val="18"/>
                <w:lang w:val="en-GB"/>
              </w:rPr>
              <w:t xml:space="preserve"> measure in the </w:t>
            </w: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function</w:t>
            </w:r>
          </w:p>
        </w:tc>
        <w:tc>
          <w:tcPr>
            <w:tcW w:w="0" w:type="auto"/>
          </w:tcPr>
          <w:p w14:paraId="667A75E8"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€89.000 per QALY</w:t>
            </w:r>
          </w:p>
        </w:tc>
        <w:tc>
          <w:tcPr>
            <w:tcW w:w="0" w:type="auto"/>
          </w:tcPr>
          <w:p w14:paraId="030A3FF1"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€ 75,000 - € 102,000 per QALY</w:t>
            </w:r>
          </w:p>
        </w:tc>
      </w:tr>
      <w:tr w:rsidR="009B2A60" w:rsidRPr="000965BA" w14:paraId="1F936E8D" w14:textId="77777777" w:rsidTr="009B2A60">
        <w:trPr>
          <w:trHeight w:val="627"/>
        </w:trPr>
        <w:tc>
          <w:tcPr>
            <w:cnfStyle w:val="001000000000" w:firstRow="0" w:lastRow="0" w:firstColumn="1" w:lastColumn="0" w:oddVBand="0" w:evenVBand="0" w:oddHBand="0" w:evenHBand="0" w:firstRowFirstColumn="0" w:firstRowLastColumn="0" w:lastRowFirstColumn="0" w:lastRowLastColumn="0"/>
            <w:tcW w:w="0" w:type="auto"/>
          </w:tcPr>
          <w:p w14:paraId="315B0B54"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11</w:t>
            </w:r>
          </w:p>
        </w:tc>
        <w:tc>
          <w:tcPr>
            <w:tcW w:w="0" w:type="auto"/>
          </w:tcPr>
          <w:p w14:paraId="0CCE5F06"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Estimation of cost per death avoided</w:t>
            </w:r>
          </w:p>
        </w:tc>
        <w:tc>
          <w:tcPr>
            <w:tcW w:w="0" w:type="auto"/>
          </w:tcPr>
          <w:p w14:paraId="642023EC"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xml:space="preserve">Mortality is used as outcome measure in the </w:t>
            </w:r>
            <w:proofErr w:type="spellStart"/>
            <w:r w:rsidRPr="000965BA">
              <w:rPr>
                <w:rFonts w:asciiTheme="minorHAnsi" w:hAnsiTheme="minorHAnsi"/>
                <w:color w:val="auto"/>
                <w:sz w:val="18"/>
                <w:szCs w:val="18"/>
                <w:lang w:val="en-GB"/>
              </w:rPr>
              <w:t>translog</w:t>
            </w:r>
            <w:proofErr w:type="spellEnd"/>
            <w:r w:rsidRPr="000965BA">
              <w:rPr>
                <w:rFonts w:asciiTheme="minorHAnsi" w:hAnsiTheme="minorHAnsi"/>
                <w:color w:val="auto"/>
                <w:sz w:val="18"/>
                <w:szCs w:val="18"/>
                <w:lang w:val="en-GB"/>
              </w:rPr>
              <w:t xml:space="preserve"> model</w:t>
            </w:r>
          </w:p>
        </w:tc>
        <w:tc>
          <w:tcPr>
            <w:tcW w:w="0" w:type="auto"/>
          </w:tcPr>
          <w:p w14:paraId="400EFE29"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€ 475,000 per life lost (61-65 years)</w:t>
            </w:r>
          </w:p>
        </w:tc>
        <w:tc>
          <w:tcPr>
            <w:tcW w:w="0" w:type="auto"/>
          </w:tcPr>
          <w:p w14:paraId="1A39342D"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€12 million (0 years) – €43,000 (96+ years)</w:t>
            </w:r>
          </w:p>
        </w:tc>
      </w:tr>
      <w:tr w:rsidR="009B2A60" w:rsidRPr="000965BA" w14:paraId="5DA29CC4"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604E6A5"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12</w:t>
            </w:r>
          </w:p>
        </w:tc>
        <w:tc>
          <w:tcPr>
            <w:tcW w:w="0" w:type="auto"/>
          </w:tcPr>
          <w:p w14:paraId="35113676"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Estimation of cost per death avoided is transformed to QALYs</w:t>
            </w:r>
          </w:p>
        </w:tc>
        <w:tc>
          <w:tcPr>
            <w:tcW w:w="0" w:type="auto"/>
          </w:tcPr>
          <w:p w14:paraId="706323B5"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Elasticity of spending per death avoided is used as input to calculate threshold of euro per QALYs</w:t>
            </w:r>
          </w:p>
        </w:tc>
        <w:tc>
          <w:tcPr>
            <w:tcW w:w="0" w:type="auto"/>
          </w:tcPr>
          <w:p w14:paraId="265DC49A"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€44,000 per QALY (61-65 years)</w:t>
            </w:r>
          </w:p>
        </w:tc>
        <w:tc>
          <w:tcPr>
            <w:tcW w:w="0" w:type="auto"/>
          </w:tcPr>
          <w:p w14:paraId="764C0682"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€318,000 (0 years) - €33,000 (96+ years) per QALY</w:t>
            </w:r>
          </w:p>
        </w:tc>
      </w:tr>
      <w:tr w:rsidR="009B2A60" w:rsidRPr="000965BA" w14:paraId="789E9FB2" w14:textId="77777777" w:rsidTr="009B2A60">
        <w:tc>
          <w:tcPr>
            <w:cnfStyle w:val="001000000000" w:firstRow="0" w:lastRow="0" w:firstColumn="1" w:lastColumn="0" w:oddVBand="0" w:evenVBand="0" w:oddHBand="0" w:evenHBand="0" w:firstRowFirstColumn="0" w:firstRowLastColumn="0" w:lastRowFirstColumn="0" w:lastRowLastColumn="0"/>
            <w:tcW w:w="0" w:type="auto"/>
          </w:tcPr>
          <w:p w14:paraId="4264E8A4"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13</w:t>
            </w:r>
          </w:p>
        </w:tc>
        <w:tc>
          <w:tcPr>
            <w:tcW w:w="0" w:type="auto"/>
          </w:tcPr>
          <w:p w14:paraId="343DA276"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One year lag of the outcome measure</w:t>
            </w:r>
          </w:p>
        </w:tc>
        <w:tc>
          <w:tcPr>
            <w:tcW w:w="0" w:type="auto"/>
          </w:tcPr>
          <w:p w14:paraId="3B8E5C43"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Spending in year t influences QALYs lost in year t+1</w:t>
            </w:r>
          </w:p>
        </w:tc>
        <w:tc>
          <w:tcPr>
            <w:tcW w:w="0" w:type="auto"/>
          </w:tcPr>
          <w:p w14:paraId="5F76568C"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Negative marginal effects</w:t>
            </w:r>
          </w:p>
        </w:tc>
        <w:tc>
          <w:tcPr>
            <w:tcW w:w="0" w:type="auto"/>
          </w:tcPr>
          <w:p w14:paraId="59E31B64"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incalculable</w:t>
            </w:r>
          </w:p>
        </w:tc>
      </w:tr>
      <w:tr w:rsidR="009B2A60" w:rsidRPr="000965BA" w14:paraId="5DDD75BD"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615DBB"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14</w:t>
            </w:r>
          </w:p>
        </w:tc>
        <w:tc>
          <w:tcPr>
            <w:tcW w:w="0" w:type="auto"/>
          </w:tcPr>
          <w:p w14:paraId="4A55C8B1"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Two year outcome measure</w:t>
            </w:r>
          </w:p>
        </w:tc>
        <w:tc>
          <w:tcPr>
            <w:tcW w:w="0" w:type="auto"/>
          </w:tcPr>
          <w:p w14:paraId="58010E95"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Spending in year t influences QALYs lost in year t plus in year t+1</w:t>
            </w:r>
          </w:p>
        </w:tc>
        <w:tc>
          <w:tcPr>
            <w:tcW w:w="0" w:type="auto"/>
          </w:tcPr>
          <w:p w14:paraId="3B9953A1"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€60,000 per QALY</w:t>
            </w:r>
          </w:p>
        </w:tc>
        <w:tc>
          <w:tcPr>
            <w:tcW w:w="0" w:type="auto"/>
          </w:tcPr>
          <w:p w14:paraId="042A17BE"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€ 41,000 - € 79,000 per QALY</w:t>
            </w:r>
          </w:p>
        </w:tc>
      </w:tr>
      <w:tr w:rsidR="009B2A60" w:rsidRPr="000965BA" w14:paraId="47D75F37" w14:textId="77777777" w:rsidTr="009B2A60">
        <w:tc>
          <w:tcPr>
            <w:cnfStyle w:val="001000000000" w:firstRow="0" w:lastRow="0" w:firstColumn="1" w:lastColumn="0" w:oddVBand="0" w:evenVBand="0" w:oddHBand="0" w:evenHBand="0" w:firstRowFirstColumn="0" w:firstRowLastColumn="0" w:lastRowFirstColumn="0" w:lastRowLastColumn="0"/>
            <w:tcW w:w="0" w:type="auto"/>
          </w:tcPr>
          <w:p w14:paraId="13FAC9D3"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15</w:t>
            </w:r>
          </w:p>
        </w:tc>
        <w:tc>
          <w:tcPr>
            <w:tcW w:w="0" w:type="auto"/>
          </w:tcPr>
          <w:p w14:paraId="171D684A"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Adjusting for technology shocks</w:t>
            </w:r>
          </w:p>
        </w:tc>
        <w:tc>
          <w:tcPr>
            <w:tcW w:w="0" w:type="auto"/>
          </w:tcPr>
          <w:p w14:paraId="5E36A10B"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Year dummies are included in the baseline model</w:t>
            </w:r>
          </w:p>
        </w:tc>
        <w:tc>
          <w:tcPr>
            <w:tcW w:w="0" w:type="auto"/>
          </w:tcPr>
          <w:p w14:paraId="70CD0BBE"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sz w:val="18"/>
                <w:szCs w:val="18"/>
                <w:lang w:val="en-GB"/>
              </w:rPr>
              <w:t>€ 73,600 per QALY</w:t>
            </w:r>
          </w:p>
        </w:tc>
        <w:tc>
          <w:tcPr>
            <w:tcW w:w="0" w:type="auto"/>
          </w:tcPr>
          <w:p w14:paraId="054875AF" w14:textId="77777777" w:rsidR="009B2A60" w:rsidRPr="000965BA" w:rsidRDefault="009B2A60" w:rsidP="002367C5">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€ 59,000 - € 88,000 per QALY</w:t>
            </w:r>
          </w:p>
        </w:tc>
      </w:tr>
      <w:tr w:rsidR="009B2A60" w:rsidRPr="000965BA" w14:paraId="0FFBB8F0" w14:textId="77777777" w:rsidTr="009B2A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C6C9401" w14:textId="77777777" w:rsidR="009B2A60" w:rsidRPr="000965BA" w:rsidRDefault="009B2A60" w:rsidP="008B3DB8">
            <w:pPr>
              <w:spacing w:line="276" w:lineRule="auto"/>
              <w:rPr>
                <w:rFonts w:asciiTheme="minorHAnsi" w:hAnsiTheme="minorHAnsi"/>
                <w:sz w:val="18"/>
                <w:szCs w:val="18"/>
                <w:lang w:val="en-GB"/>
              </w:rPr>
            </w:pPr>
            <w:r>
              <w:rPr>
                <w:rFonts w:asciiTheme="minorHAnsi" w:hAnsiTheme="minorHAnsi"/>
                <w:sz w:val="18"/>
                <w:szCs w:val="18"/>
                <w:lang w:val="en-GB"/>
              </w:rPr>
              <w:t>16</w:t>
            </w:r>
          </w:p>
        </w:tc>
        <w:tc>
          <w:tcPr>
            <w:tcW w:w="0" w:type="auto"/>
          </w:tcPr>
          <w:p w14:paraId="5C76A7BA"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Health trends are added</w:t>
            </w:r>
          </w:p>
        </w:tc>
        <w:tc>
          <w:tcPr>
            <w:tcW w:w="0" w:type="auto"/>
          </w:tcPr>
          <w:p w14:paraId="4F0D81B5"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Obesity, smoking and heavy alcohol use are added as health trends</w:t>
            </w:r>
          </w:p>
        </w:tc>
        <w:tc>
          <w:tcPr>
            <w:tcW w:w="0" w:type="auto"/>
          </w:tcPr>
          <w:p w14:paraId="5435CF40"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sz w:val="18"/>
                <w:szCs w:val="18"/>
                <w:lang w:val="en-GB"/>
              </w:rPr>
              <w:t>€ 73,600 per QALY</w:t>
            </w:r>
          </w:p>
        </w:tc>
        <w:tc>
          <w:tcPr>
            <w:tcW w:w="0" w:type="auto"/>
          </w:tcPr>
          <w:p w14:paraId="2F5CA391" w14:textId="77777777" w:rsidR="009B2A60" w:rsidRPr="000965BA" w:rsidRDefault="009B2A60" w:rsidP="002367C5">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olor w:val="auto"/>
                <w:sz w:val="18"/>
                <w:szCs w:val="18"/>
                <w:lang w:val="en-GB"/>
              </w:rPr>
            </w:pPr>
            <w:r w:rsidRPr="000965BA">
              <w:rPr>
                <w:rFonts w:asciiTheme="minorHAnsi" w:hAnsiTheme="minorHAnsi"/>
                <w:color w:val="auto"/>
                <w:sz w:val="18"/>
                <w:szCs w:val="18"/>
                <w:lang w:val="en-GB"/>
              </w:rPr>
              <w:t>€ 59,000 - € 88,000 per QALY</w:t>
            </w:r>
          </w:p>
        </w:tc>
      </w:tr>
    </w:tbl>
    <w:p w14:paraId="46F278B3" w14:textId="77777777" w:rsidR="0098256A" w:rsidRDefault="0098256A" w:rsidP="00B04BB2">
      <w:pPr>
        <w:spacing w:line="360" w:lineRule="auto"/>
        <w:jc w:val="both"/>
        <w:rPr>
          <w:rFonts w:asciiTheme="minorHAnsi" w:hAnsiTheme="minorHAnsi"/>
          <w:szCs w:val="22"/>
          <w:lang w:val="en-GB"/>
        </w:rPr>
      </w:pPr>
    </w:p>
    <w:p w14:paraId="5F0D36A1" w14:textId="77777777" w:rsidR="00B04BB2" w:rsidRDefault="00B04BB2" w:rsidP="00B04BB2">
      <w:pPr>
        <w:spacing w:line="360" w:lineRule="auto"/>
        <w:jc w:val="both"/>
        <w:rPr>
          <w:rFonts w:asciiTheme="minorHAnsi" w:hAnsiTheme="minorHAnsi"/>
          <w:szCs w:val="22"/>
          <w:lang w:val="en-GB"/>
        </w:rPr>
      </w:pPr>
      <w:r>
        <w:rPr>
          <w:rFonts w:asciiTheme="minorHAnsi" w:hAnsiTheme="minorHAnsi"/>
          <w:szCs w:val="22"/>
          <w:lang w:val="en-GB"/>
        </w:rPr>
        <w:t>1. Discount rate</w:t>
      </w:r>
    </w:p>
    <w:p w14:paraId="18F5A2E5" w14:textId="77777777" w:rsidR="00B04BB2" w:rsidRDefault="00B04BB2" w:rsidP="00B04BB2">
      <w:pPr>
        <w:spacing w:line="360" w:lineRule="auto"/>
        <w:jc w:val="both"/>
        <w:rPr>
          <w:rFonts w:asciiTheme="minorHAnsi" w:hAnsiTheme="minorHAnsi"/>
          <w:szCs w:val="22"/>
          <w:lang w:val="en-GB"/>
        </w:rPr>
      </w:pPr>
      <w:r>
        <w:rPr>
          <w:rFonts w:asciiTheme="minorHAnsi" w:hAnsiTheme="minorHAnsi"/>
          <w:szCs w:val="22"/>
          <w:lang w:val="en-GB"/>
        </w:rPr>
        <w:t>Benefits experienced in the far future are, according to</w:t>
      </w:r>
      <w:r w:rsidRPr="000965BA">
        <w:rPr>
          <w:rFonts w:asciiTheme="minorHAnsi" w:hAnsiTheme="minorHAnsi"/>
          <w:szCs w:val="22"/>
          <w:lang w:val="en-GB"/>
        </w:rPr>
        <w:t xml:space="preserve"> </w:t>
      </w:r>
      <w:r>
        <w:rPr>
          <w:rFonts w:asciiTheme="minorHAnsi" w:hAnsiTheme="minorHAnsi"/>
          <w:szCs w:val="22"/>
          <w:lang w:val="en-GB"/>
        </w:rPr>
        <w:t xml:space="preserve">economic theory, less valuable than the same benefits experienced immediately. The same would hold for QALYs averted: the first year additional </w:t>
      </w:r>
      <w:r>
        <w:rPr>
          <w:rFonts w:asciiTheme="minorHAnsi" w:hAnsiTheme="minorHAnsi"/>
          <w:szCs w:val="22"/>
          <w:lang w:val="en-GB"/>
        </w:rPr>
        <w:lastRenderedPageBreak/>
        <w:t>lived in good health is valued more than the last additional year lived in good health. Standard Dutch guidelines recommend discounting nonmonetary benefits by 1.5%</w:t>
      </w:r>
      <w:r w:rsidR="00B248E0">
        <w:rPr>
          <w:rFonts w:asciiTheme="minorHAnsi" w:hAnsiTheme="minorHAnsi"/>
          <w:szCs w:val="22"/>
          <w:lang w:val="en-GB"/>
        </w:rPr>
        <w:t xml:space="preserve">, but other discount </w:t>
      </w:r>
      <w:r w:rsidR="004E190D">
        <w:rPr>
          <w:rFonts w:asciiTheme="minorHAnsi" w:hAnsiTheme="minorHAnsi"/>
          <w:szCs w:val="22"/>
          <w:lang w:val="en-GB"/>
        </w:rPr>
        <w:t>rates</w:t>
      </w:r>
      <w:r w:rsidR="00B248E0">
        <w:rPr>
          <w:rFonts w:asciiTheme="minorHAnsi" w:hAnsiTheme="minorHAnsi"/>
          <w:szCs w:val="22"/>
          <w:lang w:val="en-GB"/>
        </w:rPr>
        <w:t xml:space="preserve"> have been used in the literature (e.g. Claxton et al., 2015 and Cutler </w:t>
      </w:r>
      <w:r w:rsidR="00A61DA7">
        <w:rPr>
          <w:rFonts w:asciiTheme="minorHAnsi" w:hAnsiTheme="minorHAnsi"/>
          <w:szCs w:val="22"/>
          <w:lang w:val="en-GB"/>
        </w:rPr>
        <w:t>et al.</w:t>
      </w:r>
      <w:r w:rsidR="00B248E0">
        <w:rPr>
          <w:rFonts w:asciiTheme="minorHAnsi" w:hAnsiTheme="minorHAnsi"/>
          <w:szCs w:val="22"/>
          <w:lang w:val="en-GB"/>
        </w:rPr>
        <w:t>, 200</w:t>
      </w:r>
      <w:r w:rsidR="00A61DA7">
        <w:rPr>
          <w:rFonts w:asciiTheme="minorHAnsi" w:hAnsiTheme="minorHAnsi"/>
          <w:szCs w:val="22"/>
          <w:lang w:val="en-GB"/>
        </w:rPr>
        <w:t>6</w:t>
      </w:r>
      <w:r w:rsidR="00B248E0">
        <w:rPr>
          <w:rFonts w:asciiTheme="minorHAnsi" w:hAnsiTheme="minorHAnsi"/>
          <w:szCs w:val="22"/>
          <w:lang w:val="en-GB"/>
        </w:rPr>
        <w:t xml:space="preserve"> use a zero discount rate, while Hall and Jones, 2004 use a discount rate up to 6%)</w:t>
      </w:r>
      <w:r>
        <w:rPr>
          <w:rFonts w:asciiTheme="minorHAnsi" w:hAnsiTheme="minorHAnsi"/>
          <w:szCs w:val="22"/>
          <w:lang w:val="en-GB"/>
        </w:rPr>
        <w:t xml:space="preserve">. A higher discount rate reduces the value of QALYs in the far future, which disproportionately affects deaths averted in low age groups. Consequentially, thresholds increase when high discount rates are used. </w:t>
      </w:r>
    </w:p>
    <w:p w14:paraId="2276EDF4" w14:textId="77777777" w:rsidR="00330BC3" w:rsidRDefault="00330BC3" w:rsidP="00B20B59">
      <w:pPr>
        <w:spacing w:line="360" w:lineRule="auto"/>
        <w:jc w:val="both"/>
        <w:rPr>
          <w:rFonts w:asciiTheme="minorHAnsi" w:hAnsiTheme="minorHAnsi"/>
          <w:szCs w:val="22"/>
          <w:lang w:val="en-GB"/>
        </w:rPr>
      </w:pPr>
    </w:p>
    <w:p w14:paraId="47937D69" w14:textId="77777777" w:rsidR="00B04BB2" w:rsidRDefault="00B04BB2" w:rsidP="00B20B59">
      <w:pPr>
        <w:spacing w:line="360" w:lineRule="auto"/>
        <w:jc w:val="both"/>
        <w:rPr>
          <w:rFonts w:asciiTheme="minorHAnsi" w:hAnsiTheme="minorHAnsi"/>
          <w:szCs w:val="22"/>
          <w:lang w:val="en-GB"/>
        </w:rPr>
      </w:pPr>
      <w:r>
        <w:rPr>
          <w:rFonts w:asciiTheme="minorHAnsi" w:hAnsiTheme="minorHAnsi"/>
          <w:szCs w:val="22"/>
          <w:lang w:val="en-GB"/>
        </w:rPr>
        <w:t>2. Cobb-Douglas specification</w:t>
      </w:r>
    </w:p>
    <w:p w14:paraId="003F01D6" w14:textId="77777777" w:rsidR="00B04BB2" w:rsidRDefault="00B248E0" w:rsidP="00B20B59">
      <w:pPr>
        <w:spacing w:line="360" w:lineRule="auto"/>
        <w:jc w:val="both"/>
        <w:rPr>
          <w:rFonts w:asciiTheme="minorHAnsi" w:hAnsiTheme="minorHAnsi"/>
          <w:szCs w:val="22"/>
          <w:lang w:val="en-GB"/>
        </w:rPr>
      </w:pPr>
      <w:r>
        <w:rPr>
          <w:rFonts w:asciiTheme="minorHAnsi" w:hAnsiTheme="minorHAnsi"/>
          <w:szCs w:val="22"/>
          <w:lang w:val="en-GB"/>
        </w:rPr>
        <w:t xml:space="preserve">The Cobb-Douglas (CD) function is often used to model a health production function displaying diminishing marginal returns. The CD-model has less flexibility than a </w:t>
      </w:r>
      <w:proofErr w:type="spellStart"/>
      <w:r>
        <w:rPr>
          <w:rFonts w:asciiTheme="minorHAnsi" w:hAnsiTheme="minorHAnsi"/>
          <w:szCs w:val="22"/>
          <w:lang w:val="en-GB"/>
        </w:rPr>
        <w:t>translog</w:t>
      </w:r>
      <w:proofErr w:type="spellEnd"/>
      <w:r>
        <w:rPr>
          <w:rFonts w:asciiTheme="minorHAnsi" w:hAnsiTheme="minorHAnsi"/>
          <w:szCs w:val="22"/>
          <w:lang w:val="en-GB"/>
        </w:rPr>
        <w:t xml:space="preserve"> model</w:t>
      </w:r>
      <w:r w:rsidR="00B04BB2">
        <w:rPr>
          <w:rFonts w:asciiTheme="minorHAnsi" w:hAnsiTheme="minorHAnsi"/>
          <w:szCs w:val="22"/>
          <w:lang w:val="en-GB"/>
        </w:rPr>
        <w:t>,</w:t>
      </w:r>
      <w:r>
        <w:rPr>
          <w:rFonts w:asciiTheme="minorHAnsi" w:hAnsiTheme="minorHAnsi"/>
          <w:szCs w:val="22"/>
          <w:lang w:val="en-GB"/>
        </w:rPr>
        <w:t xml:space="preserve"> i.e. a </w:t>
      </w:r>
      <w:proofErr w:type="spellStart"/>
      <w:r>
        <w:rPr>
          <w:rFonts w:asciiTheme="minorHAnsi" w:hAnsiTheme="minorHAnsi"/>
          <w:szCs w:val="22"/>
          <w:lang w:val="en-GB"/>
        </w:rPr>
        <w:t>translog</w:t>
      </w:r>
      <w:proofErr w:type="spellEnd"/>
      <w:r>
        <w:rPr>
          <w:rFonts w:asciiTheme="minorHAnsi" w:hAnsiTheme="minorHAnsi"/>
          <w:szCs w:val="22"/>
          <w:lang w:val="en-GB"/>
        </w:rPr>
        <w:t xml:space="preserve"> model is a generalization of the CD model. More specifically,</w:t>
      </w:r>
      <w:r w:rsidR="00B04BB2">
        <w:rPr>
          <w:rFonts w:asciiTheme="minorHAnsi" w:hAnsiTheme="minorHAnsi"/>
          <w:szCs w:val="22"/>
          <w:lang w:val="en-GB"/>
        </w:rPr>
        <w:t xml:space="preserve"> the </w:t>
      </w:r>
      <w:r w:rsidR="004E190D">
        <w:rPr>
          <w:rFonts w:asciiTheme="minorHAnsi" w:hAnsiTheme="minorHAnsi"/>
          <w:szCs w:val="22"/>
          <w:lang w:val="en-GB"/>
        </w:rPr>
        <w:t>CD-</w:t>
      </w:r>
      <w:r w:rsidR="00B04BB2">
        <w:rPr>
          <w:rFonts w:asciiTheme="minorHAnsi" w:hAnsiTheme="minorHAnsi"/>
          <w:szCs w:val="22"/>
          <w:lang w:val="en-GB"/>
        </w:rPr>
        <w:t xml:space="preserve">model assumes constant returns to scale and constant elasticity of substitution, which both are unlikely to hold in </w:t>
      </w:r>
      <w:r>
        <w:rPr>
          <w:rFonts w:asciiTheme="minorHAnsi" w:hAnsiTheme="minorHAnsi"/>
          <w:szCs w:val="22"/>
          <w:lang w:val="en-GB"/>
        </w:rPr>
        <w:t xml:space="preserve">diverse </w:t>
      </w:r>
      <w:r w:rsidR="00B04BB2">
        <w:rPr>
          <w:rFonts w:asciiTheme="minorHAnsi" w:hAnsiTheme="minorHAnsi"/>
          <w:szCs w:val="22"/>
          <w:lang w:val="en-GB"/>
        </w:rPr>
        <w:t xml:space="preserve">patient groups. For example, in small patient groups substitution between spending more per patient or helping more patients may be limited (non-constant elasticity of substitution), while in large patient groups the effect of additional spending may be lower than in small patient groups (non-constant returns to scale). These factors appear to have a large impact: the estimated threshold is significantly higher than in the preferred model. </w:t>
      </w:r>
    </w:p>
    <w:p w14:paraId="0C36164F" w14:textId="77777777" w:rsidR="001926A8" w:rsidRDefault="001926A8" w:rsidP="00B20B59">
      <w:pPr>
        <w:spacing w:line="360" w:lineRule="auto"/>
        <w:jc w:val="both"/>
        <w:rPr>
          <w:rFonts w:asciiTheme="minorHAnsi" w:hAnsiTheme="minorHAnsi"/>
          <w:szCs w:val="22"/>
          <w:lang w:val="en-GB"/>
        </w:rPr>
      </w:pPr>
    </w:p>
    <w:p w14:paraId="12028495" w14:textId="77777777" w:rsidR="001926A8" w:rsidRDefault="001926A8" w:rsidP="00B20B59">
      <w:pPr>
        <w:spacing w:line="360" w:lineRule="auto"/>
        <w:jc w:val="both"/>
        <w:rPr>
          <w:rFonts w:asciiTheme="minorHAnsi" w:hAnsiTheme="minorHAnsi"/>
          <w:szCs w:val="22"/>
          <w:lang w:val="en-GB"/>
        </w:rPr>
      </w:pPr>
      <w:r>
        <w:rPr>
          <w:rFonts w:asciiTheme="minorHAnsi" w:hAnsiTheme="minorHAnsi"/>
          <w:szCs w:val="22"/>
          <w:lang w:val="en-GB"/>
        </w:rPr>
        <w:t>3. Cobb-Douglas specification including patient groups with positive mortality only</w:t>
      </w:r>
    </w:p>
    <w:p w14:paraId="05A50C9C" w14:textId="77777777" w:rsidR="001926A8" w:rsidRDefault="004E190D" w:rsidP="00B20B59">
      <w:pPr>
        <w:spacing w:line="360" w:lineRule="auto"/>
        <w:jc w:val="both"/>
        <w:rPr>
          <w:rFonts w:asciiTheme="minorHAnsi" w:hAnsiTheme="minorHAnsi"/>
          <w:szCs w:val="22"/>
          <w:lang w:val="en-GB"/>
        </w:rPr>
      </w:pPr>
      <w:r>
        <w:rPr>
          <w:rFonts w:asciiTheme="minorHAnsi" w:hAnsiTheme="minorHAnsi"/>
          <w:szCs w:val="22"/>
          <w:lang w:val="en-GB"/>
        </w:rPr>
        <w:t>B</w:t>
      </w:r>
      <w:r w:rsidR="001926A8">
        <w:rPr>
          <w:rFonts w:asciiTheme="minorHAnsi" w:hAnsiTheme="minorHAnsi"/>
          <w:szCs w:val="22"/>
          <w:lang w:val="en-GB"/>
        </w:rPr>
        <w:t xml:space="preserve">enefits may be </w:t>
      </w:r>
      <w:r>
        <w:rPr>
          <w:rFonts w:asciiTheme="minorHAnsi" w:hAnsiTheme="minorHAnsi"/>
          <w:szCs w:val="22"/>
          <w:lang w:val="en-GB"/>
        </w:rPr>
        <w:t>measured</w:t>
      </w:r>
      <w:r w:rsidR="001926A8">
        <w:rPr>
          <w:rFonts w:asciiTheme="minorHAnsi" w:hAnsiTheme="minorHAnsi"/>
          <w:szCs w:val="22"/>
          <w:lang w:val="en-GB"/>
        </w:rPr>
        <w:t xml:space="preserve"> less precisely </w:t>
      </w:r>
      <w:proofErr w:type="gramStart"/>
      <w:r w:rsidR="001926A8">
        <w:rPr>
          <w:rFonts w:asciiTheme="minorHAnsi" w:hAnsiTheme="minorHAnsi"/>
          <w:szCs w:val="22"/>
          <w:lang w:val="en-GB"/>
        </w:rPr>
        <w:t>in patient</w:t>
      </w:r>
      <w:proofErr w:type="gramEnd"/>
      <w:r w:rsidR="001926A8">
        <w:rPr>
          <w:rFonts w:asciiTheme="minorHAnsi" w:hAnsiTheme="minorHAnsi"/>
          <w:szCs w:val="22"/>
          <w:lang w:val="en-GB"/>
        </w:rPr>
        <w:t xml:space="preserve"> groups without mortality, </w:t>
      </w:r>
      <w:r>
        <w:rPr>
          <w:rFonts w:asciiTheme="minorHAnsi" w:hAnsiTheme="minorHAnsi"/>
          <w:szCs w:val="22"/>
          <w:lang w:val="en-GB"/>
        </w:rPr>
        <w:t>for example, in the case of pregnancy, benefits of additional spending may be understated. A</w:t>
      </w:r>
      <w:r w:rsidR="001926A8">
        <w:rPr>
          <w:rFonts w:asciiTheme="minorHAnsi" w:hAnsiTheme="minorHAnsi"/>
          <w:szCs w:val="22"/>
          <w:lang w:val="en-GB"/>
        </w:rPr>
        <w:t xml:space="preserve">s a robustness </w:t>
      </w:r>
      <w:r>
        <w:rPr>
          <w:rFonts w:asciiTheme="minorHAnsi" w:hAnsiTheme="minorHAnsi"/>
          <w:szCs w:val="22"/>
          <w:lang w:val="en-GB"/>
        </w:rPr>
        <w:t>check,</w:t>
      </w:r>
      <w:r w:rsidR="001926A8">
        <w:rPr>
          <w:rFonts w:asciiTheme="minorHAnsi" w:hAnsiTheme="minorHAnsi"/>
          <w:szCs w:val="22"/>
          <w:lang w:val="en-GB"/>
        </w:rPr>
        <w:t xml:space="preserve"> the CD-model is run on a subsample of patient groups with positive mortality. The estimated threshold is lower than in the full CD-model, </w:t>
      </w:r>
      <w:r>
        <w:rPr>
          <w:rFonts w:asciiTheme="minorHAnsi" w:hAnsiTheme="minorHAnsi"/>
          <w:szCs w:val="22"/>
          <w:lang w:val="en-GB"/>
        </w:rPr>
        <w:t>indicating</w:t>
      </w:r>
      <w:r w:rsidR="001926A8">
        <w:rPr>
          <w:rFonts w:asciiTheme="minorHAnsi" w:hAnsiTheme="minorHAnsi"/>
          <w:szCs w:val="22"/>
          <w:lang w:val="en-GB"/>
        </w:rPr>
        <w:t xml:space="preserve"> that benefits may be under</w:t>
      </w:r>
      <w:r>
        <w:rPr>
          <w:rFonts w:asciiTheme="minorHAnsi" w:hAnsiTheme="minorHAnsi"/>
          <w:szCs w:val="22"/>
          <w:lang w:val="en-GB"/>
        </w:rPr>
        <w:t>st</w:t>
      </w:r>
      <w:r w:rsidR="001926A8">
        <w:rPr>
          <w:rFonts w:asciiTheme="minorHAnsi" w:hAnsiTheme="minorHAnsi"/>
          <w:szCs w:val="22"/>
          <w:lang w:val="en-GB"/>
        </w:rPr>
        <w:t xml:space="preserve">ated in the patient groups without mortality. </w:t>
      </w:r>
    </w:p>
    <w:p w14:paraId="27E161A7" w14:textId="77777777" w:rsidR="001926A8" w:rsidRDefault="001926A8" w:rsidP="00B20B59">
      <w:pPr>
        <w:spacing w:line="360" w:lineRule="auto"/>
        <w:jc w:val="both"/>
        <w:rPr>
          <w:rFonts w:asciiTheme="minorHAnsi" w:hAnsiTheme="minorHAnsi"/>
          <w:szCs w:val="22"/>
          <w:lang w:val="en-GB"/>
        </w:rPr>
      </w:pPr>
    </w:p>
    <w:p w14:paraId="0C6BFC81" w14:textId="77777777" w:rsidR="001926A8" w:rsidRDefault="001926A8" w:rsidP="00B20B59">
      <w:pPr>
        <w:spacing w:line="360" w:lineRule="auto"/>
        <w:jc w:val="both"/>
        <w:rPr>
          <w:rFonts w:asciiTheme="minorHAnsi" w:hAnsiTheme="minorHAnsi"/>
          <w:szCs w:val="22"/>
          <w:lang w:val="en-GB"/>
        </w:rPr>
      </w:pPr>
      <w:r>
        <w:rPr>
          <w:rFonts w:asciiTheme="minorHAnsi" w:hAnsiTheme="minorHAnsi"/>
          <w:szCs w:val="22"/>
          <w:lang w:val="en-GB"/>
        </w:rPr>
        <w:t>4. Linear specification</w:t>
      </w:r>
    </w:p>
    <w:p w14:paraId="25C29EDE" w14:textId="77777777" w:rsidR="001926A8" w:rsidRDefault="001926A8" w:rsidP="00B20B59">
      <w:pPr>
        <w:spacing w:line="360" w:lineRule="auto"/>
        <w:jc w:val="both"/>
        <w:rPr>
          <w:rFonts w:asciiTheme="minorHAnsi" w:hAnsiTheme="minorHAnsi"/>
          <w:szCs w:val="22"/>
          <w:lang w:val="en-GB"/>
        </w:rPr>
      </w:pPr>
      <w:r>
        <w:rPr>
          <w:rFonts w:asciiTheme="minorHAnsi" w:hAnsiTheme="minorHAnsi"/>
          <w:szCs w:val="22"/>
          <w:lang w:val="en-GB"/>
        </w:rPr>
        <w:t xml:space="preserve">Linear models have been used in literature, and one advantage could be that the estimates are easy to interpret economically: one additional euro increases QALYs by β. However, since spending is distributed non-normally, log-transformations are preferred. The linear model renders a rather high threshold, signalling that </w:t>
      </w:r>
      <w:r w:rsidR="0098256A">
        <w:rPr>
          <w:rFonts w:asciiTheme="minorHAnsi" w:hAnsiTheme="minorHAnsi"/>
          <w:szCs w:val="22"/>
          <w:lang w:val="en-GB"/>
        </w:rPr>
        <w:t xml:space="preserve">estimated benefits may be lower in the high-end of the spending distribution. </w:t>
      </w:r>
    </w:p>
    <w:p w14:paraId="36557D1C" w14:textId="77777777" w:rsidR="0098256A" w:rsidRDefault="0098256A" w:rsidP="00B20B59">
      <w:pPr>
        <w:spacing w:line="360" w:lineRule="auto"/>
        <w:jc w:val="both"/>
        <w:rPr>
          <w:rFonts w:asciiTheme="minorHAnsi" w:hAnsiTheme="minorHAnsi"/>
          <w:szCs w:val="22"/>
          <w:lang w:val="en-GB"/>
        </w:rPr>
      </w:pPr>
    </w:p>
    <w:p w14:paraId="08AD5DD3" w14:textId="77777777" w:rsidR="0098256A" w:rsidRDefault="0098256A" w:rsidP="00B20B59">
      <w:pPr>
        <w:spacing w:line="360" w:lineRule="auto"/>
        <w:jc w:val="both"/>
        <w:rPr>
          <w:rFonts w:asciiTheme="minorHAnsi" w:hAnsiTheme="minorHAnsi"/>
          <w:szCs w:val="22"/>
          <w:lang w:val="en-GB"/>
        </w:rPr>
      </w:pPr>
      <w:r>
        <w:rPr>
          <w:rFonts w:asciiTheme="minorHAnsi" w:hAnsiTheme="minorHAnsi"/>
          <w:szCs w:val="22"/>
          <w:lang w:val="en-GB"/>
        </w:rPr>
        <w:t>5. Random effects specification</w:t>
      </w:r>
    </w:p>
    <w:p w14:paraId="7DF51DBF" w14:textId="77777777" w:rsidR="00F3207E" w:rsidRDefault="0098256A" w:rsidP="00B20B59">
      <w:pPr>
        <w:spacing w:line="360" w:lineRule="auto"/>
        <w:jc w:val="both"/>
        <w:rPr>
          <w:rFonts w:asciiTheme="minorHAnsi" w:hAnsiTheme="minorHAnsi"/>
          <w:szCs w:val="22"/>
          <w:lang w:val="en-GB"/>
        </w:rPr>
      </w:pPr>
      <w:r>
        <w:rPr>
          <w:rFonts w:asciiTheme="minorHAnsi" w:hAnsiTheme="minorHAnsi"/>
          <w:szCs w:val="22"/>
          <w:lang w:val="en-GB"/>
        </w:rPr>
        <w:t xml:space="preserve">The preferred </w:t>
      </w:r>
      <w:proofErr w:type="spellStart"/>
      <w:r>
        <w:rPr>
          <w:rFonts w:asciiTheme="minorHAnsi" w:hAnsiTheme="minorHAnsi"/>
          <w:szCs w:val="22"/>
          <w:lang w:val="en-GB"/>
        </w:rPr>
        <w:t>translog</w:t>
      </w:r>
      <w:proofErr w:type="spellEnd"/>
      <w:r>
        <w:rPr>
          <w:rFonts w:asciiTheme="minorHAnsi" w:hAnsiTheme="minorHAnsi"/>
          <w:szCs w:val="22"/>
          <w:lang w:val="en-GB"/>
        </w:rPr>
        <w:t xml:space="preserve"> model is estimated using a fixed-effects linear regression, as is usual in </w:t>
      </w:r>
      <w:r w:rsidR="00B248E0">
        <w:rPr>
          <w:rFonts w:asciiTheme="minorHAnsi" w:hAnsiTheme="minorHAnsi"/>
          <w:szCs w:val="22"/>
          <w:lang w:val="en-GB"/>
        </w:rPr>
        <w:t xml:space="preserve">time-series estimation (e.g. </w:t>
      </w:r>
      <w:proofErr w:type="spellStart"/>
      <w:r w:rsidR="00B248E0">
        <w:rPr>
          <w:rFonts w:asciiTheme="minorHAnsi" w:hAnsiTheme="minorHAnsi"/>
          <w:szCs w:val="22"/>
          <w:lang w:val="en-GB"/>
        </w:rPr>
        <w:t>Edney</w:t>
      </w:r>
      <w:proofErr w:type="spellEnd"/>
      <w:r w:rsidR="00B248E0">
        <w:rPr>
          <w:rFonts w:asciiTheme="minorHAnsi" w:hAnsiTheme="minorHAnsi"/>
          <w:szCs w:val="22"/>
          <w:lang w:val="en-GB"/>
        </w:rPr>
        <w:t xml:space="preserve"> et al., 2018)</w:t>
      </w:r>
      <w:r>
        <w:rPr>
          <w:rFonts w:asciiTheme="minorHAnsi" w:hAnsiTheme="minorHAnsi"/>
          <w:szCs w:val="22"/>
          <w:lang w:val="en-GB"/>
        </w:rPr>
        <w:t xml:space="preserve">. However, under the condition that </w:t>
      </w:r>
      <w:r w:rsidR="00980782">
        <w:rPr>
          <w:rFonts w:asciiTheme="minorHAnsi" w:hAnsiTheme="minorHAnsi"/>
          <w:szCs w:val="22"/>
          <w:lang w:val="en-GB"/>
        </w:rPr>
        <w:t xml:space="preserve">the dependent </w:t>
      </w:r>
      <w:r w:rsidR="00980782">
        <w:rPr>
          <w:rFonts w:asciiTheme="minorHAnsi" w:hAnsiTheme="minorHAnsi"/>
          <w:szCs w:val="22"/>
          <w:lang w:val="en-GB"/>
        </w:rPr>
        <w:lastRenderedPageBreak/>
        <w:t>variables are uncorrelated to the error terms</w:t>
      </w:r>
      <w:r>
        <w:rPr>
          <w:rFonts w:asciiTheme="minorHAnsi" w:hAnsiTheme="minorHAnsi"/>
          <w:szCs w:val="22"/>
          <w:lang w:val="en-GB"/>
        </w:rPr>
        <w:t xml:space="preserve">, a random-effects model </w:t>
      </w:r>
      <w:r w:rsidR="00B248E0">
        <w:rPr>
          <w:rFonts w:asciiTheme="minorHAnsi" w:hAnsiTheme="minorHAnsi"/>
          <w:szCs w:val="22"/>
          <w:lang w:val="en-GB"/>
        </w:rPr>
        <w:t>may be</w:t>
      </w:r>
      <w:r>
        <w:rPr>
          <w:rFonts w:asciiTheme="minorHAnsi" w:hAnsiTheme="minorHAnsi"/>
          <w:szCs w:val="22"/>
          <w:lang w:val="en-GB"/>
        </w:rPr>
        <w:t xml:space="preserve"> more efficient. </w:t>
      </w:r>
      <w:r w:rsidR="00980782">
        <w:rPr>
          <w:rFonts w:asciiTheme="minorHAnsi" w:hAnsiTheme="minorHAnsi"/>
          <w:szCs w:val="22"/>
          <w:lang w:val="en-GB"/>
        </w:rPr>
        <w:t>To test this condition</w:t>
      </w:r>
      <w:r w:rsidR="00B248E0">
        <w:rPr>
          <w:rFonts w:asciiTheme="minorHAnsi" w:hAnsiTheme="minorHAnsi"/>
          <w:szCs w:val="22"/>
          <w:lang w:val="en-GB"/>
        </w:rPr>
        <w:t xml:space="preserve"> of uncorrelated error terms</w:t>
      </w:r>
      <w:r w:rsidR="00980782">
        <w:rPr>
          <w:rFonts w:asciiTheme="minorHAnsi" w:hAnsiTheme="minorHAnsi"/>
          <w:szCs w:val="22"/>
          <w:lang w:val="en-GB"/>
        </w:rPr>
        <w:t>, a Hausman test is performed. Given that endogeneity of the fixed patient group characteristics may be expected in this analysis, it is unsurprising that the Hausman test is rejected. This implies that the random-effects model produces invalid estimates</w:t>
      </w:r>
      <w:r w:rsidR="00F3207E">
        <w:rPr>
          <w:rFonts w:asciiTheme="minorHAnsi" w:hAnsiTheme="minorHAnsi"/>
          <w:szCs w:val="22"/>
          <w:lang w:val="en-GB"/>
        </w:rPr>
        <w:t xml:space="preserve">, and </w:t>
      </w:r>
      <w:r w:rsidR="004E190D">
        <w:rPr>
          <w:rFonts w:asciiTheme="minorHAnsi" w:hAnsiTheme="minorHAnsi"/>
          <w:szCs w:val="22"/>
          <w:lang w:val="en-GB"/>
        </w:rPr>
        <w:t xml:space="preserve">verifies that </w:t>
      </w:r>
      <w:r w:rsidR="00F3207E">
        <w:rPr>
          <w:rFonts w:asciiTheme="minorHAnsi" w:hAnsiTheme="minorHAnsi"/>
          <w:szCs w:val="22"/>
          <w:lang w:val="en-GB"/>
        </w:rPr>
        <w:t>the fixed-effects model is preferred</w:t>
      </w:r>
      <w:r w:rsidR="00980782">
        <w:rPr>
          <w:rFonts w:asciiTheme="minorHAnsi" w:hAnsiTheme="minorHAnsi"/>
          <w:szCs w:val="22"/>
          <w:lang w:val="en-GB"/>
        </w:rPr>
        <w:t>.</w:t>
      </w:r>
    </w:p>
    <w:p w14:paraId="3F832E22" w14:textId="77777777" w:rsidR="00F3207E" w:rsidRDefault="00F3207E" w:rsidP="00B20B59">
      <w:pPr>
        <w:spacing w:line="360" w:lineRule="auto"/>
        <w:jc w:val="both"/>
        <w:rPr>
          <w:rFonts w:asciiTheme="minorHAnsi" w:hAnsiTheme="minorHAnsi"/>
          <w:szCs w:val="22"/>
          <w:lang w:val="en-GB"/>
        </w:rPr>
      </w:pPr>
    </w:p>
    <w:p w14:paraId="268DB109" w14:textId="77777777" w:rsidR="00F3207E" w:rsidRDefault="00F3207E" w:rsidP="00B20B59">
      <w:pPr>
        <w:spacing w:line="360" w:lineRule="auto"/>
        <w:jc w:val="both"/>
        <w:rPr>
          <w:rFonts w:asciiTheme="minorHAnsi" w:hAnsiTheme="minorHAnsi"/>
          <w:szCs w:val="22"/>
          <w:lang w:val="en-GB"/>
        </w:rPr>
      </w:pPr>
      <w:r>
        <w:rPr>
          <w:rFonts w:asciiTheme="minorHAnsi" w:hAnsiTheme="minorHAnsi"/>
          <w:szCs w:val="22"/>
          <w:lang w:val="en-GB"/>
        </w:rPr>
        <w:t>6. Proportional multimorbidity correction</w:t>
      </w:r>
    </w:p>
    <w:p w14:paraId="24CD6237" w14:textId="77777777" w:rsidR="0098256A" w:rsidRDefault="00F3207E" w:rsidP="00B20B59">
      <w:pPr>
        <w:spacing w:line="360" w:lineRule="auto"/>
        <w:jc w:val="both"/>
        <w:rPr>
          <w:rFonts w:asciiTheme="minorHAnsi" w:hAnsiTheme="minorHAnsi"/>
          <w:szCs w:val="22"/>
          <w:lang w:val="en-GB"/>
        </w:rPr>
      </w:pPr>
      <w:r>
        <w:rPr>
          <w:rFonts w:asciiTheme="minorHAnsi" w:hAnsiTheme="minorHAnsi"/>
          <w:szCs w:val="22"/>
          <w:lang w:val="en-GB"/>
        </w:rPr>
        <w:t xml:space="preserve">In the main analysis, crossover effects are not allowed, i.e. spending on diabetes </w:t>
      </w:r>
      <w:proofErr w:type="gramStart"/>
      <w:r>
        <w:rPr>
          <w:rFonts w:asciiTheme="minorHAnsi" w:hAnsiTheme="minorHAnsi"/>
          <w:szCs w:val="22"/>
          <w:lang w:val="en-GB"/>
        </w:rPr>
        <w:t>by definition does</w:t>
      </w:r>
      <w:proofErr w:type="gramEnd"/>
      <w:r>
        <w:rPr>
          <w:rFonts w:asciiTheme="minorHAnsi" w:hAnsiTheme="minorHAnsi"/>
          <w:szCs w:val="22"/>
          <w:lang w:val="en-GB"/>
        </w:rPr>
        <w:t xml:space="preserve"> not affect mortality of diseases other than diabetes. A multimorbidity correction</w:t>
      </w:r>
      <w:r w:rsidR="00A80FC8">
        <w:rPr>
          <w:rFonts w:asciiTheme="minorHAnsi" w:hAnsiTheme="minorHAnsi"/>
          <w:szCs w:val="22"/>
          <w:lang w:val="en-GB"/>
        </w:rPr>
        <w:t xml:space="preserve"> could</w:t>
      </w:r>
      <w:r>
        <w:rPr>
          <w:rFonts w:asciiTheme="minorHAnsi" w:hAnsiTheme="minorHAnsi"/>
          <w:szCs w:val="22"/>
          <w:lang w:val="en-GB"/>
        </w:rPr>
        <w:t xml:space="preserve"> relax this assumption. To this aim, spending on all morbidities is aggregated per patient, and </w:t>
      </w:r>
      <w:r w:rsidR="00C209D2">
        <w:rPr>
          <w:rFonts w:asciiTheme="minorHAnsi" w:hAnsiTheme="minorHAnsi"/>
          <w:szCs w:val="22"/>
          <w:lang w:val="en-GB"/>
        </w:rPr>
        <w:t xml:space="preserve">“unique </w:t>
      </w:r>
      <w:r>
        <w:rPr>
          <w:rFonts w:asciiTheme="minorHAnsi" w:hAnsiTheme="minorHAnsi"/>
          <w:szCs w:val="22"/>
          <w:lang w:val="en-GB"/>
        </w:rPr>
        <w:t>patient groups</w:t>
      </w:r>
      <w:r w:rsidR="00C209D2">
        <w:rPr>
          <w:rFonts w:asciiTheme="minorHAnsi" w:hAnsiTheme="minorHAnsi"/>
          <w:szCs w:val="22"/>
          <w:lang w:val="en-GB"/>
        </w:rPr>
        <w:t>”</w:t>
      </w:r>
      <w:r>
        <w:rPr>
          <w:rFonts w:asciiTheme="minorHAnsi" w:hAnsiTheme="minorHAnsi"/>
          <w:szCs w:val="22"/>
          <w:lang w:val="en-GB"/>
        </w:rPr>
        <w:t xml:space="preserve"> are composed based on the first diagnosis in that year. For example, for male patients 70-75 </w:t>
      </w:r>
      <w:r w:rsidR="00C209D2">
        <w:rPr>
          <w:rFonts w:asciiTheme="minorHAnsi" w:hAnsiTheme="minorHAnsi"/>
          <w:szCs w:val="22"/>
          <w:lang w:val="en-GB"/>
        </w:rPr>
        <w:t>for</w:t>
      </w:r>
      <w:r>
        <w:rPr>
          <w:rFonts w:asciiTheme="minorHAnsi" w:hAnsiTheme="minorHAnsi"/>
          <w:szCs w:val="22"/>
          <w:lang w:val="en-GB"/>
        </w:rPr>
        <w:t xml:space="preserve"> which the first diagnosis </w:t>
      </w:r>
      <w:proofErr w:type="gramStart"/>
      <w:r>
        <w:rPr>
          <w:rFonts w:asciiTheme="minorHAnsi" w:hAnsiTheme="minorHAnsi"/>
          <w:szCs w:val="22"/>
          <w:lang w:val="en-GB"/>
        </w:rPr>
        <w:t xml:space="preserve">in </w:t>
      </w:r>
      <w:r w:rsidR="00BA6059">
        <w:rPr>
          <w:rFonts w:asciiTheme="minorHAnsi" w:hAnsiTheme="minorHAnsi"/>
          <w:szCs w:val="22"/>
          <w:lang w:val="en-GB"/>
        </w:rPr>
        <w:t>a given</w:t>
      </w:r>
      <w:r>
        <w:rPr>
          <w:rFonts w:asciiTheme="minorHAnsi" w:hAnsiTheme="minorHAnsi"/>
          <w:szCs w:val="22"/>
          <w:lang w:val="en-GB"/>
        </w:rPr>
        <w:t xml:space="preserve"> year</w:t>
      </w:r>
      <w:proofErr w:type="gramEnd"/>
      <w:r>
        <w:rPr>
          <w:rFonts w:asciiTheme="minorHAnsi" w:hAnsiTheme="minorHAnsi"/>
          <w:szCs w:val="22"/>
          <w:lang w:val="en-GB"/>
        </w:rPr>
        <w:t xml:space="preserve"> is CVA, all subsequent costs on</w:t>
      </w:r>
      <w:r w:rsidR="00A80FC8">
        <w:rPr>
          <w:rFonts w:asciiTheme="minorHAnsi" w:hAnsiTheme="minorHAnsi"/>
          <w:szCs w:val="22"/>
          <w:lang w:val="en-GB"/>
        </w:rPr>
        <w:t xml:space="preserve"> CVA and </w:t>
      </w:r>
      <w:r>
        <w:rPr>
          <w:rFonts w:asciiTheme="minorHAnsi" w:hAnsiTheme="minorHAnsi"/>
          <w:szCs w:val="22"/>
          <w:lang w:val="en-GB"/>
        </w:rPr>
        <w:t>all</w:t>
      </w:r>
      <w:r w:rsidR="00980782">
        <w:rPr>
          <w:rFonts w:asciiTheme="minorHAnsi" w:hAnsiTheme="minorHAnsi"/>
          <w:szCs w:val="22"/>
          <w:lang w:val="en-GB"/>
        </w:rPr>
        <w:t xml:space="preserve"> </w:t>
      </w:r>
      <w:r>
        <w:rPr>
          <w:rFonts w:asciiTheme="minorHAnsi" w:hAnsiTheme="minorHAnsi"/>
          <w:szCs w:val="22"/>
          <w:lang w:val="en-GB"/>
        </w:rPr>
        <w:t xml:space="preserve">other diagnoses are aggregated. </w:t>
      </w:r>
      <w:r w:rsidR="00BA6059">
        <w:rPr>
          <w:rFonts w:asciiTheme="minorHAnsi" w:hAnsiTheme="minorHAnsi"/>
          <w:szCs w:val="22"/>
          <w:lang w:val="en-GB"/>
        </w:rPr>
        <w:t xml:space="preserve">Next, </w:t>
      </w:r>
      <w:proofErr w:type="gramStart"/>
      <w:r w:rsidR="00BA6059">
        <w:rPr>
          <w:rFonts w:asciiTheme="minorHAnsi" w:hAnsiTheme="minorHAnsi"/>
          <w:szCs w:val="22"/>
          <w:lang w:val="en-GB"/>
        </w:rPr>
        <w:t>a number of</w:t>
      </w:r>
      <w:proofErr w:type="gramEnd"/>
      <w:r w:rsidR="00BA6059">
        <w:rPr>
          <w:rFonts w:asciiTheme="minorHAnsi" w:hAnsiTheme="minorHAnsi"/>
          <w:szCs w:val="22"/>
          <w:lang w:val="en-GB"/>
        </w:rPr>
        <w:t xml:space="preserve"> deaths </w:t>
      </w:r>
      <w:r w:rsidR="00C209D2">
        <w:rPr>
          <w:rFonts w:asciiTheme="minorHAnsi" w:hAnsiTheme="minorHAnsi"/>
          <w:szCs w:val="22"/>
          <w:lang w:val="en-GB"/>
        </w:rPr>
        <w:t>need to be assigned to</w:t>
      </w:r>
      <w:r w:rsidR="00BA6059">
        <w:rPr>
          <w:rFonts w:asciiTheme="minorHAnsi" w:hAnsiTheme="minorHAnsi"/>
          <w:szCs w:val="22"/>
          <w:lang w:val="en-GB"/>
        </w:rPr>
        <w:t xml:space="preserve"> that specific patient group, consisting in part of the number of deaths on CVA and in part of the number of deaths on other secondary diseases. One could assume that the number of deaths is proportional to the spending on each disease category in that group. E.g. if 40% of spending on CVA is taken place in that patient group, 40% of deaths on CVA are appointed to that patient group. Furthermore, if 10% of spending on cancer takes place in the patient group with primary disease CVA, then 10% of deaths are appointed to that </w:t>
      </w:r>
      <w:r w:rsidR="00C209D2">
        <w:rPr>
          <w:rFonts w:asciiTheme="minorHAnsi" w:hAnsiTheme="minorHAnsi"/>
          <w:szCs w:val="22"/>
          <w:lang w:val="en-GB"/>
        </w:rPr>
        <w:t xml:space="preserve">unique </w:t>
      </w:r>
      <w:r w:rsidR="00BA6059">
        <w:rPr>
          <w:rFonts w:asciiTheme="minorHAnsi" w:hAnsiTheme="minorHAnsi"/>
          <w:szCs w:val="22"/>
          <w:lang w:val="en-GB"/>
        </w:rPr>
        <w:t>patient group</w:t>
      </w:r>
      <w:r w:rsidR="00A80FC8">
        <w:rPr>
          <w:rFonts w:asciiTheme="minorHAnsi" w:hAnsiTheme="minorHAnsi"/>
          <w:szCs w:val="22"/>
          <w:lang w:val="en-GB"/>
        </w:rPr>
        <w:t xml:space="preserve"> of CVA patients</w:t>
      </w:r>
      <w:r w:rsidR="00BA6059">
        <w:rPr>
          <w:rFonts w:asciiTheme="minorHAnsi" w:hAnsiTheme="minorHAnsi"/>
          <w:szCs w:val="22"/>
          <w:lang w:val="en-GB"/>
        </w:rPr>
        <w:t xml:space="preserve">. </w:t>
      </w:r>
      <w:r w:rsidR="00A80FC8">
        <w:rPr>
          <w:rFonts w:asciiTheme="minorHAnsi" w:hAnsiTheme="minorHAnsi"/>
          <w:szCs w:val="22"/>
          <w:lang w:val="en-GB"/>
        </w:rPr>
        <w:t xml:space="preserve">This would allow estimating the effect of increases in spending on the unique patient group other than on the primary diagnosis. </w:t>
      </w:r>
      <w:r w:rsidR="00BA6059">
        <w:rPr>
          <w:rFonts w:asciiTheme="minorHAnsi" w:hAnsiTheme="minorHAnsi"/>
          <w:szCs w:val="22"/>
          <w:lang w:val="en-GB"/>
        </w:rPr>
        <w:t>A downside of the proportional multimorbidity correction is that spending</w:t>
      </w:r>
      <w:r w:rsidR="00A80FC8">
        <w:rPr>
          <w:rFonts w:asciiTheme="minorHAnsi" w:hAnsiTheme="minorHAnsi"/>
          <w:szCs w:val="22"/>
          <w:lang w:val="en-GB"/>
        </w:rPr>
        <w:t xml:space="preserve"> increases</w:t>
      </w:r>
      <w:r w:rsidR="00BA6059">
        <w:rPr>
          <w:rFonts w:asciiTheme="minorHAnsi" w:hAnsiTheme="minorHAnsi"/>
          <w:szCs w:val="22"/>
          <w:lang w:val="en-GB"/>
        </w:rPr>
        <w:t xml:space="preserve"> </w:t>
      </w:r>
      <w:r w:rsidR="00A80FC8">
        <w:rPr>
          <w:rFonts w:asciiTheme="minorHAnsi" w:hAnsiTheme="minorHAnsi"/>
          <w:szCs w:val="22"/>
          <w:lang w:val="en-GB"/>
        </w:rPr>
        <w:t>per definition increase the number of deaths appointed to that patient group.</w:t>
      </w:r>
      <w:r w:rsidR="00BA6059">
        <w:rPr>
          <w:rFonts w:asciiTheme="minorHAnsi" w:hAnsiTheme="minorHAnsi"/>
          <w:szCs w:val="22"/>
          <w:lang w:val="en-GB"/>
        </w:rPr>
        <w:t xml:space="preserve"> This creates a positive </w:t>
      </w:r>
      <w:r w:rsidR="00A80FC8">
        <w:rPr>
          <w:rFonts w:asciiTheme="minorHAnsi" w:hAnsiTheme="minorHAnsi"/>
          <w:szCs w:val="22"/>
          <w:lang w:val="en-GB"/>
        </w:rPr>
        <w:t>correlation between spending and outcomes</w:t>
      </w:r>
      <w:r w:rsidR="00BA6059">
        <w:rPr>
          <w:rFonts w:asciiTheme="minorHAnsi" w:hAnsiTheme="minorHAnsi"/>
          <w:szCs w:val="22"/>
          <w:lang w:val="en-GB"/>
        </w:rPr>
        <w:t xml:space="preserve">, which is reflected </w:t>
      </w:r>
      <w:r w:rsidR="00C209D2">
        <w:rPr>
          <w:rFonts w:asciiTheme="minorHAnsi" w:hAnsiTheme="minorHAnsi"/>
          <w:szCs w:val="22"/>
          <w:lang w:val="en-GB"/>
        </w:rPr>
        <w:t>by</w:t>
      </w:r>
      <w:r w:rsidR="00BA6059">
        <w:rPr>
          <w:rFonts w:asciiTheme="minorHAnsi" w:hAnsiTheme="minorHAnsi"/>
          <w:szCs w:val="22"/>
          <w:lang w:val="en-GB"/>
        </w:rPr>
        <w:t xml:space="preserve"> the relatively high estimated threshold</w:t>
      </w:r>
      <w:r w:rsidR="00C209D2">
        <w:rPr>
          <w:rFonts w:asciiTheme="minorHAnsi" w:hAnsiTheme="minorHAnsi"/>
          <w:szCs w:val="22"/>
          <w:lang w:val="en-GB"/>
        </w:rPr>
        <w:t xml:space="preserve"> of about €200,000 per QALY</w:t>
      </w:r>
      <w:r w:rsidR="00BA6059">
        <w:rPr>
          <w:rFonts w:asciiTheme="minorHAnsi" w:hAnsiTheme="minorHAnsi"/>
          <w:szCs w:val="22"/>
          <w:lang w:val="en-GB"/>
        </w:rPr>
        <w:t xml:space="preserve">. </w:t>
      </w:r>
    </w:p>
    <w:p w14:paraId="763D9771" w14:textId="77777777" w:rsidR="00C209D2" w:rsidRDefault="00C209D2" w:rsidP="00B20B59">
      <w:pPr>
        <w:spacing w:line="360" w:lineRule="auto"/>
        <w:jc w:val="both"/>
        <w:rPr>
          <w:rFonts w:asciiTheme="minorHAnsi" w:hAnsiTheme="minorHAnsi"/>
          <w:szCs w:val="22"/>
          <w:lang w:val="en-GB"/>
        </w:rPr>
      </w:pPr>
    </w:p>
    <w:p w14:paraId="33E7C47C" w14:textId="77777777" w:rsidR="00C209D2" w:rsidRDefault="00C209D2" w:rsidP="00B20B59">
      <w:pPr>
        <w:spacing w:line="360" w:lineRule="auto"/>
        <w:jc w:val="both"/>
        <w:rPr>
          <w:rFonts w:asciiTheme="minorHAnsi" w:hAnsiTheme="minorHAnsi"/>
          <w:szCs w:val="22"/>
          <w:lang w:val="en-GB"/>
        </w:rPr>
      </w:pPr>
      <w:r>
        <w:rPr>
          <w:rFonts w:asciiTheme="minorHAnsi" w:hAnsiTheme="minorHAnsi"/>
          <w:szCs w:val="22"/>
          <w:lang w:val="en-GB"/>
        </w:rPr>
        <w:t>7. Estimated multimorbidity correction</w:t>
      </w:r>
    </w:p>
    <w:p w14:paraId="5D699B64" w14:textId="77777777" w:rsidR="00307FCA" w:rsidRDefault="00C209D2" w:rsidP="00B20B59">
      <w:pPr>
        <w:spacing w:line="360" w:lineRule="auto"/>
        <w:jc w:val="both"/>
        <w:rPr>
          <w:rFonts w:asciiTheme="minorHAnsi" w:hAnsiTheme="minorHAnsi"/>
          <w:szCs w:val="22"/>
          <w:lang w:val="en-GB"/>
        </w:rPr>
      </w:pPr>
      <w:r>
        <w:rPr>
          <w:rFonts w:asciiTheme="minorHAnsi" w:hAnsiTheme="minorHAnsi"/>
          <w:szCs w:val="22"/>
          <w:lang w:val="en-GB"/>
        </w:rPr>
        <w:t>To correct for the bias of the proportional multimorbidity correction, the assumption that deaths are proportional to spending</w:t>
      </w:r>
      <w:r w:rsidR="00A80FC8">
        <w:rPr>
          <w:rFonts w:asciiTheme="minorHAnsi" w:hAnsiTheme="minorHAnsi"/>
          <w:szCs w:val="22"/>
          <w:lang w:val="en-GB"/>
        </w:rPr>
        <w:t xml:space="preserve"> is relaxed. To this aim,</w:t>
      </w:r>
      <w:r>
        <w:rPr>
          <w:rFonts w:asciiTheme="minorHAnsi" w:hAnsiTheme="minorHAnsi"/>
          <w:szCs w:val="22"/>
          <w:lang w:val="en-GB"/>
        </w:rPr>
        <w:t xml:space="preserve"> the relation between deaths and spending is estimated</w:t>
      </w:r>
      <w:r w:rsidR="00307FCA">
        <w:rPr>
          <w:rFonts w:asciiTheme="minorHAnsi" w:hAnsiTheme="minorHAnsi"/>
          <w:szCs w:val="22"/>
          <w:lang w:val="en-GB"/>
        </w:rPr>
        <w:t xml:space="preserve"> for each of the 405 disease groups, after which the predicted deaths per unique patient group are used as input for the model in figure 1. However, due to the non-negativity restriction for the number of deaths, censoring bias at zero is expected to lead to overestimation of the effect, and a threshold biased downwards. </w:t>
      </w:r>
      <w:r w:rsidR="00EA35B7">
        <w:rPr>
          <w:rFonts w:asciiTheme="minorHAnsi" w:hAnsiTheme="minorHAnsi"/>
          <w:szCs w:val="22"/>
          <w:lang w:val="en-GB"/>
        </w:rPr>
        <w:t>The estimated threshold of €49,500 per QALY confirms this</w:t>
      </w:r>
      <w:r w:rsidR="00307FCA">
        <w:rPr>
          <w:rFonts w:asciiTheme="minorHAnsi" w:hAnsiTheme="minorHAnsi"/>
          <w:szCs w:val="22"/>
          <w:lang w:val="en-GB"/>
        </w:rPr>
        <w:t>. While multimorbidity corrections may potentially improve the accuracy of the estimation, the current approaches may be more prone to bias than our preferred specification. However, this is a promising area of future research</w:t>
      </w:r>
      <w:r w:rsidR="00AF11FC">
        <w:rPr>
          <w:rFonts w:asciiTheme="minorHAnsi" w:hAnsiTheme="minorHAnsi"/>
          <w:szCs w:val="22"/>
          <w:lang w:val="en-GB"/>
        </w:rPr>
        <w:t>.</w:t>
      </w:r>
    </w:p>
    <w:p w14:paraId="377B3D12" w14:textId="77777777" w:rsidR="00307FCA" w:rsidRDefault="00307FCA" w:rsidP="00B20B59">
      <w:pPr>
        <w:spacing w:line="360" w:lineRule="auto"/>
        <w:jc w:val="both"/>
        <w:rPr>
          <w:rFonts w:asciiTheme="minorHAnsi" w:hAnsiTheme="minorHAnsi"/>
          <w:szCs w:val="22"/>
          <w:lang w:val="en-GB"/>
        </w:rPr>
      </w:pPr>
    </w:p>
    <w:p w14:paraId="0DE2AB0B" w14:textId="77777777" w:rsidR="00307FCA" w:rsidRDefault="00BD7814" w:rsidP="00B20B59">
      <w:pPr>
        <w:spacing w:line="360" w:lineRule="auto"/>
        <w:jc w:val="both"/>
        <w:rPr>
          <w:rFonts w:asciiTheme="minorHAnsi" w:hAnsiTheme="minorHAnsi"/>
          <w:szCs w:val="22"/>
          <w:lang w:val="en-GB"/>
        </w:rPr>
      </w:pPr>
      <w:r>
        <w:rPr>
          <w:rFonts w:asciiTheme="minorHAnsi" w:hAnsiTheme="minorHAnsi"/>
          <w:szCs w:val="22"/>
          <w:lang w:val="en-GB"/>
        </w:rPr>
        <w:t>8. Per-</w:t>
      </w:r>
      <w:r w:rsidR="00307FCA">
        <w:rPr>
          <w:rFonts w:asciiTheme="minorHAnsi" w:hAnsiTheme="minorHAnsi"/>
          <w:szCs w:val="22"/>
          <w:lang w:val="en-GB"/>
        </w:rPr>
        <w:t>patient specification</w:t>
      </w:r>
    </w:p>
    <w:p w14:paraId="4BC86DC2" w14:textId="77777777" w:rsidR="00C209D2" w:rsidRDefault="00307FCA" w:rsidP="00B20B59">
      <w:pPr>
        <w:spacing w:line="360" w:lineRule="auto"/>
        <w:jc w:val="both"/>
        <w:rPr>
          <w:rFonts w:asciiTheme="minorHAnsi" w:hAnsiTheme="minorHAnsi"/>
          <w:szCs w:val="22"/>
          <w:lang w:val="en-GB"/>
        </w:rPr>
      </w:pPr>
      <w:r>
        <w:rPr>
          <w:rFonts w:asciiTheme="minorHAnsi" w:hAnsiTheme="minorHAnsi"/>
          <w:szCs w:val="22"/>
          <w:lang w:val="en-GB"/>
        </w:rPr>
        <w:t>Expressing spending and mortality per patient has been used before in the literature</w:t>
      </w:r>
      <w:r w:rsidR="00BD7814">
        <w:rPr>
          <w:rFonts w:asciiTheme="minorHAnsi" w:hAnsiTheme="minorHAnsi"/>
          <w:szCs w:val="22"/>
          <w:lang w:val="en-GB"/>
        </w:rPr>
        <w:t xml:space="preserve"> (</w:t>
      </w:r>
      <w:r>
        <w:rPr>
          <w:rFonts w:asciiTheme="minorHAnsi" w:hAnsiTheme="minorHAnsi"/>
          <w:szCs w:val="22"/>
          <w:lang w:val="en-GB"/>
        </w:rPr>
        <w:t>e.g. Van Baal et al., 2018</w:t>
      </w:r>
      <w:r w:rsidR="00BD7814">
        <w:rPr>
          <w:rFonts w:asciiTheme="minorHAnsi" w:hAnsiTheme="minorHAnsi"/>
          <w:szCs w:val="22"/>
          <w:lang w:val="en-GB"/>
        </w:rPr>
        <w:t>)</w:t>
      </w:r>
      <w:r>
        <w:rPr>
          <w:rFonts w:asciiTheme="minorHAnsi" w:hAnsiTheme="minorHAnsi"/>
          <w:szCs w:val="22"/>
          <w:lang w:val="en-GB"/>
        </w:rPr>
        <w:t>. In our fr</w:t>
      </w:r>
      <w:r w:rsidR="00BD7814">
        <w:rPr>
          <w:rFonts w:asciiTheme="minorHAnsi" w:hAnsiTheme="minorHAnsi"/>
          <w:szCs w:val="22"/>
          <w:lang w:val="en-GB"/>
        </w:rPr>
        <w:t>amework, a per-</w:t>
      </w:r>
      <w:r>
        <w:rPr>
          <w:rFonts w:asciiTheme="minorHAnsi" w:hAnsiTheme="minorHAnsi"/>
          <w:szCs w:val="22"/>
          <w:lang w:val="en-GB"/>
        </w:rPr>
        <w:t xml:space="preserve">patient specification is less appropriate, as changes in spending per patient may result from changes in spending or changes in the number of patients. The latter induces the risk of omitted variable bias, as </w:t>
      </w:r>
      <w:r w:rsidR="00B02E2D">
        <w:rPr>
          <w:rFonts w:asciiTheme="minorHAnsi" w:hAnsiTheme="minorHAnsi"/>
          <w:szCs w:val="22"/>
          <w:lang w:val="en-GB"/>
        </w:rPr>
        <w:t xml:space="preserve">positive health trends may reduce both per-patient spending and health outcomes. The preferred </w:t>
      </w:r>
      <w:proofErr w:type="spellStart"/>
      <w:r w:rsidR="00B02E2D">
        <w:rPr>
          <w:rFonts w:asciiTheme="minorHAnsi" w:hAnsiTheme="minorHAnsi"/>
          <w:szCs w:val="22"/>
          <w:lang w:val="en-GB"/>
        </w:rPr>
        <w:t>translog</w:t>
      </w:r>
      <w:proofErr w:type="spellEnd"/>
      <w:r w:rsidR="00B02E2D">
        <w:rPr>
          <w:rFonts w:asciiTheme="minorHAnsi" w:hAnsiTheme="minorHAnsi"/>
          <w:szCs w:val="22"/>
          <w:lang w:val="en-GB"/>
        </w:rPr>
        <w:t xml:space="preserve"> model corrects for OVB by separating the effect of spending and the effect of c</w:t>
      </w:r>
      <w:r w:rsidR="00C91B0F">
        <w:rPr>
          <w:rFonts w:asciiTheme="minorHAnsi" w:hAnsiTheme="minorHAnsi"/>
          <w:szCs w:val="22"/>
          <w:lang w:val="en-GB"/>
        </w:rPr>
        <w:t xml:space="preserve">hanges in patients on outcomes, by assuming that health trends are mainly reflected in changes in patient numbers (see main text). Moreover, the per-patient model is less flexible in modelling the relation between spending, the number of patients and health outcomes over diverse patient groups than the </w:t>
      </w:r>
      <w:proofErr w:type="spellStart"/>
      <w:r w:rsidR="00C91B0F">
        <w:rPr>
          <w:rFonts w:asciiTheme="minorHAnsi" w:hAnsiTheme="minorHAnsi"/>
          <w:szCs w:val="22"/>
          <w:lang w:val="en-GB"/>
        </w:rPr>
        <w:t>translog</w:t>
      </w:r>
      <w:proofErr w:type="spellEnd"/>
      <w:r w:rsidR="00C91B0F">
        <w:rPr>
          <w:rFonts w:asciiTheme="minorHAnsi" w:hAnsiTheme="minorHAnsi"/>
          <w:szCs w:val="22"/>
          <w:lang w:val="en-GB"/>
        </w:rPr>
        <w:t xml:space="preserve"> model. The risk of </w:t>
      </w:r>
      <w:proofErr w:type="gramStart"/>
      <w:r w:rsidR="00C91B0F">
        <w:rPr>
          <w:rFonts w:asciiTheme="minorHAnsi" w:hAnsiTheme="minorHAnsi"/>
          <w:szCs w:val="22"/>
          <w:lang w:val="en-GB"/>
        </w:rPr>
        <w:t>OVB  is</w:t>
      </w:r>
      <w:proofErr w:type="gramEnd"/>
      <w:r w:rsidR="00C91B0F">
        <w:rPr>
          <w:rFonts w:asciiTheme="minorHAnsi" w:hAnsiTheme="minorHAnsi"/>
          <w:szCs w:val="22"/>
          <w:lang w:val="en-GB"/>
        </w:rPr>
        <w:t xml:space="preserve"> reflected in the relatively high estimated threshold of €176,000 per QALY.</w:t>
      </w:r>
    </w:p>
    <w:p w14:paraId="63277E1F" w14:textId="77777777" w:rsidR="00C91B0F" w:rsidRDefault="00C91B0F" w:rsidP="00B20B59">
      <w:pPr>
        <w:spacing w:line="360" w:lineRule="auto"/>
        <w:jc w:val="both"/>
        <w:rPr>
          <w:rFonts w:asciiTheme="minorHAnsi" w:hAnsiTheme="minorHAnsi"/>
          <w:szCs w:val="22"/>
          <w:lang w:val="en-GB"/>
        </w:rPr>
      </w:pPr>
    </w:p>
    <w:p w14:paraId="7D1E5282" w14:textId="77777777" w:rsidR="00C91B0F" w:rsidRDefault="00C91B0F" w:rsidP="00B20B59">
      <w:pPr>
        <w:spacing w:line="360" w:lineRule="auto"/>
        <w:jc w:val="both"/>
        <w:rPr>
          <w:rFonts w:asciiTheme="minorHAnsi" w:hAnsiTheme="minorHAnsi"/>
          <w:szCs w:val="22"/>
          <w:lang w:val="en-GB"/>
        </w:rPr>
      </w:pPr>
      <w:r>
        <w:rPr>
          <w:rFonts w:asciiTheme="minorHAnsi" w:hAnsiTheme="minorHAnsi"/>
          <w:szCs w:val="22"/>
          <w:lang w:val="en-GB"/>
        </w:rPr>
        <w:t>9. Linear per-patient specification</w:t>
      </w:r>
    </w:p>
    <w:p w14:paraId="0F5050F9" w14:textId="77777777" w:rsidR="00C91B0F" w:rsidRDefault="00C91B0F" w:rsidP="00B20B59">
      <w:pPr>
        <w:spacing w:line="360" w:lineRule="auto"/>
        <w:jc w:val="both"/>
        <w:rPr>
          <w:rFonts w:asciiTheme="minorHAnsi" w:hAnsiTheme="minorHAnsi"/>
          <w:szCs w:val="22"/>
          <w:lang w:val="en-GB"/>
        </w:rPr>
      </w:pPr>
      <w:r>
        <w:rPr>
          <w:rFonts w:asciiTheme="minorHAnsi" w:hAnsiTheme="minorHAnsi"/>
          <w:szCs w:val="22"/>
          <w:lang w:val="en-GB"/>
        </w:rPr>
        <w:t xml:space="preserve">The </w:t>
      </w:r>
      <w:r w:rsidR="00BD7814">
        <w:rPr>
          <w:rFonts w:asciiTheme="minorHAnsi" w:hAnsiTheme="minorHAnsi"/>
          <w:szCs w:val="22"/>
          <w:lang w:val="en-GB"/>
        </w:rPr>
        <w:t xml:space="preserve">linear per-patient specification is the </w:t>
      </w:r>
      <w:r>
        <w:rPr>
          <w:rFonts w:asciiTheme="minorHAnsi" w:hAnsiTheme="minorHAnsi"/>
          <w:szCs w:val="22"/>
          <w:lang w:val="en-GB"/>
        </w:rPr>
        <w:t>least flexible model to relate health spending to outcomes, as it combines the disadvantages of the previous specification with high sensitivity to outliers due to the skewed distribution of health spending. Still, this model produces statistically significant outcomes</w:t>
      </w:r>
      <w:r w:rsidR="00BD7814">
        <w:rPr>
          <w:rFonts w:asciiTheme="minorHAnsi" w:hAnsiTheme="minorHAnsi"/>
          <w:szCs w:val="22"/>
          <w:lang w:val="en-GB"/>
        </w:rPr>
        <w:t xml:space="preserve"> (€85,000 per QALY)</w:t>
      </w:r>
      <w:r>
        <w:rPr>
          <w:rFonts w:asciiTheme="minorHAnsi" w:hAnsiTheme="minorHAnsi"/>
          <w:szCs w:val="22"/>
          <w:lang w:val="en-GB"/>
        </w:rPr>
        <w:t>, suggesting th</w:t>
      </w:r>
      <w:r w:rsidR="0031438C">
        <w:rPr>
          <w:rFonts w:asciiTheme="minorHAnsi" w:hAnsiTheme="minorHAnsi"/>
          <w:szCs w:val="22"/>
          <w:lang w:val="en-GB"/>
        </w:rPr>
        <w:t>at the functional form of the model</w:t>
      </w:r>
      <w:r w:rsidR="00AA7F0D">
        <w:rPr>
          <w:rFonts w:asciiTheme="minorHAnsi" w:hAnsiTheme="minorHAnsi"/>
          <w:szCs w:val="22"/>
          <w:lang w:val="en-GB"/>
        </w:rPr>
        <w:t xml:space="preserve"> may affect the size of the threshold, but does not drive the relation between hospital spending and health outcomes, as all functional forms exhibit statistically significant results in the expected direction</w:t>
      </w:r>
      <w:r w:rsidR="0031438C">
        <w:rPr>
          <w:rFonts w:asciiTheme="minorHAnsi" w:hAnsiTheme="minorHAnsi"/>
          <w:szCs w:val="22"/>
          <w:lang w:val="en-GB"/>
        </w:rPr>
        <w:t>.</w:t>
      </w:r>
    </w:p>
    <w:p w14:paraId="173F0ACB" w14:textId="77777777" w:rsidR="00C91B0F" w:rsidRDefault="00C91B0F" w:rsidP="00B20B59">
      <w:pPr>
        <w:spacing w:line="360" w:lineRule="auto"/>
        <w:jc w:val="both"/>
        <w:rPr>
          <w:rFonts w:asciiTheme="minorHAnsi" w:hAnsiTheme="minorHAnsi"/>
          <w:szCs w:val="22"/>
          <w:lang w:val="en-GB"/>
        </w:rPr>
      </w:pPr>
    </w:p>
    <w:p w14:paraId="688DD946" w14:textId="77777777" w:rsidR="00C91B0F" w:rsidRDefault="00C91B0F" w:rsidP="00B20B59">
      <w:pPr>
        <w:spacing w:line="360" w:lineRule="auto"/>
        <w:jc w:val="both"/>
        <w:rPr>
          <w:rFonts w:asciiTheme="minorHAnsi" w:hAnsiTheme="minorHAnsi"/>
          <w:szCs w:val="22"/>
          <w:lang w:val="en-GB"/>
        </w:rPr>
      </w:pPr>
      <w:r>
        <w:rPr>
          <w:rFonts w:asciiTheme="minorHAnsi" w:hAnsiTheme="minorHAnsi"/>
          <w:szCs w:val="22"/>
          <w:lang w:val="en-GB"/>
        </w:rPr>
        <w:t xml:space="preserve">10. </w:t>
      </w:r>
      <w:r w:rsidR="0031438C">
        <w:rPr>
          <w:rFonts w:asciiTheme="minorHAnsi" w:hAnsiTheme="minorHAnsi"/>
          <w:szCs w:val="22"/>
          <w:lang w:val="en-GB"/>
        </w:rPr>
        <w:t>Only mortality as outcome</w:t>
      </w:r>
    </w:p>
    <w:p w14:paraId="24D52FDE" w14:textId="77777777"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 xml:space="preserve">Removing step 1.1 to 1.4 in figure 1 from the estimation methodology renders a threshold estimation of €89,000 per QALY. This estimation </w:t>
      </w:r>
      <w:r w:rsidR="00AA7F0D">
        <w:rPr>
          <w:rFonts w:asciiTheme="minorHAnsi" w:hAnsiTheme="minorHAnsi"/>
          <w:szCs w:val="22"/>
          <w:lang w:val="en-GB"/>
        </w:rPr>
        <w:t>may</w:t>
      </w:r>
      <w:r>
        <w:rPr>
          <w:rFonts w:asciiTheme="minorHAnsi" w:hAnsiTheme="minorHAnsi"/>
          <w:szCs w:val="22"/>
          <w:lang w:val="en-GB"/>
        </w:rPr>
        <w:t xml:space="preserve"> not take into account potential gains in non-mortality related quality of life, biasing the estimator upwards.</w:t>
      </w:r>
    </w:p>
    <w:p w14:paraId="219A1E88" w14:textId="77777777" w:rsidR="0031438C" w:rsidRDefault="0031438C" w:rsidP="00B20B59">
      <w:pPr>
        <w:spacing w:line="360" w:lineRule="auto"/>
        <w:jc w:val="both"/>
        <w:rPr>
          <w:rFonts w:asciiTheme="minorHAnsi" w:hAnsiTheme="minorHAnsi"/>
          <w:szCs w:val="22"/>
          <w:lang w:val="en-GB"/>
        </w:rPr>
      </w:pPr>
    </w:p>
    <w:p w14:paraId="30921ACD" w14:textId="77777777"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11. Estimation of costs per death avoided</w:t>
      </w:r>
    </w:p>
    <w:p w14:paraId="701B0AAE" w14:textId="77777777"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 xml:space="preserve">Directly estimating the effect of changes in spending on mortality per age category results in estimations ranging from €12 million per death avoided for age 0 to €43.000 per death avoided for age 95+. This is highly consistent with estimations from Felder (2006) and Hall </w:t>
      </w:r>
      <w:r w:rsidR="00AA7F0D">
        <w:rPr>
          <w:rFonts w:asciiTheme="minorHAnsi" w:hAnsiTheme="minorHAnsi"/>
          <w:szCs w:val="22"/>
          <w:lang w:val="en-GB"/>
        </w:rPr>
        <w:t>&amp;</w:t>
      </w:r>
      <w:r>
        <w:rPr>
          <w:rFonts w:asciiTheme="minorHAnsi" w:hAnsiTheme="minorHAnsi"/>
          <w:szCs w:val="22"/>
          <w:lang w:val="en-GB"/>
        </w:rPr>
        <w:t xml:space="preserve"> Jones (200</w:t>
      </w:r>
      <w:r w:rsidR="00B248E0">
        <w:rPr>
          <w:rFonts w:asciiTheme="minorHAnsi" w:hAnsiTheme="minorHAnsi"/>
          <w:szCs w:val="22"/>
          <w:lang w:val="en-GB"/>
        </w:rPr>
        <w:t>4</w:t>
      </w:r>
      <w:r>
        <w:rPr>
          <w:rFonts w:asciiTheme="minorHAnsi" w:hAnsiTheme="minorHAnsi"/>
          <w:szCs w:val="22"/>
          <w:lang w:val="en-GB"/>
        </w:rPr>
        <w:t xml:space="preserve">). </w:t>
      </w:r>
    </w:p>
    <w:p w14:paraId="587597BE" w14:textId="77777777" w:rsidR="0031438C" w:rsidRDefault="0031438C" w:rsidP="00B20B59">
      <w:pPr>
        <w:spacing w:line="360" w:lineRule="auto"/>
        <w:jc w:val="both"/>
        <w:rPr>
          <w:rFonts w:asciiTheme="minorHAnsi" w:hAnsiTheme="minorHAnsi"/>
          <w:szCs w:val="22"/>
          <w:lang w:val="en-GB"/>
        </w:rPr>
      </w:pPr>
    </w:p>
    <w:p w14:paraId="324B2878" w14:textId="77777777" w:rsidR="0031438C" w:rsidRDefault="0031438C" w:rsidP="00B20B59">
      <w:pPr>
        <w:spacing w:line="360" w:lineRule="auto"/>
        <w:jc w:val="both"/>
        <w:rPr>
          <w:rFonts w:asciiTheme="minorHAnsi" w:hAnsiTheme="minorHAnsi"/>
          <w:szCs w:val="22"/>
          <w:lang w:val="en-GB"/>
        </w:rPr>
      </w:pPr>
      <w:r>
        <w:rPr>
          <w:rFonts w:asciiTheme="minorHAnsi" w:hAnsiTheme="minorHAnsi"/>
          <w:szCs w:val="22"/>
          <w:lang w:val="en-GB"/>
        </w:rPr>
        <w:t>12. Transformation of e</w:t>
      </w:r>
      <w:r w:rsidRPr="0031438C">
        <w:rPr>
          <w:rFonts w:asciiTheme="minorHAnsi" w:hAnsiTheme="minorHAnsi"/>
          <w:szCs w:val="22"/>
          <w:lang w:val="en-GB"/>
        </w:rPr>
        <w:t>stimation of cost per death avoided to QALYs</w:t>
      </w:r>
    </w:p>
    <w:p w14:paraId="085C5246" w14:textId="77777777" w:rsidR="00EA35B7" w:rsidRDefault="0031438C" w:rsidP="00EA35B7">
      <w:pPr>
        <w:spacing w:line="360" w:lineRule="auto"/>
        <w:jc w:val="both"/>
        <w:rPr>
          <w:rFonts w:asciiTheme="minorHAnsi" w:hAnsiTheme="minorHAnsi"/>
          <w:szCs w:val="22"/>
          <w:lang w:val="en-GB"/>
        </w:rPr>
      </w:pPr>
      <w:r>
        <w:rPr>
          <w:rFonts w:asciiTheme="minorHAnsi" w:hAnsiTheme="minorHAnsi"/>
          <w:szCs w:val="22"/>
          <w:lang w:val="en-GB"/>
        </w:rPr>
        <w:t xml:space="preserve">Transforming the cost per death avoided to QALYs, using remaining healthy life expectancy and </w:t>
      </w:r>
      <w:r w:rsidR="00E31778">
        <w:rPr>
          <w:rFonts w:asciiTheme="minorHAnsi" w:hAnsiTheme="minorHAnsi"/>
          <w:szCs w:val="22"/>
          <w:lang w:val="en-GB"/>
        </w:rPr>
        <w:t>mean</w:t>
      </w:r>
      <w:r>
        <w:rPr>
          <w:rFonts w:asciiTheme="minorHAnsi" w:hAnsiTheme="minorHAnsi"/>
          <w:szCs w:val="22"/>
          <w:lang w:val="en-GB"/>
        </w:rPr>
        <w:t xml:space="preserve"> burden-of-disease estimates, renders QALY thresholds between €318,000 Per QALY (0 years) to €33,000 per QALY (96+ years). </w:t>
      </w:r>
      <w:r w:rsidR="008B3DB8">
        <w:rPr>
          <w:rFonts w:asciiTheme="minorHAnsi" w:hAnsiTheme="minorHAnsi"/>
          <w:szCs w:val="22"/>
          <w:lang w:val="en-GB"/>
        </w:rPr>
        <w:t xml:space="preserve">The </w:t>
      </w:r>
      <w:r w:rsidR="00EB1A59">
        <w:rPr>
          <w:rFonts w:asciiTheme="minorHAnsi" w:hAnsiTheme="minorHAnsi"/>
          <w:szCs w:val="22"/>
          <w:lang w:val="en-GB"/>
        </w:rPr>
        <w:t xml:space="preserve">mean </w:t>
      </w:r>
      <w:r w:rsidR="00AF11FC">
        <w:rPr>
          <w:rFonts w:asciiTheme="minorHAnsi" w:hAnsiTheme="minorHAnsi"/>
          <w:szCs w:val="22"/>
          <w:lang w:val="en-GB"/>
        </w:rPr>
        <w:t xml:space="preserve">age-group weighed </w:t>
      </w:r>
      <w:r w:rsidR="00EB1A59">
        <w:rPr>
          <w:rFonts w:asciiTheme="minorHAnsi" w:hAnsiTheme="minorHAnsi"/>
          <w:szCs w:val="22"/>
          <w:lang w:val="en-GB"/>
        </w:rPr>
        <w:t>threshold of €4</w:t>
      </w:r>
      <w:r w:rsidR="00AA7F0D">
        <w:rPr>
          <w:rFonts w:asciiTheme="minorHAnsi" w:hAnsiTheme="minorHAnsi"/>
          <w:szCs w:val="22"/>
          <w:lang w:val="en-GB"/>
        </w:rPr>
        <w:t>4</w:t>
      </w:r>
      <w:r w:rsidR="00EB1A59">
        <w:rPr>
          <w:rFonts w:asciiTheme="minorHAnsi" w:hAnsiTheme="minorHAnsi"/>
          <w:szCs w:val="22"/>
          <w:lang w:val="en-GB"/>
        </w:rPr>
        <w:t>,000 per QALY</w:t>
      </w:r>
      <w:r w:rsidR="008B3DB8">
        <w:rPr>
          <w:rFonts w:asciiTheme="minorHAnsi" w:hAnsiTheme="minorHAnsi"/>
          <w:szCs w:val="22"/>
          <w:lang w:val="en-GB"/>
        </w:rPr>
        <w:t xml:space="preserve"> </w:t>
      </w:r>
      <w:r w:rsidR="00EB1A59">
        <w:rPr>
          <w:rFonts w:asciiTheme="minorHAnsi" w:hAnsiTheme="minorHAnsi"/>
          <w:szCs w:val="22"/>
          <w:lang w:val="en-GB"/>
        </w:rPr>
        <w:t>is</w:t>
      </w:r>
      <w:r w:rsidR="008B3DB8">
        <w:rPr>
          <w:rFonts w:asciiTheme="minorHAnsi" w:hAnsiTheme="minorHAnsi"/>
          <w:szCs w:val="22"/>
          <w:lang w:val="en-GB"/>
        </w:rPr>
        <w:t xml:space="preserve"> </w:t>
      </w:r>
      <w:r w:rsidR="004952E3">
        <w:rPr>
          <w:rFonts w:asciiTheme="minorHAnsi" w:hAnsiTheme="minorHAnsi"/>
          <w:szCs w:val="22"/>
          <w:lang w:val="en-GB"/>
        </w:rPr>
        <w:lastRenderedPageBreak/>
        <w:t xml:space="preserve">roughly </w:t>
      </w:r>
      <w:r w:rsidR="008B3DB8">
        <w:rPr>
          <w:rFonts w:asciiTheme="minorHAnsi" w:hAnsiTheme="minorHAnsi"/>
          <w:szCs w:val="22"/>
          <w:lang w:val="en-GB"/>
        </w:rPr>
        <w:t xml:space="preserve">comparable the mortality-only estimation of the </w:t>
      </w:r>
      <w:r w:rsidR="004952E3">
        <w:rPr>
          <w:rFonts w:asciiTheme="minorHAnsi" w:hAnsiTheme="minorHAnsi"/>
          <w:szCs w:val="22"/>
          <w:lang w:val="en-GB"/>
        </w:rPr>
        <w:t xml:space="preserve">main </w:t>
      </w:r>
      <w:r w:rsidR="008B3DB8">
        <w:rPr>
          <w:rFonts w:asciiTheme="minorHAnsi" w:hAnsiTheme="minorHAnsi"/>
          <w:szCs w:val="22"/>
          <w:lang w:val="en-GB"/>
        </w:rPr>
        <w:t>model (€61,100 euro per QALY</w:t>
      </w:r>
      <w:r w:rsidR="00EB1A59">
        <w:rPr>
          <w:rFonts w:asciiTheme="minorHAnsi" w:hAnsiTheme="minorHAnsi"/>
          <w:szCs w:val="22"/>
          <w:lang w:val="en-GB"/>
        </w:rPr>
        <w:t>).</w:t>
      </w:r>
      <w:r w:rsidR="00EA35B7">
        <w:rPr>
          <w:rFonts w:asciiTheme="minorHAnsi" w:hAnsiTheme="minorHAnsi"/>
          <w:szCs w:val="22"/>
          <w:lang w:val="en-GB"/>
        </w:rPr>
        <w:t xml:space="preserve"> </w:t>
      </w:r>
      <w:r w:rsidR="00EB1A59">
        <w:rPr>
          <w:rFonts w:asciiTheme="minorHAnsi" w:hAnsiTheme="minorHAnsi"/>
          <w:szCs w:val="22"/>
          <w:lang w:val="en-GB"/>
        </w:rPr>
        <w:t>As in 10, the estimation does not take into account potential gains in non-mortality related quality of life.</w:t>
      </w:r>
      <w:r w:rsidR="004952E3">
        <w:rPr>
          <w:rFonts w:asciiTheme="minorHAnsi" w:hAnsiTheme="minorHAnsi"/>
          <w:szCs w:val="22"/>
          <w:lang w:val="en-GB"/>
        </w:rPr>
        <w:t xml:space="preserve"> Furthermore, the assumption that costs to save a life differ between age and gender categories requires estimation of </w:t>
      </w:r>
      <w:r w:rsidR="00E31778">
        <w:rPr>
          <w:rFonts w:asciiTheme="minorHAnsi" w:hAnsiTheme="minorHAnsi"/>
          <w:szCs w:val="22"/>
          <w:lang w:val="en-GB"/>
        </w:rPr>
        <w:t xml:space="preserve">age- </w:t>
      </w:r>
      <w:r w:rsidR="00AF11FC">
        <w:rPr>
          <w:rFonts w:asciiTheme="minorHAnsi" w:hAnsiTheme="minorHAnsi"/>
          <w:szCs w:val="22"/>
          <w:lang w:val="en-GB"/>
        </w:rPr>
        <w:t xml:space="preserve">and gender specific parameters. Moreover, stringent assumptions are necessary to extrapolate the findings to patient groups without mortality (Barnsley et al., 2013). Therefore, the </w:t>
      </w:r>
      <w:r w:rsidR="002A04C9">
        <w:rPr>
          <w:rFonts w:asciiTheme="minorHAnsi" w:hAnsiTheme="minorHAnsi"/>
          <w:szCs w:val="22"/>
          <w:lang w:val="en-GB"/>
        </w:rPr>
        <w:t xml:space="preserve">preferred specification makes better use of available data. </w:t>
      </w:r>
    </w:p>
    <w:p w14:paraId="58CCF044" w14:textId="77777777" w:rsidR="00EB1A59" w:rsidRDefault="00EB1A59" w:rsidP="00EA35B7">
      <w:pPr>
        <w:spacing w:line="360" w:lineRule="auto"/>
        <w:jc w:val="both"/>
        <w:rPr>
          <w:rFonts w:asciiTheme="minorHAnsi" w:hAnsiTheme="minorHAnsi"/>
          <w:szCs w:val="22"/>
          <w:lang w:val="en-GB"/>
        </w:rPr>
      </w:pPr>
    </w:p>
    <w:p w14:paraId="492A3A51" w14:textId="77777777" w:rsidR="00EB1A59" w:rsidRDefault="00EB1A59" w:rsidP="00EA35B7">
      <w:pPr>
        <w:spacing w:line="360" w:lineRule="auto"/>
        <w:jc w:val="both"/>
        <w:rPr>
          <w:rFonts w:asciiTheme="minorHAnsi" w:hAnsiTheme="minorHAnsi"/>
          <w:szCs w:val="22"/>
          <w:lang w:val="en-GB"/>
        </w:rPr>
      </w:pPr>
      <w:r>
        <w:rPr>
          <w:rFonts w:asciiTheme="minorHAnsi" w:hAnsiTheme="minorHAnsi"/>
          <w:szCs w:val="22"/>
          <w:lang w:val="en-GB"/>
        </w:rPr>
        <w:t xml:space="preserve">13. </w:t>
      </w:r>
      <w:r w:rsidRPr="00EB1A59">
        <w:rPr>
          <w:rFonts w:asciiTheme="minorHAnsi" w:hAnsiTheme="minorHAnsi"/>
          <w:szCs w:val="22"/>
          <w:lang w:val="en-GB"/>
        </w:rPr>
        <w:t>One year lag of the outcome measure</w:t>
      </w:r>
    </w:p>
    <w:p w14:paraId="740C188E" w14:textId="77777777" w:rsidR="00EB1A59" w:rsidRDefault="00EB1A59" w:rsidP="00EA35B7">
      <w:pPr>
        <w:spacing w:line="360" w:lineRule="auto"/>
        <w:jc w:val="both"/>
        <w:rPr>
          <w:rFonts w:asciiTheme="minorHAnsi" w:hAnsiTheme="minorHAnsi"/>
          <w:szCs w:val="22"/>
          <w:lang w:val="en-GB"/>
        </w:rPr>
      </w:pPr>
      <w:r>
        <w:rPr>
          <w:rFonts w:asciiTheme="minorHAnsi" w:hAnsiTheme="minorHAnsi"/>
          <w:szCs w:val="22"/>
          <w:lang w:val="en-GB"/>
        </w:rPr>
        <w:t>Relating spending in year t to outcomes in year t+1 renders insignificant</w:t>
      </w:r>
      <w:r w:rsidR="00E31778">
        <w:rPr>
          <w:rFonts w:asciiTheme="minorHAnsi" w:hAnsiTheme="minorHAnsi"/>
          <w:szCs w:val="22"/>
          <w:lang w:val="en-GB"/>
        </w:rPr>
        <w:t>,</w:t>
      </w:r>
      <w:r>
        <w:rPr>
          <w:rFonts w:asciiTheme="minorHAnsi" w:hAnsiTheme="minorHAnsi"/>
          <w:szCs w:val="22"/>
          <w:lang w:val="en-GB"/>
        </w:rPr>
        <w:t xml:space="preserve"> positive estimates, suggesting spending in year t increases mortality in year t+1. It is conceivable that if mortality in year t is reduced, the risk of mortality in year t+1 is increased. </w:t>
      </w:r>
      <w:r w:rsidR="00E31778">
        <w:rPr>
          <w:rFonts w:asciiTheme="minorHAnsi" w:hAnsiTheme="minorHAnsi"/>
          <w:szCs w:val="22"/>
          <w:lang w:val="en-GB"/>
        </w:rPr>
        <w:t>However, t</w:t>
      </w:r>
      <w:r>
        <w:rPr>
          <w:rFonts w:asciiTheme="minorHAnsi" w:hAnsiTheme="minorHAnsi"/>
          <w:szCs w:val="22"/>
          <w:lang w:val="en-GB"/>
        </w:rPr>
        <w:t xml:space="preserve"> the absence of spending data as cohorts (e.g. spending in year t for age group 61 to 65 and spending in year t-1 for age group 60-64)</w:t>
      </w:r>
      <w:r w:rsidR="00717357">
        <w:rPr>
          <w:rFonts w:asciiTheme="minorHAnsi" w:hAnsiTheme="minorHAnsi"/>
          <w:szCs w:val="22"/>
          <w:lang w:val="en-GB"/>
        </w:rPr>
        <w:t xml:space="preserve"> renders estimation of lagged spending effects </w:t>
      </w:r>
      <w:r w:rsidR="002A04C9">
        <w:rPr>
          <w:rFonts w:asciiTheme="minorHAnsi" w:hAnsiTheme="minorHAnsi"/>
          <w:szCs w:val="22"/>
          <w:lang w:val="en-GB"/>
        </w:rPr>
        <w:t xml:space="preserve">in our dataset </w:t>
      </w:r>
      <w:r w:rsidR="00717357">
        <w:rPr>
          <w:rFonts w:asciiTheme="minorHAnsi" w:hAnsiTheme="minorHAnsi"/>
          <w:szCs w:val="22"/>
          <w:lang w:val="en-GB"/>
        </w:rPr>
        <w:t xml:space="preserve">invalid. </w:t>
      </w:r>
      <w:r w:rsidR="00E31778">
        <w:rPr>
          <w:rFonts w:asciiTheme="minorHAnsi" w:hAnsiTheme="minorHAnsi"/>
          <w:szCs w:val="22"/>
          <w:lang w:val="en-GB"/>
        </w:rPr>
        <w:t>Furthermo</w:t>
      </w:r>
      <w:r>
        <w:rPr>
          <w:rFonts w:asciiTheme="minorHAnsi" w:hAnsiTheme="minorHAnsi"/>
          <w:szCs w:val="22"/>
          <w:lang w:val="en-GB"/>
        </w:rPr>
        <w:t>r</w:t>
      </w:r>
      <w:r w:rsidR="00E31778">
        <w:rPr>
          <w:rFonts w:asciiTheme="minorHAnsi" w:hAnsiTheme="minorHAnsi"/>
          <w:szCs w:val="22"/>
          <w:lang w:val="en-GB"/>
        </w:rPr>
        <w:t>e</w:t>
      </w:r>
      <w:r>
        <w:rPr>
          <w:rFonts w:asciiTheme="minorHAnsi" w:hAnsiTheme="minorHAnsi"/>
          <w:szCs w:val="22"/>
          <w:lang w:val="en-GB"/>
        </w:rPr>
        <w:t>, to estimate time-dependent effects</w:t>
      </w:r>
      <w:r w:rsidR="00717357">
        <w:rPr>
          <w:rFonts w:asciiTheme="minorHAnsi" w:hAnsiTheme="minorHAnsi"/>
          <w:szCs w:val="22"/>
          <w:lang w:val="en-GB"/>
        </w:rPr>
        <w:t xml:space="preserve"> robustly</w:t>
      </w:r>
      <w:r>
        <w:rPr>
          <w:rFonts w:asciiTheme="minorHAnsi" w:hAnsiTheme="minorHAnsi"/>
          <w:szCs w:val="22"/>
          <w:lang w:val="en-GB"/>
        </w:rPr>
        <w:t xml:space="preserve">, a larger </w:t>
      </w:r>
      <w:proofErr w:type="gramStart"/>
      <w:r>
        <w:rPr>
          <w:rFonts w:asciiTheme="minorHAnsi" w:hAnsiTheme="minorHAnsi"/>
          <w:szCs w:val="22"/>
          <w:lang w:val="en-GB"/>
        </w:rPr>
        <w:t>time-span</w:t>
      </w:r>
      <w:proofErr w:type="gramEnd"/>
      <w:r>
        <w:rPr>
          <w:rFonts w:asciiTheme="minorHAnsi" w:hAnsiTheme="minorHAnsi"/>
          <w:szCs w:val="22"/>
          <w:lang w:val="en-GB"/>
        </w:rPr>
        <w:t xml:space="preserve"> than three years is warranted.</w:t>
      </w:r>
      <w:r w:rsidR="00E31778">
        <w:rPr>
          <w:rFonts w:asciiTheme="minorHAnsi" w:hAnsiTheme="minorHAnsi"/>
          <w:szCs w:val="22"/>
          <w:lang w:val="en-GB"/>
        </w:rPr>
        <w:t xml:space="preserve"> Lastly, a lagged effect requires additional correction for spending in the last years of life (</w:t>
      </w:r>
      <w:proofErr w:type="spellStart"/>
      <w:r w:rsidR="00E31778" w:rsidRPr="00E31778">
        <w:rPr>
          <w:rFonts w:asciiTheme="minorHAnsi" w:hAnsiTheme="minorHAnsi"/>
          <w:szCs w:val="22"/>
          <w:lang w:val="en-GB"/>
        </w:rPr>
        <w:t>Howdon</w:t>
      </w:r>
      <w:proofErr w:type="spellEnd"/>
      <w:r w:rsidR="00E31778" w:rsidRPr="00E31778">
        <w:rPr>
          <w:rFonts w:asciiTheme="minorHAnsi" w:hAnsiTheme="minorHAnsi"/>
          <w:szCs w:val="22"/>
          <w:lang w:val="en-GB"/>
        </w:rPr>
        <w:t xml:space="preserve"> &amp; Rice</w:t>
      </w:r>
      <w:r w:rsidR="00E31778">
        <w:rPr>
          <w:rFonts w:asciiTheme="minorHAnsi" w:hAnsiTheme="minorHAnsi"/>
          <w:szCs w:val="22"/>
          <w:lang w:val="en-GB"/>
        </w:rPr>
        <w:t xml:space="preserve">, </w:t>
      </w:r>
      <w:r w:rsidR="00E31778" w:rsidRPr="00E31778">
        <w:rPr>
          <w:rFonts w:asciiTheme="minorHAnsi" w:hAnsiTheme="minorHAnsi"/>
          <w:szCs w:val="22"/>
          <w:lang w:val="en-GB"/>
        </w:rPr>
        <w:t>2018</w:t>
      </w:r>
      <w:r w:rsidR="00E31778">
        <w:rPr>
          <w:rFonts w:asciiTheme="minorHAnsi" w:hAnsiTheme="minorHAnsi"/>
          <w:szCs w:val="22"/>
          <w:lang w:val="en-GB"/>
        </w:rPr>
        <w:t>).</w:t>
      </w:r>
    </w:p>
    <w:p w14:paraId="0F16E558" w14:textId="77777777" w:rsidR="00717357" w:rsidRDefault="00717357" w:rsidP="00EA35B7">
      <w:pPr>
        <w:spacing w:line="360" w:lineRule="auto"/>
        <w:jc w:val="both"/>
        <w:rPr>
          <w:rFonts w:asciiTheme="minorHAnsi" w:hAnsiTheme="minorHAnsi"/>
          <w:szCs w:val="22"/>
          <w:lang w:val="en-GB"/>
        </w:rPr>
      </w:pPr>
    </w:p>
    <w:p w14:paraId="7C6907DA" w14:textId="77777777" w:rsidR="00717357" w:rsidRDefault="00717357" w:rsidP="00EA35B7">
      <w:pPr>
        <w:spacing w:line="360" w:lineRule="auto"/>
        <w:jc w:val="both"/>
        <w:rPr>
          <w:rFonts w:asciiTheme="minorHAnsi" w:hAnsiTheme="minorHAnsi"/>
          <w:szCs w:val="22"/>
          <w:lang w:val="en-GB"/>
        </w:rPr>
      </w:pPr>
      <w:r>
        <w:rPr>
          <w:rFonts w:asciiTheme="minorHAnsi" w:hAnsiTheme="minorHAnsi"/>
          <w:szCs w:val="22"/>
          <w:lang w:val="en-GB"/>
        </w:rPr>
        <w:t>14. Two-year outcome measure</w:t>
      </w:r>
    </w:p>
    <w:p w14:paraId="645F40D0" w14:textId="77777777" w:rsidR="00717357" w:rsidRDefault="00717357" w:rsidP="00EA35B7">
      <w:pPr>
        <w:spacing w:line="360" w:lineRule="auto"/>
        <w:jc w:val="both"/>
        <w:rPr>
          <w:rFonts w:asciiTheme="minorHAnsi" w:hAnsiTheme="minorHAnsi"/>
          <w:szCs w:val="22"/>
          <w:lang w:val="en-GB"/>
        </w:rPr>
      </w:pPr>
      <w:r>
        <w:rPr>
          <w:rFonts w:asciiTheme="minorHAnsi" w:hAnsiTheme="minorHAnsi"/>
          <w:szCs w:val="22"/>
          <w:lang w:val="en-GB"/>
        </w:rPr>
        <w:t>One potential solution to estimating the effect of spending both in the same year and in the next year is to construct 2-year QALY outcomes. This resulted in a slightly lower threshold estimate of €60,000 per QALY, suggesting that part of the benefits of additional spending accrue in the next year.</w:t>
      </w:r>
    </w:p>
    <w:p w14:paraId="354646E7" w14:textId="77777777" w:rsidR="00717357" w:rsidRDefault="00717357" w:rsidP="00EA35B7">
      <w:pPr>
        <w:spacing w:line="360" w:lineRule="auto"/>
        <w:jc w:val="both"/>
        <w:rPr>
          <w:rFonts w:asciiTheme="minorHAnsi" w:hAnsiTheme="minorHAnsi"/>
          <w:szCs w:val="22"/>
          <w:lang w:val="en-GB"/>
        </w:rPr>
      </w:pPr>
    </w:p>
    <w:p w14:paraId="641ACF80" w14:textId="77777777" w:rsidR="00717357" w:rsidRDefault="00717357" w:rsidP="00EA35B7">
      <w:pPr>
        <w:spacing w:line="360" w:lineRule="auto"/>
        <w:jc w:val="both"/>
        <w:rPr>
          <w:rFonts w:asciiTheme="minorHAnsi" w:hAnsiTheme="minorHAnsi"/>
          <w:szCs w:val="22"/>
          <w:lang w:val="en-GB"/>
        </w:rPr>
      </w:pPr>
      <w:r>
        <w:rPr>
          <w:rFonts w:asciiTheme="minorHAnsi" w:hAnsiTheme="minorHAnsi"/>
          <w:szCs w:val="22"/>
          <w:lang w:val="en-GB"/>
        </w:rPr>
        <w:t xml:space="preserve">15. </w:t>
      </w:r>
      <w:r w:rsidRPr="00717357">
        <w:rPr>
          <w:rFonts w:asciiTheme="minorHAnsi" w:hAnsiTheme="minorHAnsi"/>
          <w:szCs w:val="22"/>
          <w:lang w:val="en-GB"/>
        </w:rPr>
        <w:t>Adjusting for technology shocks</w:t>
      </w:r>
    </w:p>
    <w:p w14:paraId="73975B8E" w14:textId="77777777" w:rsidR="00717357" w:rsidRDefault="000F32CB" w:rsidP="00EA35B7">
      <w:pPr>
        <w:spacing w:line="360" w:lineRule="auto"/>
        <w:jc w:val="both"/>
        <w:rPr>
          <w:rFonts w:asciiTheme="minorHAnsi" w:hAnsiTheme="minorHAnsi"/>
          <w:szCs w:val="22"/>
          <w:lang w:val="en-GB"/>
        </w:rPr>
      </w:pPr>
      <w:r>
        <w:rPr>
          <w:rFonts w:asciiTheme="minorHAnsi" w:hAnsiTheme="minorHAnsi"/>
          <w:szCs w:val="22"/>
          <w:lang w:val="en-GB"/>
        </w:rPr>
        <w:t>In the main model,</w:t>
      </w:r>
      <w:r w:rsidR="00717357">
        <w:rPr>
          <w:rFonts w:asciiTheme="minorHAnsi" w:hAnsiTheme="minorHAnsi"/>
          <w:szCs w:val="22"/>
          <w:lang w:val="en-GB"/>
        </w:rPr>
        <w:t xml:space="preserve"> </w:t>
      </w:r>
      <w:r>
        <w:rPr>
          <w:rFonts w:asciiTheme="minorHAnsi" w:hAnsiTheme="minorHAnsi"/>
          <w:szCs w:val="22"/>
          <w:lang w:val="en-GB"/>
        </w:rPr>
        <w:t xml:space="preserve">a </w:t>
      </w:r>
      <w:r w:rsidR="00717357">
        <w:rPr>
          <w:rFonts w:asciiTheme="minorHAnsi" w:hAnsiTheme="minorHAnsi"/>
          <w:szCs w:val="22"/>
          <w:lang w:val="en-GB"/>
        </w:rPr>
        <w:t xml:space="preserve">year trend corrects for </w:t>
      </w:r>
      <w:r w:rsidR="00A972D8">
        <w:rPr>
          <w:rFonts w:asciiTheme="minorHAnsi" w:hAnsiTheme="minorHAnsi"/>
          <w:szCs w:val="22"/>
          <w:lang w:val="en-GB"/>
        </w:rPr>
        <w:t xml:space="preserve">spurious </w:t>
      </w:r>
      <w:r>
        <w:rPr>
          <w:rFonts w:asciiTheme="minorHAnsi" w:hAnsiTheme="minorHAnsi"/>
          <w:szCs w:val="22"/>
          <w:lang w:val="en-GB"/>
        </w:rPr>
        <w:t>correlations</w:t>
      </w:r>
      <w:r w:rsidR="00A972D8">
        <w:rPr>
          <w:rFonts w:asciiTheme="minorHAnsi" w:hAnsiTheme="minorHAnsi"/>
          <w:szCs w:val="22"/>
          <w:lang w:val="en-GB"/>
        </w:rPr>
        <w:t xml:space="preserve"> in the data. To correct for spurious health shocks, time dummies were included in the </w:t>
      </w:r>
      <w:proofErr w:type="spellStart"/>
      <w:r w:rsidR="00A972D8">
        <w:rPr>
          <w:rFonts w:asciiTheme="minorHAnsi" w:hAnsiTheme="minorHAnsi"/>
          <w:szCs w:val="22"/>
          <w:lang w:val="en-GB"/>
        </w:rPr>
        <w:t>translog</w:t>
      </w:r>
      <w:proofErr w:type="spellEnd"/>
      <w:r w:rsidR="00A972D8">
        <w:rPr>
          <w:rFonts w:asciiTheme="minorHAnsi" w:hAnsiTheme="minorHAnsi"/>
          <w:szCs w:val="22"/>
          <w:lang w:val="en-GB"/>
        </w:rPr>
        <w:t xml:space="preserve"> model. </w:t>
      </w:r>
      <w:r w:rsidR="00C951F4">
        <w:rPr>
          <w:rFonts w:asciiTheme="minorHAnsi" w:hAnsiTheme="minorHAnsi"/>
          <w:szCs w:val="22"/>
          <w:lang w:val="en-GB"/>
        </w:rPr>
        <w:t>This did not alter the outcomes, demonstrating that the results are not driven by time-dependent technology shocks.</w:t>
      </w:r>
      <w:r w:rsidR="00FA4A8B">
        <w:rPr>
          <w:rFonts w:asciiTheme="minorHAnsi" w:hAnsiTheme="minorHAnsi"/>
          <w:szCs w:val="22"/>
          <w:lang w:val="en-GB"/>
        </w:rPr>
        <w:t xml:space="preserve"> </w:t>
      </w:r>
    </w:p>
    <w:p w14:paraId="10A052AC" w14:textId="77777777" w:rsidR="00FA4A8B" w:rsidRDefault="00FA4A8B" w:rsidP="00EA35B7">
      <w:pPr>
        <w:spacing w:line="360" w:lineRule="auto"/>
        <w:jc w:val="both"/>
        <w:rPr>
          <w:rFonts w:asciiTheme="minorHAnsi" w:hAnsiTheme="minorHAnsi"/>
          <w:szCs w:val="22"/>
          <w:lang w:val="en-GB"/>
        </w:rPr>
      </w:pPr>
    </w:p>
    <w:p w14:paraId="71903C2A" w14:textId="77777777" w:rsidR="00FA4A8B" w:rsidRDefault="00FA4A8B" w:rsidP="00EA35B7">
      <w:pPr>
        <w:spacing w:line="360" w:lineRule="auto"/>
        <w:jc w:val="both"/>
        <w:rPr>
          <w:rFonts w:asciiTheme="minorHAnsi" w:hAnsiTheme="minorHAnsi"/>
          <w:szCs w:val="22"/>
          <w:lang w:val="en-GB"/>
        </w:rPr>
      </w:pPr>
      <w:r>
        <w:rPr>
          <w:rFonts w:asciiTheme="minorHAnsi" w:hAnsiTheme="minorHAnsi"/>
          <w:szCs w:val="22"/>
          <w:lang w:val="en-GB"/>
        </w:rPr>
        <w:t>16. Health trends are added</w:t>
      </w:r>
    </w:p>
    <w:p w14:paraId="4561137D" w14:textId="77777777" w:rsidR="00FA4A8B" w:rsidRDefault="00FA4A8B" w:rsidP="00EA35B7">
      <w:pPr>
        <w:spacing w:line="360" w:lineRule="auto"/>
        <w:jc w:val="both"/>
        <w:rPr>
          <w:rFonts w:asciiTheme="minorHAnsi" w:hAnsiTheme="minorHAnsi"/>
          <w:szCs w:val="22"/>
          <w:lang w:val="en-GB"/>
        </w:rPr>
      </w:pPr>
      <w:r>
        <w:rPr>
          <w:rFonts w:asciiTheme="minorHAnsi" w:hAnsiTheme="minorHAnsi"/>
          <w:szCs w:val="22"/>
          <w:lang w:val="en-GB"/>
        </w:rPr>
        <w:t>Adding health</w:t>
      </w:r>
      <w:r w:rsidR="000F32CB">
        <w:rPr>
          <w:rFonts w:asciiTheme="minorHAnsi" w:hAnsiTheme="minorHAnsi"/>
          <w:szCs w:val="22"/>
          <w:lang w:val="en-GB"/>
        </w:rPr>
        <w:t>-related</w:t>
      </w:r>
      <w:r>
        <w:rPr>
          <w:rFonts w:asciiTheme="minorHAnsi" w:hAnsiTheme="minorHAnsi"/>
          <w:szCs w:val="22"/>
          <w:lang w:val="en-GB"/>
        </w:rPr>
        <w:t xml:space="preserve"> trends, e.g. percentage of smokers, alcohol use or obesity do</w:t>
      </w:r>
      <w:r w:rsidR="000F32CB">
        <w:rPr>
          <w:rFonts w:asciiTheme="minorHAnsi" w:hAnsiTheme="minorHAnsi"/>
          <w:szCs w:val="22"/>
          <w:lang w:val="en-GB"/>
        </w:rPr>
        <w:t>es</w:t>
      </w:r>
      <w:r>
        <w:rPr>
          <w:rFonts w:asciiTheme="minorHAnsi" w:hAnsiTheme="minorHAnsi"/>
          <w:szCs w:val="22"/>
          <w:lang w:val="en-GB"/>
        </w:rPr>
        <w:t xml:space="preserve"> not alter the results, providing further evidence that the results are not driven by </w:t>
      </w:r>
      <w:r w:rsidR="000F32CB">
        <w:rPr>
          <w:rFonts w:asciiTheme="minorHAnsi" w:hAnsiTheme="minorHAnsi"/>
          <w:szCs w:val="22"/>
          <w:lang w:val="en-GB"/>
        </w:rPr>
        <w:t xml:space="preserve">confounding </w:t>
      </w:r>
      <w:r>
        <w:rPr>
          <w:rFonts w:asciiTheme="minorHAnsi" w:hAnsiTheme="minorHAnsi"/>
          <w:szCs w:val="22"/>
          <w:lang w:val="en-GB"/>
        </w:rPr>
        <w:t>health trends</w:t>
      </w:r>
      <w:r w:rsidR="000F32CB">
        <w:rPr>
          <w:rFonts w:asciiTheme="minorHAnsi" w:hAnsiTheme="minorHAnsi"/>
          <w:szCs w:val="22"/>
          <w:lang w:val="en-GB"/>
        </w:rPr>
        <w:t>, and that the number of patients in a patient group may be a good proxy for changes in health status of patient groups</w:t>
      </w:r>
      <w:r>
        <w:rPr>
          <w:rFonts w:asciiTheme="minorHAnsi" w:hAnsiTheme="minorHAnsi"/>
          <w:szCs w:val="22"/>
          <w:lang w:val="en-GB"/>
        </w:rPr>
        <w:t xml:space="preserve">.  </w:t>
      </w:r>
    </w:p>
    <w:p w14:paraId="3835828B" w14:textId="77777777" w:rsidR="00BA6059" w:rsidRDefault="00BA6059" w:rsidP="00B20B59">
      <w:pPr>
        <w:spacing w:line="360" w:lineRule="auto"/>
        <w:jc w:val="both"/>
        <w:rPr>
          <w:rFonts w:asciiTheme="minorHAnsi" w:hAnsiTheme="minorHAnsi"/>
          <w:szCs w:val="22"/>
          <w:lang w:val="en-GB"/>
        </w:rPr>
      </w:pPr>
    </w:p>
    <w:p w14:paraId="77DDEA0E" w14:textId="77777777" w:rsidR="00BA6059" w:rsidRPr="000965BA" w:rsidRDefault="00BA6059" w:rsidP="00B20B59">
      <w:pPr>
        <w:spacing w:line="360" w:lineRule="auto"/>
        <w:jc w:val="both"/>
        <w:rPr>
          <w:rFonts w:asciiTheme="minorHAnsi" w:hAnsiTheme="minorHAnsi"/>
          <w:szCs w:val="22"/>
          <w:lang w:val="en-GB"/>
        </w:rPr>
      </w:pPr>
    </w:p>
    <w:sectPr w:rsidR="00BA6059" w:rsidRPr="000965BA" w:rsidSect="00367154">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5929A" w14:textId="77777777" w:rsidR="00AF11FC" w:rsidRDefault="00AF11FC" w:rsidP="00FD168E">
      <w:r>
        <w:separator/>
      </w:r>
    </w:p>
  </w:endnote>
  <w:endnote w:type="continuationSeparator" w:id="0">
    <w:p w14:paraId="5D6CE286" w14:textId="77777777" w:rsidR="00AF11FC" w:rsidRDefault="00AF11FC" w:rsidP="00FD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646688"/>
      <w:docPartObj>
        <w:docPartGallery w:val="Page Numbers (Bottom of Page)"/>
        <w:docPartUnique/>
      </w:docPartObj>
    </w:sdtPr>
    <w:sdtEndPr/>
    <w:sdtContent>
      <w:p w14:paraId="37D6448E" w14:textId="77777777" w:rsidR="00AF11FC" w:rsidRDefault="00322D94">
        <w:pPr>
          <w:pStyle w:val="Piedepgina"/>
          <w:jc w:val="right"/>
        </w:pPr>
        <w:r>
          <w:fldChar w:fldCharType="begin"/>
        </w:r>
        <w:r>
          <w:instrText xml:space="preserve"> PAGE   \* MERGEFORMAT </w:instrText>
        </w:r>
        <w:r>
          <w:fldChar w:fldCharType="separate"/>
        </w:r>
        <w:r w:rsidR="002545DF">
          <w:rPr>
            <w:noProof/>
          </w:rPr>
          <w:t>11</w:t>
        </w:r>
        <w:r>
          <w:rPr>
            <w:noProof/>
          </w:rPr>
          <w:fldChar w:fldCharType="end"/>
        </w:r>
      </w:p>
    </w:sdtContent>
  </w:sdt>
  <w:p w14:paraId="3210C458" w14:textId="77777777" w:rsidR="00AF11FC" w:rsidRDefault="00AF11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609D0" w14:textId="77777777" w:rsidR="00AF11FC" w:rsidRDefault="00AF11FC" w:rsidP="00FD168E">
      <w:r>
        <w:separator/>
      </w:r>
    </w:p>
  </w:footnote>
  <w:footnote w:type="continuationSeparator" w:id="0">
    <w:p w14:paraId="115B87AD" w14:textId="77777777" w:rsidR="00AF11FC" w:rsidRDefault="00AF11FC" w:rsidP="00FD16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134E5C"/>
    <w:multiLevelType w:val="hybridMultilevel"/>
    <w:tmpl w:val="D98ED464"/>
    <w:lvl w:ilvl="0" w:tplc="DDA0D0AC">
      <w:start w:val="1"/>
      <w:numFmt w:val="decimal"/>
      <w:lvlText w:val="%1)"/>
      <w:lvlJc w:val="left"/>
      <w:pPr>
        <w:ind w:left="720" w:hanging="360"/>
      </w:pPr>
      <w:rPr>
        <w:rFonts w:ascii="Cambria Math" w:hint="default"/>
        <w: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BEC7ABE"/>
    <w:multiLevelType w:val="multilevel"/>
    <w:tmpl w:val="5F74557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440"/>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2" w15:restartNumberingAfterBreak="0">
    <w:nsid w:val="51457A88"/>
    <w:multiLevelType w:val="multilevel"/>
    <w:tmpl w:val="5A086A9C"/>
    <w:lvl w:ilvl="0">
      <w:start w:val="1"/>
      <w:numFmt w:val="decimal"/>
      <w:pStyle w:val="ROpsomming-genummerd"/>
      <w:lvlText w:val="%1"/>
      <w:lvlJc w:val="left"/>
      <w:pPr>
        <w:tabs>
          <w:tab w:val="num" w:pos="454"/>
        </w:tabs>
        <w:ind w:left="454" w:hanging="454"/>
      </w:pPr>
      <w:rPr>
        <w:rFonts w:ascii="Verdana" w:hAnsi="Verdana" w:hint="default"/>
        <w:sz w:val="18"/>
      </w:rPr>
    </w:lvl>
    <w:lvl w:ilvl="1">
      <w:start w:val="1"/>
      <w:numFmt w:val="lowerLetter"/>
      <w:lvlText w:val="%2"/>
      <w:lvlJc w:val="left"/>
      <w:pPr>
        <w:tabs>
          <w:tab w:val="num" w:pos="907"/>
        </w:tabs>
        <w:ind w:left="907" w:hanging="453"/>
      </w:pPr>
      <w:rPr>
        <w:rFonts w:hint="default"/>
      </w:rPr>
    </w:lvl>
    <w:lvl w:ilvl="2">
      <w:start w:val="1"/>
      <w:numFmt w:val="decimal"/>
      <w:lvlText w:val="%3"/>
      <w:lvlJc w:val="left"/>
      <w:pPr>
        <w:tabs>
          <w:tab w:val="num" w:pos="1361"/>
        </w:tabs>
        <w:ind w:left="1361" w:hanging="454"/>
      </w:pPr>
      <w:rPr>
        <w:rFonts w:ascii="Verdana" w:hAnsi="Verdana" w:hint="default"/>
        <w:sz w:val="18"/>
      </w:rPr>
    </w:lvl>
    <w:lvl w:ilvl="3">
      <w:start w:val="1"/>
      <w:numFmt w:val="lowerLetter"/>
      <w:lvlText w:val="%4"/>
      <w:lvlJc w:val="left"/>
      <w:pPr>
        <w:tabs>
          <w:tab w:val="num" w:pos="1814"/>
        </w:tabs>
        <w:ind w:left="1814" w:hanging="453"/>
      </w:pPr>
      <w:rPr>
        <w:rFonts w:hint="default"/>
      </w:rPr>
    </w:lvl>
    <w:lvl w:ilvl="4">
      <w:start w:val="1"/>
      <w:numFmt w:val="decimal"/>
      <w:lvlText w:val="%5"/>
      <w:lvlJc w:val="left"/>
      <w:pPr>
        <w:tabs>
          <w:tab w:val="num" w:pos="2268"/>
        </w:tabs>
        <w:ind w:left="2268" w:hanging="454"/>
      </w:pPr>
      <w:rPr>
        <w:rFonts w:ascii="Verdana" w:hAnsi="Verdana" w:hint="default"/>
        <w:b w:val="0"/>
        <w:i w:val="0"/>
        <w:sz w:val="18"/>
      </w:rPr>
    </w:lvl>
    <w:lvl w:ilvl="5">
      <w:start w:val="1"/>
      <w:numFmt w:val="lowerLetter"/>
      <w:lvlText w:val="%6"/>
      <w:lvlJc w:val="left"/>
      <w:pPr>
        <w:tabs>
          <w:tab w:val="num" w:pos="2722"/>
        </w:tabs>
        <w:ind w:left="2722" w:hanging="454"/>
      </w:pPr>
      <w:rPr>
        <w:rFonts w:ascii="Verdana" w:hAnsi="Verdana" w:hint="default"/>
        <w:b w:val="0"/>
        <w:i w:val="0"/>
        <w:sz w:val="18"/>
      </w:rPr>
    </w:lvl>
    <w:lvl w:ilvl="6">
      <w:start w:val="1"/>
      <w:numFmt w:val="decimal"/>
      <w:lvlText w:val="%7"/>
      <w:lvlJc w:val="left"/>
      <w:pPr>
        <w:tabs>
          <w:tab w:val="num" w:pos="3175"/>
        </w:tabs>
        <w:ind w:left="3175" w:hanging="453"/>
      </w:pPr>
      <w:rPr>
        <w:rFonts w:ascii="Verdana" w:hAnsi="Verdana" w:hint="default"/>
        <w:b w:val="0"/>
        <w:i w:val="0"/>
        <w:sz w:val="18"/>
      </w:rPr>
    </w:lvl>
    <w:lvl w:ilvl="7">
      <w:start w:val="1"/>
      <w:numFmt w:val="lowerLetter"/>
      <w:lvlText w:val="%8"/>
      <w:lvlJc w:val="left"/>
      <w:pPr>
        <w:tabs>
          <w:tab w:val="num" w:pos="3629"/>
        </w:tabs>
        <w:ind w:left="3629" w:hanging="454"/>
      </w:pPr>
      <w:rPr>
        <w:rFonts w:ascii="Verdana" w:hAnsi="Verdana" w:hint="default"/>
        <w:b w:val="0"/>
        <w:i w:val="0"/>
        <w:sz w:val="18"/>
      </w:rPr>
    </w:lvl>
    <w:lvl w:ilvl="8">
      <w:start w:val="1"/>
      <w:numFmt w:val="decimal"/>
      <w:lvlText w:val="%9"/>
      <w:lvlJc w:val="left"/>
      <w:pPr>
        <w:tabs>
          <w:tab w:val="num" w:pos="4082"/>
        </w:tabs>
        <w:ind w:left="4082" w:hanging="453"/>
      </w:pPr>
      <w:rPr>
        <w:rFonts w:ascii="Verdana" w:hAnsi="Verdana" w:hint="default"/>
        <w:b w:val="0"/>
        <w:i w:val="0"/>
        <w:sz w:val="18"/>
      </w:rPr>
    </w:lvl>
  </w:abstractNum>
  <w:abstractNum w:abstractNumId="3" w15:restartNumberingAfterBreak="0">
    <w:nsid w:val="5B67598E"/>
    <w:multiLevelType w:val="multilevel"/>
    <w:tmpl w:val="178CD7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3997A27"/>
    <w:multiLevelType w:val="hybridMultilevel"/>
    <w:tmpl w:val="778CBF10"/>
    <w:lvl w:ilvl="0" w:tplc="70FCE3EA">
      <w:start w:val="1"/>
      <w:numFmt w:val="decimal"/>
      <w:lvlText w:val="%1)"/>
      <w:lvlJc w:val="left"/>
      <w:pPr>
        <w:ind w:left="720" w:hanging="360"/>
      </w:pPr>
      <w:rPr>
        <w:rFonts w:ascii="Cambria Math" w:hAnsi="Cambria Math"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zzwdx0oz95wwedev4pwwzfzp9etxvdtesd&quot;&gt;Untitled&lt;record-ids&gt;&lt;item&gt;147&lt;/item&gt;&lt;item&gt;156&lt;/item&gt;&lt;item&gt;157&lt;/item&gt;&lt;item&gt;158&lt;/item&gt;&lt;/record-ids&gt;&lt;/item&gt;&lt;/Libraries&gt;"/>
  </w:docVars>
  <w:rsids>
    <w:rsidRoot w:val="00FD168E"/>
    <w:rsid w:val="00002B54"/>
    <w:rsid w:val="00022A2C"/>
    <w:rsid w:val="00024238"/>
    <w:rsid w:val="00036545"/>
    <w:rsid w:val="000405E5"/>
    <w:rsid w:val="00053EF1"/>
    <w:rsid w:val="00056D81"/>
    <w:rsid w:val="00061F74"/>
    <w:rsid w:val="00064BCA"/>
    <w:rsid w:val="00073B78"/>
    <w:rsid w:val="0008279E"/>
    <w:rsid w:val="00085112"/>
    <w:rsid w:val="000963B2"/>
    <w:rsid w:val="000965BA"/>
    <w:rsid w:val="000A34AD"/>
    <w:rsid w:val="000A6E17"/>
    <w:rsid w:val="000B1D10"/>
    <w:rsid w:val="000D1400"/>
    <w:rsid w:val="000D5B4F"/>
    <w:rsid w:val="000F32CB"/>
    <w:rsid w:val="000F7A17"/>
    <w:rsid w:val="00107B04"/>
    <w:rsid w:val="00135FB6"/>
    <w:rsid w:val="001532B1"/>
    <w:rsid w:val="001602D5"/>
    <w:rsid w:val="0016397D"/>
    <w:rsid w:val="00172B92"/>
    <w:rsid w:val="00173988"/>
    <w:rsid w:val="00191824"/>
    <w:rsid w:val="001926A8"/>
    <w:rsid w:val="00193747"/>
    <w:rsid w:val="001A7A6F"/>
    <w:rsid w:val="001B2F21"/>
    <w:rsid w:val="001B43FB"/>
    <w:rsid w:val="001B5579"/>
    <w:rsid w:val="001C34E1"/>
    <w:rsid w:val="001C4FF1"/>
    <w:rsid w:val="001D2DC3"/>
    <w:rsid w:val="001E4F95"/>
    <w:rsid w:val="001F5613"/>
    <w:rsid w:val="001F69CA"/>
    <w:rsid w:val="00200043"/>
    <w:rsid w:val="00213490"/>
    <w:rsid w:val="00215C2B"/>
    <w:rsid w:val="00216792"/>
    <w:rsid w:val="002367C5"/>
    <w:rsid w:val="002525C6"/>
    <w:rsid w:val="002545DF"/>
    <w:rsid w:val="00256C0C"/>
    <w:rsid w:val="002708A0"/>
    <w:rsid w:val="00284F10"/>
    <w:rsid w:val="002A04C9"/>
    <w:rsid w:val="002A19F0"/>
    <w:rsid w:val="002A2A94"/>
    <w:rsid w:val="002A5104"/>
    <w:rsid w:val="002C079C"/>
    <w:rsid w:val="002C67D9"/>
    <w:rsid w:val="002C7D7A"/>
    <w:rsid w:val="002D5C69"/>
    <w:rsid w:val="002F1076"/>
    <w:rsid w:val="003037B9"/>
    <w:rsid w:val="00306524"/>
    <w:rsid w:val="00307FCA"/>
    <w:rsid w:val="0031412B"/>
    <w:rsid w:val="0031438C"/>
    <w:rsid w:val="003207EE"/>
    <w:rsid w:val="00322D94"/>
    <w:rsid w:val="00330BC3"/>
    <w:rsid w:val="00332C4E"/>
    <w:rsid w:val="00335BE9"/>
    <w:rsid w:val="00341074"/>
    <w:rsid w:val="00347E5B"/>
    <w:rsid w:val="00350A95"/>
    <w:rsid w:val="003529EE"/>
    <w:rsid w:val="00364FBB"/>
    <w:rsid w:val="00366E6B"/>
    <w:rsid w:val="00367154"/>
    <w:rsid w:val="00370A0D"/>
    <w:rsid w:val="00374C3E"/>
    <w:rsid w:val="00380C95"/>
    <w:rsid w:val="00396E17"/>
    <w:rsid w:val="003B42B8"/>
    <w:rsid w:val="003C19A0"/>
    <w:rsid w:val="003D61A1"/>
    <w:rsid w:val="003E1820"/>
    <w:rsid w:val="003F0F22"/>
    <w:rsid w:val="003F7871"/>
    <w:rsid w:val="004041E2"/>
    <w:rsid w:val="00425747"/>
    <w:rsid w:val="0043426F"/>
    <w:rsid w:val="00440F64"/>
    <w:rsid w:val="00444A4D"/>
    <w:rsid w:val="0045765A"/>
    <w:rsid w:val="00460344"/>
    <w:rsid w:val="00462C60"/>
    <w:rsid w:val="0046535C"/>
    <w:rsid w:val="004739B5"/>
    <w:rsid w:val="00491BD1"/>
    <w:rsid w:val="004923E0"/>
    <w:rsid w:val="004952E3"/>
    <w:rsid w:val="00495F82"/>
    <w:rsid w:val="004B62EB"/>
    <w:rsid w:val="004C4D54"/>
    <w:rsid w:val="004C57EF"/>
    <w:rsid w:val="004C709B"/>
    <w:rsid w:val="004E190D"/>
    <w:rsid w:val="004F2DB6"/>
    <w:rsid w:val="00521483"/>
    <w:rsid w:val="00533996"/>
    <w:rsid w:val="005449D4"/>
    <w:rsid w:val="00546044"/>
    <w:rsid w:val="00550009"/>
    <w:rsid w:val="00565BBA"/>
    <w:rsid w:val="00582A80"/>
    <w:rsid w:val="005871F2"/>
    <w:rsid w:val="00595442"/>
    <w:rsid w:val="005A1258"/>
    <w:rsid w:val="005A586D"/>
    <w:rsid w:val="005B2F85"/>
    <w:rsid w:val="005D064D"/>
    <w:rsid w:val="005D110E"/>
    <w:rsid w:val="005D2113"/>
    <w:rsid w:val="005D2A40"/>
    <w:rsid w:val="005D58E1"/>
    <w:rsid w:val="005D74F5"/>
    <w:rsid w:val="005E46FE"/>
    <w:rsid w:val="005E6992"/>
    <w:rsid w:val="005F53FB"/>
    <w:rsid w:val="005F689F"/>
    <w:rsid w:val="00601E78"/>
    <w:rsid w:val="006156E8"/>
    <w:rsid w:val="00616B76"/>
    <w:rsid w:val="0064095B"/>
    <w:rsid w:val="00651B13"/>
    <w:rsid w:val="00652A2F"/>
    <w:rsid w:val="00661B96"/>
    <w:rsid w:val="0066322C"/>
    <w:rsid w:val="0069560C"/>
    <w:rsid w:val="006A15C0"/>
    <w:rsid w:val="006A7B4B"/>
    <w:rsid w:val="006B678B"/>
    <w:rsid w:val="006C0425"/>
    <w:rsid w:val="006D1570"/>
    <w:rsid w:val="006D23B8"/>
    <w:rsid w:val="00700B8B"/>
    <w:rsid w:val="00706985"/>
    <w:rsid w:val="007074D1"/>
    <w:rsid w:val="007076A5"/>
    <w:rsid w:val="00717357"/>
    <w:rsid w:val="007174B5"/>
    <w:rsid w:val="007466B1"/>
    <w:rsid w:val="007505A0"/>
    <w:rsid w:val="00756F5E"/>
    <w:rsid w:val="00766E92"/>
    <w:rsid w:val="00773D78"/>
    <w:rsid w:val="00776514"/>
    <w:rsid w:val="00776FAF"/>
    <w:rsid w:val="00786036"/>
    <w:rsid w:val="007A1BE3"/>
    <w:rsid w:val="007A1C6D"/>
    <w:rsid w:val="007A31CD"/>
    <w:rsid w:val="007A59AB"/>
    <w:rsid w:val="007B4237"/>
    <w:rsid w:val="007C4E69"/>
    <w:rsid w:val="007D66BF"/>
    <w:rsid w:val="007E7969"/>
    <w:rsid w:val="0080532C"/>
    <w:rsid w:val="00821E84"/>
    <w:rsid w:val="008368C8"/>
    <w:rsid w:val="00840AA1"/>
    <w:rsid w:val="00842DD4"/>
    <w:rsid w:val="00844D1F"/>
    <w:rsid w:val="00845485"/>
    <w:rsid w:val="0086313F"/>
    <w:rsid w:val="00875D24"/>
    <w:rsid w:val="00876A9E"/>
    <w:rsid w:val="00881EEF"/>
    <w:rsid w:val="0088237A"/>
    <w:rsid w:val="00887CFC"/>
    <w:rsid w:val="008B3DB8"/>
    <w:rsid w:val="008B7438"/>
    <w:rsid w:val="008D4E7D"/>
    <w:rsid w:val="008D583F"/>
    <w:rsid w:val="008E532E"/>
    <w:rsid w:val="008F1F3D"/>
    <w:rsid w:val="00951232"/>
    <w:rsid w:val="00953207"/>
    <w:rsid w:val="00980782"/>
    <w:rsid w:val="0098256A"/>
    <w:rsid w:val="009842CC"/>
    <w:rsid w:val="009B2A60"/>
    <w:rsid w:val="009B57E9"/>
    <w:rsid w:val="009B73D9"/>
    <w:rsid w:val="009C0C07"/>
    <w:rsid w:val="009C125C"/>
    <w:rsid w:val="009C74B7"/>
    <w:rsid w:val="009D114F"/>
    <w:rsid w:val="009E1AFB"/>
    <w:rsid w:val="009F1617"/>
    <w:rsid w:val="009F3DD4"/>
    <w:rsid w:val="009F4BAD"/>
    <w:rsid w:val="00A0468C"/>
    <w:rsid w:val="00A117E5"/>
    <w:rsid w:val="00A12BB3"/>
    <w:rsid w:val="00A2104D"/>
    <w:rsid w:val="00A240F0"/>
    <w:rsid w:val="00A370D7"/>
    <w:rsid w:val="00A40ABA"/>
    <w:rsid w:val="00A43F64"/>
    <w:rsid w:val="00A50C2A"/>
    <w:rsid w:val="00A50EDC"/>
    <w:rsid w:val="00A54850"/>
    <w:rsid w:val="00A570AC"/>
    <w:rsid w:val="00A606CD"/>
    <w:rsid w:val="00A61AC0"/>
    <w:rsid w:val="00A61DA7"/>
    <w:rsid w:val="00A662FD"/>
    <w:rsid w:val="00A70B1D"/>
    <w:rsid w:val="00A80FC8"/>
    <w:rsid w:val="00A83734"/>
    <w:rsid w:val="00A84723"/>
    <w:rsid w:val="00A972D8"/>
    <w:rsid w:val="00AA015E"/>
    <w:rsid w:val="00AA3BE9"/>
    <w:rsid w:val="00AA7F0D"/>
    <w:rsid w:val="00AB03E1"/>
    <w:rsid w:val="00AB6AA1"/>
    <w:rsid w:val="00AD16D8"/>
    <w:rsid w:val="00AF11FC"/>
    <w:rsid w:val="00AF1CBA"/>
    <w:rsid w:val="00B01CB6"/>
    <w:rsid w:val="00B02367"/>
    <w:rsid w:val="00B02E2D"/>
    <w:rsid w:val="00B04BB2"/>
    <w:rsid w:val="00B11D13"/>
    <w:rsid w:val="00B20B59"/>
    <w:rsid w:val="00B23F4C"/>
    <w:rsid w:val="00B248E0"/>
    <w:rsid w:val="00B31FA3"/>
    <w:rsid w:val="00B46E22"/>
    <w:rsid w:val="00B549CF"/>
    <w:rsid w:val="00B56E41"/>
    <w:rsid w:val="00B603AC"/>
    <w:rsid w:val="00B75C93"/>
    <w:rsid w:val="00B81775"/>
    <w:rsid w:val="00B86693"/>
    <w:rsid w:val="00B957D1"/>
    <w:rsid w:val="00BA049C"/>
    <w:rsid w:val="00BA6059"/>
    <w:rsid w:val="00BC4660"/>
    <w:rsid w:val="00BD7814"/>
    <w:rsid w:val="00BE5386"/>
    <w:rsid w:val="00BE5E4F"/>
    <w:rsid w:val="00BF1338"/>
    <w:rsid w:val="00BF4ABF"/>
    <w:rsid w:val="00C06585"/>
    <w:rsid w:val="00C13C82"/>
    <w:rsid w:val="00C209D2"/>
    <w:rsid w:val="00C30EB9"/>
    <w:rsid w:val="00C32478"/>
    <w:rsid w:val="00C343C4"/>
    <w:rsid w:val="00C37B1B"/>
    <w:rsid w:val="00C42475"/>
    <w:rsid w:val="00C611C5"/>
    <w:rsid w:val="00C656A4"/>
    <w:rsid w:val="00C74850"/>
    <w:rsid w:val="00C7596A"/>
    <w:rsid w:val="00C83970"/>
    <w:rsid w:val="00C8489C"/>
    <w:rsid w:val="00C91B0F"/>
    <w:rsid w:val="00C951F4"/>
    <w:rsid w:val="00CA4313"/>
    <w:rsid w:val="00CC64EB"/>
    <w:rsid w:val="00CC6A33"/>
    <w:rsid w:val="00CE0F15"/>
    <w:rsid w:val="00CF7985"/>
    <w:rsid w:val="00D147C7"/>
    <w:rsid w:val="00D22C36"/>
    <w:rsid w:val="00D239D6"/>
    <w:rsid w:val="00D24961"/>
    <w:rsid w:val="00D256E4"/>
    <w:rsid w:val="00D271CB"/>
    <w:rsid w:val="00D320B4"/>
    <w:rsid w:val="00D41FF0"/>
    <w:rsid w:val="00D46F6E"/>
    <w:rsid w:val="00D47B8D"/>
    <w:rsid w:val="00D536F9"/>
    <w:rsid w:val="00D65EAA"/>
    <w:rsid w:val="00DA03E4"/>
    <w:rsid w:val="00DD5D50"/>
    <w:rsid w:val="00DD5E93"/>
    <w:rsid w:val="00DE3350"/>
    <w:rsid w:val="00DE6CE8"/>
    <w:rsid w:val="00DF71E3"/>
    <w:rsid w:val="00E157F0"/>
    <w:rsid w:val="00E22859"/>
    <w:rsid w:val="00E31778"/>
    <w:rsid w:val="00E31DF0"/>
    <w:rsid w:val="00E44BF3"/>
    <w:rsid w:val="00E634FE"/>
    <w:rsid w:val="00E71481"/>
    <w:rsid w:val="00E76720"/>
    <w:rsid w:val="00E939C7"/>
    <w:rsid w:val="00EA1735"/>
    <w:rsid w:val="00EA35B7"/>
    <w:rsid w:val="00EA5F35"/>
    <w:rsid w:val="00EB1A59"/>
    <w:rsid w:val="00ED1279"/>
    <w:rsid w:val="00EE303A"/>
    <w:rsid w:val="00EF0FF5"/>
    <w:rsid w:val="00EF4459"/>
    <w:rsid w:val="00EF74A6"/>
    <w:rsid w:val="00EF7A3B"/>
    <w:rsid w:val="00F01BA1"/>
    <w:rsid w:val="00F2023A"/>
    <w:rsid w:val="00F22F63"/>
    <w:rsid w:val="00F3207E"/>
    <w:rsid w:val="00F32631"/>
    <w:rsid w:val="00F32A99"/>
    <w:rsid w:val="00F47C18"/>
    <w:rsid w:val="00F522EE"/>
    <w:rsid w:val="00F5393E"/>
    <w:rsid w:val="00F54FE9"/>
    <w:rsid w:val="00F852A5"/>
    <w:rsid w:val="00F931C5"/>
    <w:rsid w:val="00F9345E"/>
    <w:rsid w:val="00FA4A8B"/>
    <w:rsid w:val="00FB531E"/>
    <w:rsid w:val="00FC7BFC"/>
    <w:rsid w:val="00FD168E"/>
    <w:rsid w:val="00FE7F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64CD3"/>
  <w15:docId w15:val="{083EBDAF-8030-4245-9C73-9D3D22C4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14F"/>
    <w:rPr>
      <w:sz w:val="22"/>
    </w:rPr>
  </w:style>
  <w:style w:type="paragraph" w:styleId="Ttulo1">
    <w:name w:val="heading 1"/>
    <w:basedOn w:val="Normal"/>
    <w:next w:val="Normal"/>
    <w:link w:val="Kop1Char"/>
    <w:qFormat/>
    <w:rsid w:val="009D114F"/>
    <w:pPr>
      <w:keepNext/>
      <w:numPr>
        <w:numId w:val="1"/>
      </w:numPr>
      <w:spacing w:before="240" w:after="240"/>
      <w:outlineLvl w:val="0"/>
    </w:pPr>
    <w:rPr>
      <w:b/>
      <w:kern w:val="28"/>
      <w:sz w:val="28"/>
    </w:rPr>
  </w:style>
  <w:style w:type="paragraph" w:styleId="Ttulo2">
    <w:name w:val="heading 2"/>
    <w:basedOn w:val="Normal"/>
    <w:next w:val="Normal"/>
    <w:link w:val="Kop2Char"/>
    <w:qFormat/>
    <w:rsid w:val="009D114F"/>
    <w:pPr>
      <w:keepNext/>
      <w:numPr>
        <w:ilvl w:val="1"/>
        <w:numId w:val="1"/>
      </w:numPr>
      <w:spacing w:before="240" w:after="60"/>
      <w:outlineLvl w:val="1"/>
    </w:pPr>
    <w:rPr>
      <w:sz w:val="26"/>
    </w:rPr>
  </w:style>
  <w:style w:type="paragraph" w:styleId="Ttulo3">
    <w:name w:val="heading 3"/>
    <w:basedOn w:val="Normal"/>
    <w:next w:val="Normal"/>
    <w:link w:val="Kop3Char"/>
    <w:qFormat/>
    <w:rsid w:val="009D114F"/>
    <w:pPr>
      <w:keepNext/>
      <w:numPr>
        <w:ilvl w:val="2"/>
        <w:numId w:val="1"/>
      </w:numPr>
      <w:spacing w:before="240" w:after="60"/>
      <w:outlineLvl w:val="2"/>
    </w:pPr>
    <w:rPr>
      <w:sz w:val="24"/>
    </w:rPr>
  </w:style>
  <w:style w:type="paragraph" w:styleId="Ttulo4">
    <w:name w:val="heading 4"/>
    <w:basedOn w:val="Normal"/>
    <w:next w:val="Normal"/>
    <w:link w:val="Kop4Char"/>
    <w:qFormat/>
    <w:rsid w:val="009D114F"/>
    <w:pPr>
      <w:keepNext/>
      <w:numPr>
        <w:ilvl w:val="3"/>
        <w:numId w:val="1"/>
      </w:numPr>
      <w:spacing w:before="240" w:after="60"/>
      <w:outlineLvl w:val="3"/>
    </w:pPr>
    <w:rPr>
      <w:sz w:val="24"/>
    </w:rPr>
  </w:style>
  <w:style w:type="paragraph" w:styleId="Ttulo5">
    <w:name w:val="heading 5"/>
    <w:basedOn w:val="Normal"/>
    <w:next w:val="Normal"/>
    <w:link w:val="Kop5Char"/>
    <w:qFormat/>
    <w:rsid w:val="009D114F"/>
    <w:pPr>
      <w:numPr>
        <w:ilvl w:val="4"/>
        <w:numId w:val="1"/>
      </w:numPr>
      <w:spacing w:before="240" w:after="60"/>
      <w:outlineLvl w:val="4"/>
    </w:pPr>
    <w:rPr>
      <w:kern w:val="28"/>
    </w:rPr>
  </w:style>
  <w:style w:type="paragraph" w:styleId="Ttulo6">
    <w:name w:val="heading 6"/>
    <w:basedOn w:val="Normal"/>
    <w:next w:val="Normal"/>
    <w:link w:val="Kop6Char"/>
    <w:qFormat/>
    <w:rsid w:val="009D114F"/>
    <w:pPr>
      <w:numPr>
        <w:ilvl w:val="5"/>
        <w:numId w:val="1"/>
      </w:numPr>
      <w:spacing w:before="240" w:after="60"/>
      <w:outlineLvl w:val="5"/>
    </w:pPr>
    <w:rPr>
      <w:rFonts w:ascii="Arial" w:hAnsi="Arial"/>
      <w:i/>
      <w:kern w:val="28"/>
    </w:rPr>
  </w:style>
  <w:style w:type="paragraph" w:styleId="Ttulo7">
    <w:name w:val="heading 7"/>
    <w:basedOn w:val="Normal"/>
    <w:next w:val="Normal"/>
    <w:link w:val="Kop7Char"/>
    <w:qFormat/>
    <w:rsid w:val="009D114F"/>
    <w:pPr>
      <w:numPr>
        <w:ilvl w:val="6"/>
        <w:numId w:val="1"/>
      </w:numPr>
      <w:spacing w:before="240" w:after="60"/>
      <w:outlineLvl w:val="6"/>
    </w:pPr>
    <w:rPr>
      <w:rFonts w:ascii="Arial" w:hAnsi="Arial"/>
      <w:kern w:val="28"/>
      <w:sz w:val="20"/>
    </w:rPr>
  </w:style>
  <w:style w:type="paragraph" w:styleId="Ttulo8">
    <w:name w:val="heading 8"/>
    <w:basedOn w:val="Normal"/>
    <w:next w:val="Normal"/>
    <w:link w:val="Kop8Char"/>
    <w:qFormat/>
    <w:rsid w:val="009D114F"/>
    <w:pPr>
      <w:numPr>
        <w:ilvl w:val="7"/>
        <w:numId w:val="1"/>
      </w:numPr>
      <w:spacing w:before="240" w:after="60"/>
      <w:outlineLvl w:val="7"/>
    </w:pPr>
    <w:rPr>
      <w:rFonts w:ascii="Arial" w:hAnsi="Arial"/>
      <w:i/>
      <w:kern w:val="28"/>
      <w:sz w:val="20"/>
    </w:rPr>
  </w:style>
  <w:style w:type="paragraph" w:styleId="Ttulo9">
    <w:name w:val="heading 9"/>
    <w:basedOn w:val="Normal"/>
    <w:next w:val="Normal"/>
    <w:link w:val="Kop9Char"/>
    <w:qFormat/>
    <w:rsid w:val="009D114F"/>
    <w:pPr>
      <w:numPr>
        <w:ilvl w:val="8"/>
        <w:numId w:val="1"/>
      </w:numPr>
      <w:spacing w:before="240" w:after="60"/>
      <w:outlineLvl w:val="8"/>
    </w:pPr>
    <w:rPr>
      <w:rFonts w:ascii="Arial" w:hAnsi="Arial"/>
      <w:i/>
      <w:kern w:val="28"/>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Kop1Char">
    <w:name w:val="Kop 1 Char"/>
    <w:basedOn w:val="Fuentedeprrafopredeter"/>
    <w:link w:val="Ttulo1"/>
    <w:rsid w:val="009D114F"/>
    <w:rPr>
      <w:b/>
      <w:kern w:val="28"/>
      <w:sz w:val="28"/>
    </w:rPr>
  </w:style>
  <w:style w:type="character" w:customStyle="1" w:styleId="Kop2Char">
    <w:name w:val="Kop 2 Char"/>
    <w:basedOn w:val="Fuentedeprrafopredeter"/>
    <w:link w:val="Ttulo2"/>
    <w:rsid w:val="009D114F"/>
    <w:rPr>
      <w:sz w:val="26"/>
    </w:rPr>
  </w:style>
  <w:style w:type="character" w:customStyle="1" w:styleId="Kop3Char">
    <w:name w:val="Kop 3 Char"/>
    <w:basedOn w:val="Fuentedeprrafopredeter"/>
    <w:link w:val="Ttulo3"/>
    <w:rsid w:val="009D114F"/>
    <w:rPr>
      <w:sz w:val="24"/>
    </w:rPr>
  </w:style>
  <w:style w:type="character" w:customStyle="1" w:styleId="Kop4Char">
    <w:name w:val="Kop 4 Char"/>
    <w:basedOn w:val="Fuentedeprrafopredeter"/>
    <w:link w:val="Ttulo4"/>
    <w:rsid w:val="009D114F"/>
    <w:rPr>
      <w:sz w:val="24"/>
    </w:rPr>
  </w:style>
  <w:style w:type="character" w:customStyle="1" w:styleId="Kop5Char">
    <w:name w:val="Kop 5 Char"/>
    <w:basedOn w:val="Fuentedeprrafopredeter"/>
    <w:link w:val="Ttulo5"/>
    <w:rsid w:val="009D114F"/>
    <w:rPr>
      <w:kern w:val="28"/>
      <w:sz w:val="22"/>
    </w:rPr>
  </w:style>
  <w:style w:type="character" w:customStyle="1" w:styleId="Kop6Char">
    <w:name w:val="Kop 6 Char"/>
    <w:basedOn w:val="Fuentedeprrafopredeter"/>
    <w:link w:val="Ttulo6"/>
    <w:rsid w:val="009D114F"/>
    <w:rPr>
      <w:rFonts w:ascii="Arial" w:hAnsi="Arial"/>
      <w:i/>
      <w:kern w:val="28"/>
      <w:sz w:val="22"/>
    </w:rPr>
  </w:style>
  <w:style w:type="character" w:customStyle="1" w:styleId="Kop7Char">
    <w:name w:val="Kop 7 Char"/>
    <w:basedOn w:val="Fuentedeprrafopredeter"/>
    <w:link w:val="Ttulo7"/>
    <w:rsid w:val="009D114F"/>
    <w:rPr>
      <w:rFonts w:ascii="Arial" w:hAnsi="Arial"/>
      <w:kern w:val="28"/>
    </w:rPr>
  </w:style>
  <w:style w:type="character" w:customStyle="1" w:styleId="Kop8Char">
    <w:name w:val="Kop 8 Char"/>
    <w:basedOn w:val="Fuentedeprrafopredeter"/>
    <w:link w:val="Ttulo8"/>
    <w:rsid w:val="009D114F"/>
    <w:rPr>
      <w:rFonts w:ascii="Arial" w:hAnsi="Arial"/>
      <w:i/>
      <w:kern w:val="28"/>
    </w:rPr>
  </w:style>
  <w:style w:type="character" w:customStyle="1" w:styleId="Kop9Char">
    <w:name w:val="Kop 9 Char"/>
    <w:basedOn w:val="Fuentedeprrafopredeter"/>
    <w:link w:val="Ttulo9"/>
    <w:rsid w:val="009D114F"/>
    <w:rPr>
      <w:rFonts w:ascii="Arial" w:hAnsi="Arial"/>
      <w:i/>
      <w:kern w:val="28"/>
      <w:sz w:val="18"/>
    </w:rPr>
  </w:style>
  <w:style w:type="paragraph" w:customStyle="1" w:styleId="EndNoteBibliographyTitle">
    <w:name w:val="EndNote Bibliography Title"/>
    <w:basedOn w:val="Normal"/>
    <w:link w:val="EndNoteBibliographyTitleChar"/>
    <w:rsid w:val="00FD168E"/>
    <w:pPr>
      <w:jc w:val="center"/>
    </w:pPr>
    <w:rPr>
      <w:noProof/>
    </w:rPr>
  </w:style>
  <w:style w:type="character" w:customStyle="1" w:styleId="EndNoteBibliographyTitleChar">
    <w:name w:val="EndNote Bibliography Title Char"/>
    <w:basedOn w:val="Fuentedeprrafopredeter"/>
    <w:link w:val="EndNoteBibliographyTitle"/>
    <w:rsid w:val="00FD168E"/>
    <w:rPr>
      <w:noProof/>
      <w:sz w:val="22"/>
    </w:rPr>
  </w:style>
  <w:style w:type="paragraph" w:customStyle="1" w:styleId="EndNoteBibliography">
    <w:name w:val="EndNote Bibliography"/>
    <w:basedOn w:val="Normal"/>
    <w:link w:val="EndNoteBibliographyChar"/>
    <w:rsid w:val="00FD168E"/>
    <w:rPr>
      <w:noProof/>
    </w:rPr>
  </w:style>
  <w:style w:type="character" w:customStyle="1" w:styleId="EndNoteBibliographyChar">
    <w:name w:val="EndNote Bibliography Char"/>
    <w:basedOn w:val="Fuentedeprrafopredeter"/>
    <w:link w:val="EndNoteBibliography"/>
    <w:rsid w:val="00FD168E"/>
    <w:rPr>
      <w:noProof/>
      <w:sz w:val="22"/>
    </w:rPr>
  </w:style>
  <w:style w:type="character" w:styleId="Textodelmarcadordeposicin">
    <w:name w:val="Placeholder Text"/>
    <w:basedOn w:val="Fuentedeprrafopredeter"/>
    <w:uiPriority w:val="99"/>
    <w:semiHidden/>
    <w:rsid w:val="00FD168E"/>
    <w:rPr>
      <w:color w:val="808080"/>
    </w:rPr>
  </w:style>
  <w:style w:type="paragraph" w:styleId="Textodeglobo">
    <w:name w:val="Balloon Text"/>
    <w:basedOn w:val="Normal"/>
    <w:link w:val="BallontekstChar"/>
    <w:uiPriority w:val="99"/>
    <w:semiHidden/>
    <w:unhideWhenUsed/>
    <w:rsid w:val="00FD168E"/>
    <w:rPr>
      <w:rFonts w:ascii="Tahoma" w:hAnsi="Tahoma" w:cs="Tahoma"/>
      <w:sz w:val="16"/>
      <w:szCs w:val="16"/>
    </w:rPr>
  </w:style>
  <w:style w:type="character" w:customStyle="1" w:styleId="BallontekstChar">
    <w:name w:val="Ballontekst Char"/>
    <w:basedOn w:val="Fuentedeprrafopredeter"/>
    <w:link w:val="Textodeglobo"/>
    <w:uiPriority w:val="99"/>
    <w:semiHidden/>
    <w:rsid w:val="00FD168E"/>
    <w:rPr>
      <w:rFonts w:ascii="Tahoma" w:hAnsi="Tahoma" w:cs="Tahoma"/>
      <w:sz w:val="16"/>
      <w:szCs w:val="16"/>
    </w:rPr>
  </w:style>
  <w:style w:type="paragraph" w:styleId="Prrafodelista">
    <w:name w:val="List Paragraph"/>
    <w:basedOn w:val="Normal"/>
    <w:uiPriority w:val="34"/>
    <w:qFormat/>
    <w:rsid w:val="00FD168E"/>
    <w:pPr>
      <w:ind w:left="720"/>
      <w:contextualSpacing/>
    </w:pPr>
  </w:style>
  <w:style w:type="table" w:styleId="Tablaconcuadrcula">
    <w:name w:val="Table Grid"/>
    <w:basedOn w:val="Tablanormal"/>
    <w:uiPriority w:val="59"/>
    <w:rsid w:val="00FD16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D168E"/>
    <w:rPr>
      <w:sz w:val="16"/>
      <w:szCs w:val="16"/>
    </w:rPr>
  </w:style>
  <w:style w:type="paragraph" w:styleId="Textocomentario">
    <w:name w:val="annotation text"/>
    <w:basedOn w:val="Normal"/>
    <w:link w:val="TekstopmerkingChar"/>
    <w:uiPriority w:val="99"/>
    <w:semiHidden/>
    <w:unhideWhenUsed/>
    <w:rsid w:val="00FD168E"/>
    <w:rPr>
      <w:sz w:val="20"/>
    </w:rPr>
  </w:style>
  <w:style w:type="character" w:customStyle="1" w:styleId="TekstopmerkingChar">
    <w:name w:val="Tekst opmerking Char"/>
    <w:basedOn w:val="Fuentedeprrafopredeter"/>
    <w:link w:val="Textocomentario"/>
    <w:uiPriority w:val="99"/>
    <w:semiHidden/>
    <w:rsid w:val="00FD168E"/>
  </w:style>
  <w:style w:type="paragraph" w:styleId="Asuntodelcomentario">
    <w:name w:val="annotation subject"/>
    <w:basedOn w:val="Textocomentario"/>
    <w:next w:val="Textocomentario"/>
    <w:link w:val="OnderwerpvanopmerkingChar"/>
    <w:uiPriority w:val="99"/>
    <w:semiHidden/>
    <w:unhideWhenUsed/>
    <w:rsid w:val="00FD168E"/>
    <w:rPr>
      <w:b/>
      <w:bCs/>
    </w:rPr>
  </w:style>
  <w:style w:type="character" w:customStyle="1" w:styleId="OnderwerpvanopmerkingChar">
    <w:name w:val="Onderwerp van opmerking Char"/>
    <w:basedOn w:val="TekstopmerkingChar"/>
    <w:link w:val="Asuntodelcomentario"/>
    <w:uiPriority w:val="99"/>
    <w:semiHidden/>
    <w:rsid w:val="00FD168E"/>
    <w:rPr>
      <w:b/>
      <w:bCs/>
    </w:rPr>
  </w:style>
  <w:style w:type="table" w:customStyle="1" w:styleId="Lichtelijst-accent11">
    <w:name w:val="Lichte lijst - accent 11"/>
    <w:basedOn w:val="Tablanormal"/>
    <w:uiPriority w:val="61"/>
    <w:rsid w:val="00FD168E"/>
    <w:tblPr>
      <w:tblStyleRowBandSize w:val="1"/>
      <w:tblStyleColBandSize w:val="1"/>
      <w:tblBorders>
        <w:top w:val="single" w:sz="8" w:space="0" w:color="0E4286" w:themeColor="accent1"/>
        <w:left w:val="single" w:sz="8" w:space="0" w:color="0E4286" w:themeColor="accent1"/>
        <w:bottom w:val="single" w:sz="8" w:space="0" w:color="0E4286" w:themeColor="accent1"/>
        <w:right w:val="single" w:sz="8" w:space="0" w:color="0E4286" w:themeColor="accent1"/>
      </w:tblBorders>
    </w:tblPr>
    <w:tblStylePr w:type="firstRow">
      <w:pPr>
        <w:spacing w:before="0" w:after="0" w:line="240" w:lineRule="auto"/>
      </w:pPr>
      <w:rPr>
        <w:b/>
        <w:bCs/>
        <w:color w:val="FFFFFF" w:themeColor="background1"/>
      </w:rPr>
      <w:tblPr/>
      <w:tcPr>
        <w:shd w:val="clear" w:color="auto" w:fill="0E4286" w:themeFill="accent1"/>
      </w:tcPr>
    </w:tblStylePr>
    <w:tblStylePr w:type="lastRow">
      <w:pPr>
        <w:spacing w:before="0" w:after="0" w:line="240" w:lineRule="auto"/>
      </w:pPr>
      <w:rPr>
        <w:b/>
        <w:bCs/>
      </w:rPr>
      <w:tblPr/>
      <w:tcPr>
        <w:tcBorders>
          <w:top w:val="double" w:sz="6" w:space="0" w:color="0E4286" w:themeColor="accent1"/>
          <w:left w:val="single" w:sz="8" w:space="0" w:color="0E4286" w:themeColor="accent1"/>
          <w:bottom w:val="single" w:sz="8" w:space="0" w:color="0E4286" w:themeColor="accent1"/>
          <w:right w:val="single" w:sz="8" w:space="0" w:color="0E4286" w:themeColor="accent1"/>
        </w:tcBorders>
      </w:tcPr>
    </w:tblStylePr>
    <w:tblStylePr w:type="firstCol">
      <w:rPr>
        <w:b/>
        <w:bCs/>
      </w:rPr>
    </w:tblStylePr>
    <w:tblStylePr w:type="lastCol">
      <w:rPr>
        <w:b/>
        <w:bCs/>
      </w:rPr>
    </w:tblStylePr>
    <w:tblStylePr w:type="band1Vert">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tblStylePr w:type="band1Horz">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style>
  <w:style w:type="paragraph" w:styleId="Ttulo">
    <w:name w:val="Title"/>
    <w:basedOn w:val="Normal"/>
    <w:next w:val="Normal"/>
    <w:link w:val="TitelChar"/>
    <w:uiPriority w:val="10"/>
    <w:qFormat/>
    <w:rsid w:val="00FD168E"/>
    <w:pPr>
      <w:pBdr>
        <w:bottom w:val="single" w:sz="8" w:space="4" w:color="0E4286" w:themeColor="accent1"/>
      </w:pBdr>
      <w:spacing w:after="300"/>
      <w:contextualSpacing/>
    </w:pPr>
    <w:rPr>
      <w:rFonts w:asciiTheme="majorHAnsi" w:eastAsiaTheme="majorEastAsia" w:hAnsiTheme="majorHAnsi" w:cstheme="majorBidi"/>
      <w:color w:val="8E2400" w:themeColor="text2" w:themeShade="BF"/>
      <w:spacing w:val="5"/>
      <w:kern w:val="28"/>
      <w:sz w:val="52"/>
      <w:szCs w:val="52"/>
    </w:rPr>
  </w:style>
  <w:style w:type="character" w:customStyle="1" w:styleId="TitelChar">
    <w:name w:val="Titel Char"/>
    <w:basedOn w:val="Fuentedeprrafopredeter"/>
    <w:link w:val="Ttulo"/>
    <w:uiPriority w:val="10"/>
    <w:rsid w:val="00FD168E"/>
    <w:rPr>
      <w:rFonts w:asciiTheme="majorHAnsi" w:eastAsiaTheme="majorEastAsia" w:hAnsiTheme="majorHAnsi" w:cstheme="majorBidi"/>
      <w:color w:val="8E2400" w:themeColor="text2" w:themeShade="BF"/>
      <w:spacing w:val="5"/>
      <w:kern w:val="28"/>
      <w:sz w:val="52"/>
      <w:szCs w:val="52"/>
    </w:rPr>
  </w:style>
  <w:style w:type="character" w:styleId="Hipervnculo">
    <w:name w:val="Hyperlink"/>
    <w:basedOn w:val="Fuentedeprrafopredeter"/>
    <w:uiPriority w:val="99"/>
    <w:unhideWhenUsed/>
    <w:rsid w:val="00FD168E"/>
    <w:rPr>
      <w:color w:val="3D168B" w:themeColor="hyperlink"/>
      <w:u w:val="single"/>
    </w:rPr>
  </w:style>
  <w:style w:type="table" w:customStyle="1" w:styleId="Lichtearcering-accent11">
    <w:name w:val="Lichte arcering - accent 11"/>
    <w:basedOn w:val="Tablanormal"/>
    <w:uiPriority w:val="60"/>
    <w:rsid w:val="00FD168E"/>
    <w:rPr>
      <w:color w:val="0A3164" w:themeColor="accent1" w:themeShade="BF"/>
    </w:rPr>
    <w:tblPr>
      <w:tblStyleRowBandSize w:val="1"/>
      <w:tblStyleColBandSize w:val="1"/>
      <w:tblBorders>
        <w:top w:val="single" w:sz="8" w:space="0" w:color="0E4286" w:themeColor="accent1"/>
        <w:bottom w:val="single" w:sz="8" w:space="0" w:color="0E4286" w:themeColor="accent1"/>
      </w:tblBorders>
    </w:tblPr>
    <w:tblStylePr w:type="firstRow">
      <w:pPr>
        <w:spacing w:before="0" w:after="0" w:line="240" w:lineRule="auto"/>
      </w:pPr>
      <w:rPr>
        <w:b/>
        <w:bCs/>
      </w:rPr>
      <w:tblPr/>
      <w:tcPr>
        <w:tcBorders>
          <w:top w:val="single" w:sz="8" w:space="0" w:color="0E4286" w:themeColor="accent1"/>
          <w:left w:val="nil"/>
          <w:bottom w:val="single" w:sz="8" w:space="0" w:color="0E4286" w:themeColor="accent1"/>
          <w:right w:val="nil"/>
          <w:insideH w:val="nil"/>
          <w:insideV w:val="nil"/>
        </w:tcBorders>
      </w:tcPr>
    </w:tblStylePr>
    <w:tblStylePr w:type="lastRow">
      <w:pPr>
        <w:spacing w:before="0" w:after="0" w:line="240" w:lineRule="auto"/>
      </w:pPr>
      <w:rPr>
        <w:b/>
        <w:bCs/>
      </w:rPr>
      <w:tblPr/>
      <w:tcPr>
        <w:tcBorders>
          <w:top w:val="single" w:sz="8" w:space="0" w:color="0E4286" w:themeColor="accent1"/>
          <w:left w:val="nil"/>
          <w:bottom w:val="single" w:sz="8" w:space="0" w:color="0E428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CDF6" w:themeFill="accent1" w:themeFillTint="3F"/>
      </w:tcPr>
    </w:tblStylePr>
    <w:tblStylePr w:type="band1Horz">
      <w:tblPr/>
      <w:tcPr>
        <w:tcBorders>
          <w:left w:val="nil"/>
          <w:right w:val="nil"/>
          <w:insideH w:val="nil"/>
          <w:insideV w:val="nil"/>
        </w:tcBorders>
        <w:shd w:val="clear" w:color="auto" w:fill="ADCDF6" w:themeFill="accent1" w:themeFillTint="3F"/>
      </w:tcPr>
    </w:tblStylePr>
  </w:style>
  <w:style w:type="table" w:customStyle="1" w:styleId="Lichtelijst-accent12">
    <w:name w:val="Lichte lijst - accent 12"/>
    <w:basedOn w:val="Tablanormal"/>
    <w:uiPriority w:val="61"/>
    <w:rsid w:val="00FD168E"/>
    <w:tblPr>
      <w:tblStyleRowBandSize w:val="1"/>
      <w:tblStyleColBandSize w:val="1"/>
      <w:tblBorders>
        <w:top w:val="single" w:sz="8" w:space="0" w:color="0E4286" w:themeColor="accent1"/>
        <w:left w:val="single" w:sz="8" w:space="0" w:color="0E4286" w:themeColor="accent1"/>
        <w:bottom w:val="single" w:sz="8" w:space="0" w:color="0E4286" w:themeColor="accent1"/>
        <w:right w:val="single" w:sz="8" w:space="0" w:color="0E4286" w:themeColor="accent1"/>
      </w:tblBorders>
    </w:tblPr>
    <w:tblStylePr w:type="firstRow">
      <w:pPr>
        <w:spacing w:before="0" w:after="0" w:line="240" w:lineRule="auto"/>
      </w:pPr>
      <w:rPr>
        <w:b/>
        <w:bCs/>
        <w:color w:val="FFFFFF" w:themeColor="background1"/>
      </w:rPr>
      <w:tblPr/>
      <w:tcPr>
        <w:shd w:val="clear" w:color="auto" w:fill="0E4286" w:themeFill="accent1"/>
      </w:tcPr>
    </w:tblStylePr>
    <w:tblStylePr w:type="lastRow">
      <w:pPr>
        <w:spacing w:before="0" w:after="0" w:line="240" w:lineRule="auto"/>
      </w:pPr>
      <w:rPr>
        <w:b/>
        <w:bCs/>
      </w:rPr>
      <w:tblPr/>
      <w:tcPr>
        <w:tcBorders>
          <w:top w:val="double" w:sz="6" w:space="0" w:color="0E4286" w:themeColor="accent1"/>
          <w:left w:val="single" w:sz="8" w:space="0" w:color="0E4286" w:themeColor="accent1"/>
          <w:bottom w:val="single" w:sz="8" w:space="0" w:color="0E4286" w:themeColor="accent1"/>
          <w:right w:val="single" w:sz="8" w:space="0" w:color="0E4286" w:themeColor="accent1"/>
        </w:tcBorders>
      </w:tcPr>
    </w:tblStylePr>
    <w:tblStylePr w:type="firstCol">
      <w:rPr>
        <w:b/>
        <w:bCs/>
      </w:rPr>
    </w:tblStylePr>
    <w:tblStylePr w:type="lastCol">
      <w:rPr>
        <w:b/>
        <w:bCs/>
      </w:rPr>
    </w:tblStylePr>
    <w:tblStylePr w:type="band1Vert">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tblStylePr w:type="band1Horz">
      <w:tblPr/>
      <w:tcPr>
        <w:tcBorders>
          <w:top w:val="single" w:sz="8" w:space="0" w:color="0E4286" w:themeColor="accent1"/>
          <w:left w:val="single" w:sz="8" w:space="0" w:color="0E4286" w:themeColor="accent1"/>
          <w:bottom w:val="single" w:sz="8" w:space="0" w:color="0E4286" w:themeColor="accent1"/>
          <w:right w:val="single" w:sz="8" w:space="0" w:color="0E4286" w:themeColor="accent1"/>
        </w:tcBorders>
      </w:tcPr>
    </w:tblStylePr>
  </w:style>
  <w:style w:type="paragraph" w:styleId="Textonotapie">
    <w:name w:val="footnote text"/>
    <w:basedOn w:val="Normal"/>
    <w:link w:val="VoetnoottekstChar"/>
    <w:uiPriority w:val="99"/>
    <w:unhideWhenUsed/>
    <w:rsid w:val="00FD168E"/>
    <w:rPr>
      <w:sz w:val="20"/>
    </w:rPr>
  </w:style>
  <w:style w:type="character" w:customStyle="1" w:styleId="VoetnoottekstChar">
    <w:name w:val="Voetnoottekst Char"/>
    <w:basedOn w:val="Fuentedeprrafopredeter"/>
    <w:link w:val="Textonotapie"/>
    <w:uiPriority w:val="99"/>
    <w:rsid w:val="00FD168E"/>
  </w:style>
  <w:style w:type="character" w:styleId="Refdenotaalpie">
    <w:name w:val="footnote reference"/>
    <w:basedOn w:val="Fuentedeprrafopredeter"/>
    <w:uiPriority w:val="99"/>
    <w:semiHidden/>
    <w:unhideWhenUsed/>
    <w:rsid w:val="00FD168E"/>
    <w:rPr>
      <w:vertAlign w:val="superscript"/>
    </w:rPr>
  </w:style>
  <w:style w:type="paragraph" w:styleId="Subttulo">
    <w:name w:val="Subtitle"/>
    <w:basedOn w:val="Normal"/>
    <w:next w:val="Normal"/>
    <w:link w:val="OndertitelChar"/>
    <w:uiPriority w:val="11"/>
    <w:qFormat/>
    <w:rsid w:val="00FD168E"/>
    <w:pPr>
      <w:numPr>
        <w:ilvl w:val="1"/>
      </w:numPr>
    </w:pPr>
    <w:rPr>
      <w:rFonts w:asciiTheme="majorHAnsi" w:eastAsiaTheme="majorEastAsia" w:hAnsiTheme="majorHAnsi" w:cstheme="majorBidi"/>
      <w:i/>
      <w:iCs/>
      <w:color w:val="0E4286" w:themeColor="accent1"/>
      <w:spacing w:val="15"/>
      <w:sz w:val="24"/>
      <w:szCs w:val="24"/>
    </w:rPr>
  </w:style>
  <w:style w:type="character" w:customStyle="1" w:styleId="OndertitelChar">
    <w:name w:val="Ondertitel Char"/>
    <w:basedOn w:val="Fuentedeprrafopredeter"/>
    <w:link w:val="Subttulo"/>
    <w:uiPriority w:val="11"/>
    <w:rsid w:val="00FD168E"/>
    <w:rPr>
      <w:rFonts w:asciiTheme="majorHAnsi" w:eastAsiaTheme="majorEastAsia" w:hAnsiTheme="majorHAnsi" w:cstheme="majorBidi"/>
      <w:i/>
      <w:iCs/>
      <w:color w:val="0E4286" w:themeColor="accent1"/>
      <w:spacing w:val="15"/>
      <w:sz w:val="24"/>
      <w:szCs w:val="24"/>
    </w:rPr>
  </w:style>
  <w:style w:type="paragraph" w:styleId="Sinespaciado">
    <w:name w:val="No Spacing"/>
    <w:uiPriority w:val="1"/>
    <w:qFormat/>
    <w:rsid w:val="00FD168E"/>
    <w:rPr>
      <w:sz w:val="22"/>
    </w:rPr>
  </w:style>
  <w:style w:type="paragraph" w:styleId="Encabezado">
    <w:name w:val="header"/>
    <w:basedOn w:val="Normal"/>
    <w:link w:val="KoptekstChar"/>
    <w:uiPriority w:val="99"/>
    <w:unhideWhenUsed/>
    <w:rsid w:val="00FD168E"/>
    <w:pPr>
      <w:tabs>
        <w:tab w:val="center" w:pos="4536"/>
        <w:tab w:val="right" w:pos="9072"/>
      </w:tabs>
    </w:pPr>
  </w:style>
  <w:style w:type="character" w:customStyle="1" w:styleId="KoptekstChar">
    <w:name w:val="Koptekst Char"/>
    <w:basedOn w:val="Fuentedeprrafopredeter"/>
    <w:link w:val="Encabezado"/>
    <w:uiPriority w:val="99"/>
    <w:rsid w:val="00FD168E"/>
    <w:rPr>
      <w:sz w:val="22"/>
    </w:rPr>
  </w:style>
  <w:style w:type="paragraph" w:styleId="Piedepgina">
    <w:name w:val="footer"/>
    <w:basedOn w:val="Normal"/>
    <w:link w:val="VoettekstChar"/>
    <w:uiPriority w:val="99"/>
    <w:unhideWhenUsed/>
    <w:rsid w:val="00FD168E"/>
    <w:pPr>
      <w:tabs>
        <w:tab w:val="center" w:pos="4536"/>
        <w:tab w:val="right" w:pos="9072"/>
      </w:tabs>
    </w:pPr>
  </w:style>
  <w:style w:type="character" w:customStyle="1" w:styleId="VoettekstChar">
    <w:name w:val="Voettekst Char"/>
    <w:basedOn w:val="Fuentedeprrafopredeter"/>
    <w:link w:val="Piedepgina"/>
    <w:uiPriority w:val="99"/>
    <w:rsid w:val="00FD168E"/>
    <w:rPr>
      <w:sz w:val="22"/>
    </w:rPr>
  </w:style>
  <w:style w:type="table" w:customStyle="1" w:styleId="Lichtearcering1">
    <w:name w:val="Lichte arcering1"/>
    <w:basedOn w:val="Tablanormal"/>
    <w:uiPriority w:val="60"/>
    <w:rsid w:val="00FD16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ROpsomming-genummerd">
    <w:name w:val="R_Opsomming-genummerd"/>
    <w:basedOn w:val="Normal"/>
    <w:rsid w:val="00FD168E"/>
    <w:pPr>
      <w:widowControl w:val="0"/>
      <w:numPr>
        <w:numId w:val="3"/>
      </w:numPr>
      <w:tabs>
        <w:tab w:val="left" w:pos="907"/>
        <w:tab w:val="left" w:pos="1361"/>
        <w:tab w:val="left" w:pos="1814"/>
        <w:tab w:val="left" w:pos="2268"/>
        <w:tab w:val="left" w:pos="2722"/>
        <w:tab w:val="left" w:pos="3175"/>
        <w:tab w:val="left" w:pos="3629"/>
        <w:tab w:val="left" w:pos="4082"/>
        <w:tab w:val="left" w:pos="4536"/>
      </w:tabs>
      <w:suppressAutoHyphens/>
      <w:spacing w:line="240" w:lineRule="atLeast"/>
    </w:pPr>
    <w:rPr>
      <w:rFonts w:ascii="Verdana" w:hAnsi="Verdana"/>
      <w:sz w:val="18"/>
    </w:rPr>
  </w:style>
  <w:style w:type="paragraph" w:styleId="z-Principiodelformulario">
    <w:name w:val="HTML Top of Form"/>
    <w:basedOn w:val="Normal"/>
    <w:next w:val="Normal"/>
    <w:link w:val="BovenkantformulierChar"/>
    <w:hidden/>
    <w:uiPriority w:val="99"/>
    <w:semiHidden/>
    <w:unhideWhenUsed/>
    <w:rsid w:val="002A2A94"/>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Fuentedeprrafopredeter"/>
    <w:link w:val="z-Principiodelformulario"/>
    <w:uiPriority w:val="99"/>
    <w:semiHidden/>
    <w:rsid w:val="002A2A94"/>
    <w:rPr>
      <w:rFonts w:ascii="Arial" w:hAnsi="Arial" w:cs="Arial"/>
      <w:vanish/>
      <w:sz w:val="16"/>
      <w:szCs w:val="16"/>
    </w:rPr>
  </w:style>
  <w:style w:type="paragraph" w:styleId="z-Finaldelformulario">
    <w:name w:val="HTML Bottom of Form"/>
    <w:basedOn w:val="Normal"/>
    <w:next w:val="Normal"/>
    <w:link w:val="OnderkantformulierChar"/>
    <w:hidden/>
    <w:uiPriority w:val="99"/>
    <w:unhideWhenUsed/>
    <w:rsid w:val="002A2A94"/>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Fuentedeprrafopredeter"/>
    <w:link w:val="z-Finaldelformulario"/>
    <w:uiPriority w:val="99"/>
    <w:rsid w:val="002A2A9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59570">
      <w:marLeft w:val="0"/>
      <w:marRight w:val="0"/>
      <w:marTop w:val="0"/>
      <w:marBottom w:val="0"/>
      <w:divBdr>
        <w:top w:val="none" w:sz="0" w:space="0" w:color="auto"/>
        <w:left w:val="none" w:sz="0" w:space="0" w:color="auto"/>
        <w:bottom w:val="none" w:sz="0" w:space="0" w:color="auto"/>
        <w:right w:val="none" w:sz="0" w:space="0" w:color="auto"/>
      </w:divBdr>
    </w:div>
    <w:div w:id="154997328">
      <w:marLeft w:val="0"/>
      <w:marRight w:val="0"/>
      <w:marTop w:val="0"/>
      <w:marBottom w:val="0"/>
      <w:divBdr>
        <w:top w:val="none" w:sz="0" w:space="0" w:color="auto"/>
        <w:left w:val="none" w:sz="0" w:space="0" w:color="auto"/>
        <w:bottom w:val="none" w:sz="0" w:space="0" w:color="auto"/>
        <w:right w:val="none" w:sz="0" w:space="0" w:color="auto"/>
      </w:divBdr>
    </w:div>
    <w:div w:id="366026067">
      <w:marLeft w:val="0"/>
      <w:marRight w:val="0"/>
      <w:marTop w:val="0"/>
      <w:marBottom w:val="0"/>
      <w:divBdr>
        <w:top w:val="none" w:sz="0" w:space="0" w:color="auto"/>
        <w:left w:val="none" w:sz="0" w:space="0" w:color="auto"/>
        <w:bottom w:val="none" w:sz="0" w:space="0" w:color="auto"/>
        <w:right w:val="none" w:sz="0" w:space="0" w:color="auto"/>
      </w:divBdr>
    </w:div>
    <w:div w:id="942111320">
      <w:bodyDiv w:val="1"/>
      <w:marLeft w:val="0"/>
      <w:marRight w:val="0"/>
      <w:marTop w:val="0"/>
      <w:marBottom w:val="0"/>
      <w:divBdr>
        <w:top w:val="none" w:sz="0" w:space="0" w:color="auto"/>
        <w:left w:val="none" w:sz="0" w:space="0" w:color="auto"/>
        <w:bottom w:val="none" w:sz="0" w:space="0" w:color="auto"/>
        <w:right w:val="none" w:sz="0" w:space="0" w:color="auto"/>
      </w:divBdr>
      <w:divsChild>
        <w:div w:id="833765307">
          <w:marLeft w:val="0"/>
          <w:marRight w:val="0"/>
          <w:marTop w:val="0"/>
          <w:marBottom w:val="0"/>
          <w:divBdr>
            <w:top w:val="none" w:sz="0" w:space="0" w:color="auto"/>
            <w:left w:val="none" w:sz="0" w:space="0" w:color="auto"/>
            <w:bottom w:val="none" w:sz="0" w:space="0" w:color="auto"/>
            <w:right w:val="none" w:sz="0" w:space="0" w:color="auto"/>
          </w:divBdr>
        </w:div>
        <w:div w:id="1406338784">
          <w:marLeft w:val="0"/>
          <w:marRight w:val="0"/>
          <w:marTop w:val="0"/>
          <w:marBottom w:val="0"/>
          <w:divBdr>
            <w:top w:val="none" w:sz="0" w:space="0" w:color="auto"/>
            <w:left w:val="none" w:sz="0" w:space="0" w:color="auto"/>
            <w:bottom w:val="none" w:sz="0" w:space="0" w:color="auto"/>
            <w:right w:val="none" w:sz="0" w:space="0" w:color="auto"/>
          </w:divBdr>
          <w:divsChild>
            <w:div w:id="19906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99762">
      <w:bodyDiv w:val="1"/>
      <w:marLeft w:val="0"/>
      <w:marRight w:val="0"/>
      <w:marTop w:val="0"/>
      <w:marBottom w:val="0"/>
      <w:divBdr>
        <w:top w:val="none" w:sz="0" w:space="0" w:color="auto"/>
        <w:left w:val="none" w:sz="0" w:space="0" w:color="auto"/>
        <w:bottom w:val="none" w:sz="0" w:space="0" w:color="auto"/>
        <w:right w:val="none" w:sz="0" w:space="0" w:color="auto"/>
      </w:divBdr>
    </w:div>
    <w:div w:id="1476679606">
      <w:marLeft w:val="0"/>
      <w:marRight w:val="0"/>
      <w:marTop w:val="0"/>
      <w:marBottom w:val="0"/>
      <w:divBdr>
        <w:top w:val="none" w:sz="0" w:space="0" w:color="auto"/>
        <w:left w:val="none" w:sz="0" w:space="0" w:color="auto"/>
        <w:bottom w:val="none" w:sz="0" w:space="0" w:color="auto"/>
        <w:right w:val="none" w:sz="0" w:space="0" w:color="auto"/>
      </w:divBdr>
    </w:div>
    <w:div w:id="1554999161">
      <w:bodyDiv w:val="1"/>
      <w:marLeft w:val="0"/>
      <w:marRight w:val="0"/>
      <w:marTop w:val="0"/>
      <w:marBottom w:val="0"/>
      <w:divBdr>
        <w:top w:val="none" w:sz="0" w:space="0" w:color="auto"/>
        <w:left w:val="none" w:sz="0" w:space="0" w:color="auto"/>
        <w:bottom w:val="none" w:sz="0" w:space="0" w:color="auto"/>
        <w:right w:val="none" w:sz="0" w:space="0" w:color="auto"/>
      </w:divBdr>
    </w:div>
    <w:div w:id="1792360727">
      <w:bodyDiv w:val="1"/>
      <w:marLeft w:val="0"/>
      <w:marRight w:val="0"/>
      <w:marTop w:val="0"/>
      <w:marBottom w:val="0"/>
      <w:divBdr>
        <w:top w:val="none" w:sz="0" w:space="0" w:color="auto"/>
        <w:left w:val="none" w:sz="0" w:space="0" w:color="auto"/>
        <w:bottom w:val="none" w:sz="0" w:space="0" w:color="auto"/>
        <w:right w:val="none" w:sz="0" w:space="0" w:color="auto"/>
      </w:divBdr>
    </w:div>
    <w:div w:id="1799372987">
      <w:bodyDiv w:val="1"/>
      <w:marLeft w:val="0"/>
      <w:marRight w:val="0"/>
      <w:marTop w:val="0"/>
      <w:marBottom w:val="0"/>
      <w:divBdr>
        <w:top w:val="none" w:sz="0" w:space="0" w:color="auto"/>
        <w:left w:val="none" w:sz="0" w:space="0" w:color="auto"/>
        <w:bottom w:val="none" w:sz="0" w:space="0" w:color="auto"/>
        <w:right w:val="none" w:sz="0" w:space="0" w:color="auto"/>
      </w:divBdr>
      <w:divsChild>
        <w:div w:id="248317491">
          <w:marLeft w:val="0"/>
          <w:marRight w:val="0"/>
          <w:marTop w:val="0"/>
          <w:marBottom w:val="0"/>
          <w:divBdr>
            <w:top w:val="none" w:sz="0" w:space="0" w:color="auto"/>
            <w:left w:val="none" w:sz="0" w:space="0" w:color="auto"/>
            <w:bottom w:val="none" w:sz="0" w:space="0" w:color="auto"/>
            <w:right w:val="none" w:sz="0" w:space="0" w:color="auto"/>
          </w:divBdr>
        </w:div>
        <w:div w:id="2127500656">
          <w:marLeft w:val="0"/>
          <w:marRight w:val="0"/>
          <w:marTop w:val="0"/>
          <w:marBottom w:val="0"/>
          <w:divBdr>
            <w:top w:val="none" w:sz="0" w:space="0" w:color="auto"/>
            <w:left w:val="none" w:sz="0" w:space="0" w:color="auto"/>
            <w:bottom w:val="none" w:sz="0" w:space="0" w:color="auto"/>
            <w:right w:val="none" w:sz="0" w:space="0" w:color="auto"/>
          </w:divBdr>
          <w:divsChild>
            <w:div w:id="174255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04980">
      <w:bodyDiv w:val="1"/>
      <w:marLeft w:val="0"/>
      <w:marRight w:val="0"/>
      <w:marTop w:val="0"/>
      <w:marBottom w:val="0"/>
      <w:divBdr>
        <w:top w:val="none" w:sz="0" w:space="0" w:color="auto"/>
        <w:left w:val="none" w:sz="0" w:space="0" w:color="auto"/>
        <w:bottom w:val="none" w:sz="0" w:space="0" w:color="auto"/>
        <w:right w:val="none" w:sz="0" w:space="0" w:color="auto"/>
      </w:divBdr>
      <w:divsChild>
        <w:div w:id="1383672228">
          <w:marLeft w:val="0"/>
          <w:marRight w:val="0"/>
          <w:marTop w:val="0"/>
          <w:marBottom w:val="0"/>
          <w:divBdr>
            <w:top w:val="none" w:sz="0" w:space="0" w:color="auto"/>
            <w:left w:val="none" w:sz="0" w:space="0" w:color="auto"/>
            <w:bottom w:val="none" w:sz="0" w:space="0" w:color="auto"/>
            <w:right w:val="none" w:sz="0" w:space="0" w:color="auto"/>
          </w:divBdr>
        </w:div>
        <w:div w:id="599030769">
          <w:marLeft w:val="0"/>
          <w:marRight w:val="0"/>
          <w:marTop w:val="0"/>
          <w:marBottom w:val="0"/>
          <w:divBdr>
            <w:top w:val="none" w:sz="0" w:space="0" w:color="auto"/>
            <w:left w:val="none" w:sz="0" w:space="0" w:color="auto"/>
            <w:bottom w:val="none" w:sz="0" w:space="0" w:color="auto"/>
            <w:right w:val="none" w:sz="0" w:space="0" w:color="auto"/>
          </w:divBdr>
          <w:divsChild>
            <w:div w:id="1700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ek\AppData\Roaming\Microsoft\Excel\Map1%20(version%201).xlsb"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nl-NL" sz="1200"/>
              <a:t>Figure 4: Annual patient QALY gains, by age group and gender</a:t>
            </a:r>
          </a:p>
        </c:rich>
      </c:tx>
      <c:overlay val="0"/>
    </c:title>
    <c:autoTitleDeleted val="0"/>
    <c:plotArea>
      <c:layout/>
      <c:barChart>
        <c:barDir val="col"/>
        <c:grouping val="clustered"/>
        <c:varyColors val="0"/>
        <c:ser>
          <c:idx val="0"/>
          <c:order val="0"/>
          <c:tx>
            <c:strRef>
              <c:f>Blad4!$A$7</c:f>
              <c:strCache>
                <c:ptCount val="1"/>
                <c:pt idx="0">
                  <c:v>m</c:v>
                </c:pt>
              </c:strCache>
            </c:strRef>
          </c:tx>
          <c:invertIfNegative val="0"/>
          <c:cat>
            <c:strRef>
              <c:f>Blad4!$B$24:$B$44</c:f>
              <c:strCache>
                <c:ptCount val="21"/>
                <c:pt idx="0">
                  <c:v>0 years</c:v>
                </c:pt>
                <c:pt idx="1">
                  <c:v>1 to 5 years</c:v>
                </c:pt>
                <c:pt idx="2">
                  <c:v>6 to 10 years</c:v>
                </c:pt>
                <c:pt idx="3">
                  <c:v>11 to 15 years</c:v>
                </c:pt>
                <c:pt idx="4">
                  <c:v>16 to 20 years</c:v>
                </c:pt>
                <c:pt idx="5">
                  <c:v>21 to 25 years</c:v>
                </c:pt>
                <c:pt idx="6">
                  <c:v>26 to 30 years</c:v>
                </c:pt>
                <c:pt idx="7">
                  <c:v>31 to 35 years</c:v>
                </c:pt>
                <c:pt idx="8">
                  <c:v>36 to 40 years</c:v>
                </c:pt>
                <c:pt idx="9">
                  <c:v>41 to 45 years</c:v>
                </c:pt>
                <c:pt idx="10">
                  <c:v>46 to 50 years</c:v>
                </c:pt>
                <c:pt idx="11">
                  <c:v>51 to 55 years</c:v>
                </c:pt>
                <c:pt idx="12">
                  <c:v>56 to 60 years</c:v>
                </c:pt>
                <c:pt idx="13">
                  <c:v>61 to 65 years</c:v>
                </c:pt>
                <c:pt idx="14">
                  <c:v>66 to 70 years</c:v>
                </c:pt>
                <c:pt idx="15">
                  <c:v>71 to 75 years</c:v>
                </c:pt>
                <c:pt idx="16">
                  <c:v>76 to 80 years</c:v>
                </c:pt>
                <c:pt idx="17">
                  <c:v>81 to 85 years</c:v>
                </c:pt>
                <c:pt idx="18">
                  <c:v>86 to 90 years</c:v>
                </c:pt>
                <c:pt idx="19">
                  <c:v>91 to 95 years</c:v>
                </c:pt>
                <c:pt idx="20">
                  <c:v>95+ years</c:v>
                </c:pt>
              </c:strCache>
            </c:strRef>
          </c:cat>
          <c:val>
            <c:numRef>
              <c:f>Blad4!$C$3:$C$23</c:f>
              <c:numCache>
                <c:formatCode>General</c:formatCode>
                <c:ptCount val="21"/>
                <c:pt idx="0">
                  <c:v>1.3930000000000071E-3</c:v>
                </c:pt>
                <c:pt idx="1">
                  <c:v>1.4160000000000028E-3</c:v>
                </c:pt>
                <c:pt idx="2">
                  <c:v>1.4400000000000018E-3</c:v>
                </c:pt>
                <c:pt idx="3">
                  <c:v>1.4640000000000152E-3</c:v>
                </c:pt>
                <c:pt idx="4">
                  <c:v>1.4890000000000016E-3</c:v>
                </c:pt>
                <c:pt idx="5">
                  <c:v>1.5140000000000071E-3</c:v>
                </c:pt>
                <c:pt idx="6">
                  <c:v>1.5390000000000052E-3</c:v>
                </c:pt>
                <c:pt idx="7">
                  <c:v>1.5650000000000045E-3</c:v>
                </c:pt>
                <c:pt idx="8">
                  <c:v>1.5910000000000037E-3</c:v>
                </c:pt>
                <c:pt idx="9">
                  <c:v>1.6170000000000073E-3</c:v>
                </c:pt>
                <c:pt idx="10">
                  <c:v>1.6440000000000384E-3</c:v>
                </c:pt>
                <c:pt idx="11">
                  <c:v>1.6720000000000387E-3</c:v>
                </c:pt>
                <c:pt idx="12">
                  <c:v>1.6580000000000388E-3</c:v>
                </c:pt>
                <c:pt idx="13">
                  <c:v>1.6750000000000278E-3</c:v>
                </c:pt>
                <c:pt idx="14">
                  <c:v>1.6850000000000281E-3</c:v>
                </c:pt>
                <c:pt idx="15">
                  <c:v>1.683000000000028E-3</c:v>
                </c:pt>
                <c:pt idx="16">
                  <c:v>1.6740000000000105E-3</c:v>
                </c:pt>
                <c:pt idx="17">
                  <c:v>1.648000000000009E-3</c:v>
                </c:pt>
                <c:pt idx="18">
                  <c:v>1.6470000000000276E-3</c:v>
                </c:pt>
                <c:pt idx="19">
                  <c:v>1.5730000000000032E-3</c:v>
                </c:pt>
                <c:pt idx="20">
                  <c:v>1.4780000000000062E-3</c:v>
                </c:pt>
              </c:numCache>
            </c:numRef>
          </c:val>
          <c:extLst>
            <c:ext xmlns:c16="http://schemas.microsoft.com/office/drawing/2014/chart" uri="{C3380CC4-5D6E-409C-BE32-E72D297353CC}">
              <c16:uniqueId val="{00000000-2712-46CA-926E-CC842FA99E41}"/>
            </c:ext>
          </c:extLst>
        </c:ser>
        <c:ser>
          <c:idx val="1"/>
          <c:order val="1"/>
          <c:tx>
            <c:strRef>
              <c:f>Blad4!$A$24</c:f>
              <c:strCache>
                <c:ptCount val="1"/>
                <c:pt idx="0">
                  <c:v>f</c:v>
                </c:pt>
              </c:strCache>
            </c:strRef>
          </c:tx>
          <c:invertIfNegative val="0"/>
          <c:cat>
            <c:strRef>
              <c:f>Blad4!$B$24:$B$44</c:f>
              <c:strCache>
                <c:ptCount val="21"/>
                <c:pt idx="0">
                  <c:v>0 years</c:v>
                </c:pt>
                <c:pt idx="1">
                  <c:v>1 to 5 years</c:v>
                </c:pt>
                <c:pt idx="2">
                  <c:v>6 to 10 years</c:v>
                </c:pt>
                <c:pt idx="3">
                  <c:v>11 to 15 years</c:v>
                </c:pt>
                <c:pt idx="4">
                  <c:v>16 to 20 years</c:v>
                </c:pt>
                <c:pt idx="5">
                  <c:v>21 to 25 years</c:v>
                </c:pt>
                <c:pt idx="6">
                  <c:v>26 to 30 years</c:v>
                </c:pt>
                <c:pt idx="7">
                  <c:v>31 to 35 years</c:v>
                </c:pt>
                <c:pt idx="8">
                  <c:v>36 to 40 years</c:v>
                </c:pt>
                <c:pt idx="9">
                  <c:v>41 to 45 years</c:v>
                </c:pt>
                <c:pt idx="10">
                  <c:v>46 to 50 years</c:v>
                </c:pt>
                <c:pt idx="11">
                  <c:v>51 to 55 years</c:v>
                </c:pt>
                <c:pt idx="12">
                  <c:v>56 to 60 years</c:v>
                </c:pt>
                <c:pt idx="13">
                  <c:v>61 to 65 years</c:v>
                </c:pt>
                <c:pt idx="14">
                  <c:v>66 to 70 years</c:v>
                </c:pt>
                <c:pt idx="15">
                  <c:v>71 to 75 years</c:v>
                </c:pt>
                <c:pt idx="16">
                  <c:v>76 to 80 years</c:v>
                </c:pt>
                <c:pt idx="17">
                  <c:v>81 to 85 years</c:v>
                </c:pt>
                <c:pt idx="18">
                  <c:v>86 to 90 years</c:v>
                </c:pt>
                <c:pt idx="19">
                  <c:v>91 to 95 years</c:v>
                </c:pt>
                <c:pt idx="20">
                  <c:v>95+ years</c:v>
                </c:pt>
              </c:strCache>
            </c:strRef>
          </c:cat>
          <c:val>
            <c:numRef>
              <c:f>Blad4!$C$24:$C$44</c:f>
              <c:numCache>
                <c:formatCode>General</c:formatCode>
                <c:ptCount val="21"/>
                <c:pt idx="0">
                  <c:v>1.3720000000000268E-3</c:v>
                </c:pt>
                <c:pt idx="1">
                  <c:v>1.3950000000000037E-3</c:v>
                </c:pt>
                <c:pt idx="2">
                  <c:v>1.4170000000000005E-3</c:v>
                </c:pt>
                <c:pt idx="3">
                  <c:v>1.4400000000000018E-3</c:v>
                </c:pt>
                <c:pt idx="4">
                  <c:v>1.4640000000000152E-3</c:v>
                </c:pt>
                <c:pt idx="5">
                  <c:v>1.4870000000000011E-3</c:v>
                </c:pt>
                <c:pt idx="6">
                  <c:v>1.5120000000000257E-3</c:v>
                </c:pt>
                <c:pt idx="7">
                  <c:v>1.5360000000000263E-3</c:v>
                </c:pt>
                <c:pt idx="8">
                  <c:v>1.5610000000000012E-3</c:v>
                </c:pt>
                <c:pt idx="9">
                  <c:v>1.5860000000000268E-3</c:v>
                </c:pt>
                <c:pt idx="10">
                  <c:v>1.612000000000008E-3</c:v>
                </c:pt>
                <c:pt idx="11">
                  <c:v>1.6380000000000095E-3</c:v>
                </c:pt>
                <c:pt idx="12">
                  <c:v>1.6590000000000263E-3</c:v>
                </c:pt>
                <c:pt idx="13">
                  <c:v>1.6530000000000266E-3</c:v>
                </c:pt>
                <c:pt idx="14">
                  <c:v>1.6650000000000276E-3</c:v>
                </c:pt>
                <c:pt idx="15">
                  <c:v>1.6550000000000275E-3</c:v>
                </c:pt>
                <c:pt idx="16">
                  <c:v>1.6310000000000257E-3</c:v>
                </c:pt>
                <c:pt idx="17">
                  <c:v>1.6130000000000257E-3</c:v>
                </c:pt>
                <c:pt idx="18">
                  <c:v>1.5710000000000012E-3</c:v>
                </c:pt>
                <c:pt idx="19">
                  <c:v>1.5890000000000071E-3</c:v>
                </c:pt>
                <c:pt idx="20">
                  <c:v>1.4130000000000011E-3</c:v>
                </c:pt>
              </c:numCache>
            </c:numRef>
          </c:val>
          <c:extLst>
            <c:ext xmlns:c16="http://schemas.microsoft.com/office/drawing/2014/chart" uri="{C3380CC4-5D6E-409C-BE32-E72D297353CC}">
              <c16:uniqueId val="{00000001-2712-46CA-926E-CC842FA99E41}"/>
            </c:ext>
          </c:extLst>
        </c:ser>
        <c:dLbls>
          <c:showLegendKey val="0"/>
          <c:showVal val="0"/>
          <c:showCatName val="0"/>
          <c:showSerName val="0"/>
          <c:showPercent val="0"/>
          <c:showBubbleSize val="0"/>
        </c:dLbls>
        <c:gapWidth val="50"/>
        <c:axId val="199833856"/>
        <c:axId val="202892416"/>
      </c:barChart>
      <c:catAx>
        <c:axId val="199833856"/>
        <c:scaling>
          <c:orientation val="minMax"/>
        </c:scaling>
        <c:delete val="0"/>
        <c:axPos val="b"/>
        <c:numFmt formatCode="General" sourceLinked="0"/>
        <c:majorTickMark val="none"/>
        <c:minorTickMark val="none"/>
        <c:tickLblPos val="nextTo"/>
        <c:crossAx val="202892416"/>
        <c:crosses val="autoZero"/>
        <c:auto val="1"/>
        <c:lblAlgn val="ctr"/>
        <c:lblOffset val="100"/>
        <c:noMultiLvlLbl val="0"/>
      </c:catAx>
      <c:valAx>
        <c:axId val="202892416"/>
        <c:scaling>
          <c:orientation val="minMax"/>
        </c:scaling>
        <c:delete val="0"/>
        <c:axPos val="l"/>
        <c:majorGridlines/>
        <c:numFmt formatCode="General" sourceLinked="1"/>
        <c:majorTickMark val="none"/>
        <c:minorTickMark val="none"/>
        <c:tickLblPos val="nextTo"/>
        <c:crossAx val="19983385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UMC St Radboud Sjabloon">
  <a:themeElements>
    <a:clrScheme name="UMC">
      <a:dk1>
        <a:srgbClr val="000000"/>
      </a:dk1>
      <a:lt1>
        <a:srgbClr val="FFFFFF"/>
      </a:lt1>
      <a:dk2>
        <a:srgbClr val="BE3100"/>
      </a:dk2>
      <a:lt2>
        <a:srgbClr val="F37C09"/>
      </a:lt2>
      <a:accent1>
        <a:srgbClr val="0E4286"/>
      </a:accent1>
      <a:accent2>
        <a:srgbClr val="B89400"/>
      </a:accent2>
      <a:accent3>
        <a:srgbClr val="BE3100"/>
      </a:accent3>
      <a:accent4>
        <a:srgbClr val="FFFFFF"/>
      </a:accent4>
      <a:accent5>
        <a:srgbClr val="00607A"/>
      </a:accent5>
      <a:accent6>
        <a:srgbClr val="3D168B"/>
      </a:accent6>
      <a:hlink>
        <a:srgbClr val="3D168B"/>
      </a:hlink>
      <a:folHlink>
        <a:srgbClr val="00607A"/>
      </a:folHlink>
    </a:clrScheme>
    <a:fontScheme name="Kantoor">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8116AC-78F5-40BD-ADC9-113B583534E1}">
  <ds:schemaRefs>
    <ds:schemaRef ds:uri="http://schemas.openxmlformats.org/officeDocument/2006/bibliography"/>
  </ds:schemaRefs>
</ds:datastoreItem>
</file>

<file path=customXml/itemProps2.xml><?xml version="1.0" encoding="utf-8"?>
<ds:datastoreItem xmlns:ds="http://schemas.openxmlformats.org/officeDocument/2006/customXml" ds:itemID="{50AEAAB1-09FF-40A7-9A84-E597FF3AAF13}">
  <ds:schemaRefs>
    <ds:schemaRef ds:uri="http://schemas.openxmlformats.org/officeDocument/2006/bibliography"/>
  </ds:schemaRefs>
</ds:datastoreItem>
</file>

<file path=customXml/itemProps3.xml><?xml version="1.0" encoding="utf-8"?>
<ds:datastoreItem xmlns:ds="http://schemas.openxmlformats.org/officeDocument/2006/customXml" ds:itemID="{AAD67842-EF45-469C-A288-ABEDFD244EFA}">
  <ds:schemaRefs>
    <ds:schemaRef ds:uri="http://schemas.openxmlformats.org/officeDocument/2006/bibliography"/>
  </ds:schemaRefs>
</ds:datastoreItem>
</file>

<file path=customXml/itemProps4.xml><?xml version="1.0" encoding="utf-8"?>
<ds:datastoreItem xmlns:ds="http://schemas.openxmlformats.org/officeDocument/2006/customXml" ds:itemID="{B3E8E861-EBCD-4A2E-A6F6-3F3E780F8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3680</Words>
  <Characters>20977</Characters>
  <Application>Microsoft Office Word</Application>
  <DocSecurity>0</DocSecurity>
  <Lines>174</Lines>
  <Paragraphs>49</Paragraphs>
  <ScaleCrop>false</ScaleCrop>
  <HeadingPairs>
    <vt:vector size="2" baseType="variant">
      <vt:variant>
        <vt:lpstr>Titel</vt:lpstr>
      </vt:variant>
      <vt:variant>
        <vt:i4>1</vt:i4>
      </vt:variant>
    </vt:vector>
  </HeadingPairs>
  <TitlesOfParts>
    <vt:vector size="1" baseType="lpstr">
      <vt:lpstr/>
    </vt:vector>
  </TitlesOfParts>
  <Company>UMC St Radboud</Company>
  <LinksUpToDate>false</LinksUpToDate>
  <CharactersWithSpaces>24608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Niek</dc:creator>
  <cp:lastModifiedBy>Juan Pablo Gallo Molina</cp:lastModifiedBy>
  <cp:revision>2</cp:revision>
  <cp:lastPrinted>2018-03-14T14:50:00Z</cp:lastPrinted>
  <dcterms:created xsi:type="dcterms:W3CDTF">2020-06-30T16:13:00Z</dcterms:created>
  <dcterms:modified xsi:type="dcterms:W3CDTF">2020-06-30T16:13:00Z</dcterms:modified>
</cp:coreProperties>
</file>