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CASES</w:t>
      </w:r>
    </w:p>
    <w:p w:rsidR="00000000" w:rsidDel="00000000" w:rsidP="00000000" w:rsidRDefault="00000000" w:rsidRPr="00000000" w14:paraId="00000002">
      <w:pPr>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Use Case                  Expected              Actual                        Result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must be at least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must be at least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Requests       Use Case                Expected              Actual                      Result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for extra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ABC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one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flaws from this special request function I built was that whenever any input satisfies the dialog box, it automatically requires Director Approval. After testing this, the next steps should be to be more specific with the special request rules. Find a way to filter out realistic requests and unrealistic or faulty requests that are basically a waste of time. This can help optimize efficiency as reducing the amount of approvals needed, can make the wait time for these requests a lot quicker. </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 business function works out as expected. It’s a very one dimensional rule, where the line is 21, which is pretty straight forward.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