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Know / Want to Know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Before beginning your research it’s helpful to reflect on what you know and what you’d like to learn about your research topic, interest, idea or question.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i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rtl w:val="0"/>
        </w:rPr>
        <w:t xml:space="preserve">My Research Topic, Question, or Idea: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KNOW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What do I already know about this topic? Think about events, people, places, history, etc.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WANT TO KNOW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What do I want to know about this topic?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What questions do I have about it?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240" w:lineRule="auto"/>
      <w:jc w:val="right"/>
      <w:rPr>
        <w:rFonts w:ascii="Open Sans" w:cs="Open Sans" w:eastAsia="Open Sans" w:hAnsi="Open Sans"/>
        <w:b w:val="1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b w:val="1"/>
        <w:sz w:val="20"/>
        <w:szCs w:val="20"/>
      </w:rPr>
      <w:drawing>
        <wp:inline distB="114300" distT="114300" distL="114300" distR="114300">
          <wp:extent cx="3328988" cy="2382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28988" cy="2382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40" w:lineRule="auto"/>
      <w:jc w:val="right"/>
      <w:rPr>
        <w:rFonts w:ascii="Open Sans" w:cs="Open Sans" w:eastAsia="Open Sans" w:hAnsi="Open Sans"/>
        <w:b w:val="1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b w:val="1"/>
        <w:sz w:val="20"/>
        <w:szCs w:val="20"/>
        <w:rtl w:val="0"/>
      </w:rPr>
      <w:t xml:space="preserve">https://libraries.uh.edu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