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4"/>
        </w:rPr>
        <w:t>Sift DSL: Architecture, Control Flow, and Design Reflection</w:t>
      </w:r>
    </w:p>
    <w:p>
      <w:pPr>
        <w:spacing w:line="480" w:lineRule="auto" w:after="0" w:before="0"/>
        <w:jc w:val="center"/>
      </w:pPr>
      <w:r>
        <w:rPr>
          <w:rFonts w:ascii="Times New Roman" w:hAnsi="Times New Roman"/>
          <w:b w:val="0"/>
          <w:i w:val="0"/>
          <w:sz w:val="24"/>
        </w:rPr>
        <w:t>Aaron Foster — Southern New Hampshire University</w:t>
      </w:r>
    </w:p>
    <w:p>
      <w:pPr>
        <w:spacing w:line="480" w:lineRule="auto" w:after="0" w:before="0"/>
        <w:jc w:val="center"/>
      </w:pPr>
      <w:r>
        <w:rPr>
          <w:rFonts w:ascii="Times New Roman" w:hAnsi="Times New Roman"/>
          <w:b w:val="0"/>
          <w:i w:val="0"/>
          <w:sz w:val="24"/>
        </w:rPr>
        <w:t>CS 660: Advanced Programming Language Theory — Prof. Shadha Tabatabai — August 28, 2026</w:t>
      </w:r>
    </w:p>
    <w:p>
      <w:pPr>
        <w:keepNext/>
        <w:spacing w:line="480" w:lineRule="auto" w:after="0" w:before="0"/>
      </w:pPr>
      <w:r>
        <w:rPr>
          <w:rFonts w:ascii="Times New Roman" w:hAnsi="Times New Roman"/>
          <w:b/>
          <w:i w:val="0"/>
          <w:sz w:val="24"/>
        </w:rPr>
        <w:t>Part One: Architecture and Control Flow Diagram</w:t>
      </w:r>
    </w:p>
    <w:p>
      <w:pPr>
        <w:spacing w:line="240" w:lineRule="auto" w:after="60" w:before="80"/>
        <w:jc w:val="center"/>
      </w:pPr>
      <w:r>
        <w:drawing>
          <wp:inline xmlns:a="http://schemas.openxmlformats.org/drawingml/2006/main" xmlns:pic="http://schemas.openxmlformats.org/drawingml/2006/picture">
            <wp:extent cx="5394960" cy="3722217"/>
            <wp:docPr id="1" name="Picture 1"/>
            <wp:cNvGraphicFramePr>
              <a:graphicFrameLocks noChangeAspect="1"/>
            </wp:cNvGraphicFramePr>
            <a:graphic>
              <a:graphicData uri="http://schemas.openxmlformats.org/drawingml/2006/picture">
                <pic:pic>
                  <pic:nvPicPr>
                    <pic:cNvPr id="0" name="sift_architecture_control_flow.png"/>
                    <pic:cNvPicPr/>
                  </pic:nvPicPr>
                  <pic:blipFill>
                    <a:blip r:embed="rId9"/>
                    <a:stretch>
                      <a:fillRect/>
                    </a:stretch>
                  </pic:blipFill>
                  <pic:spPr>
                    <a:xfrm>
                      <a:off x="0" y="0"/>
                      <a:ext cx="5394960" cy="3722217"/>
                    </a:xfrm>
                    <a:prstGeom prst="rect"/>
                  </pic:spPr>
                </pic:pic>
              </a:graphicData>
            </a:graphic>
          </wp:inline>
        </w:drawing>
      </w:r>
    </w:p>
    <w:p>
      <w:pPr>
        <w:spacing w:line="240" w:lineRule="auto" w:after="160" w:before="0"/>
        <w:jc w:val="center"/>
      </w:pPr>
      <w:r>
        <w:rPr>
          <w:rFonts w:ascii="Times New Roman" w:hAnsi="Times New Roman"/>
          <w:b w:val="0"/>
          <w:i/>
          <w:sz w:val="21"/>
        </w:rPr>
        <w:t>Figure 1. Architecture and control flow of the Sift DSL, a language for converting nightly CSV feeds into structured JSON.</w:t>
      </w:r>
    </w:p>
    <w:p>
      <w:pPr>
        <w:keepNext/>
        <w:spacing w:line="480" w:lineRule="auto" w:after="0" w:before="0"/>
      </w:pPr>
      <w:r>
        <w:rPr>
          <w:rFonts w:ascii="Times New Roman" w:hAnsi="Times New Roman"/>
          <w:b/>
          <w:i w:val="0"/>
          <w:sz w:val="24"/>
        </w:rPr>
        <w:t>Part Two: Reflection</w:t>
      </w:r>
    </w:p>
    <w:p>
      <w:pPr>
        <w:keepNext/>
        <w:spacing w:line="480" w:lineRule="auto" w:after="0" w:before="0"/>
      </w:pPr>
      <w:r>
        <w:rPr>
          <w:rFonts w:ascii="Times New Roman" w:hAnsi="Times New Roman"/>
          <w:b/>
          <w:i w:val="0"/>
          <w:sz w:val="24"/>
        </w:rPr>
        <w:t>System Structure</w:t>
      </w:r>
    </w:p>
    <w:p>
      <w:pPr>
        <w:spacing w:line="480" w:lineRule="auto" w:after="0" w:before="0"/>
        <w:ind w:firstLine="720"/>
      </w:pPr>
      <w:r>
        <w:rPr>
          <w:rFonts w:ascii="Times New Roman" w:hAnsi="Times New Roman"/>
          <w:b w:val="0"/>
          <w:i w:val="0"/>
          <w:sz w:val="24"/>
        </w:rPr>
        <w:t>Sift runs in two phases, shown as the two lanes of the diagram. Phase one reads the program text: the lexer turns characters into tokens, the parser assembles them into a syntax tree under the rules of the grammar, the semantic analyzer validates names and types, and a lowering pass compiles that tree into a flat list of prepared operations. Phase two reads the data: SOURCE opens the CSV as a stream and verifies the header contract, then the interpreter walks the prepared operations once per row through FIELD, REQUIRE, NEST, and EMIT.</w:t>
      </w:r>
    </w:p>
    <w:p>
      <w:pPr>
        <w:keepNext/>
        <w:spacing w:line="480" w:lineRule="auto" w:after="0" w:before="0"/>
      </w:pPr>
      <w:r>
        <w:rPr>
          <w:rFonts w:ascii="Times New Roman" w:hAnsi="Times New Roman"/>
          <w:b/>
          <w:i w:val="0"/>
          <w:sz w:val="24"/>
        </w:rPr>
        <w:t>Syntax and Semantics</w:t>
      </w:r>
    </w:p>
    <w:p>
      <w:pPr>
        <w:spacing w:line="480" w:lineRule="auto" w:after="0" w:before="0"/>
        <w:ind w:firstLine="720"/>
      </w:pPr>
      <w:r>
        <w:rPr>
          <w:rFonts w:ascii="Times New Roman" w:hAnsi="Times New Roman"/>
          <w:b w:val="0"/>
          <w:i w:val="0"/>
          <w:sz w:val="24"/>
        </w:rPr>
        <w:t>Syntax is handled entirely in phase one and is defined by the grammar, an EBNF description of five statements, each led by a distinct keyword. One token of lookahead identifies every production, so the recursive-descent parser can reject a malformed program and name the offending line and column. Semantics are handled in two places, marked by the shaded bands. Static semantics live in the analyzer: names must be unique, references must resolve, and DEFAULT literals must match declared types. Dynamic semantics live in the row loop, where FIELD coerces raw text into declared types and REQUIRE evaluates predicates over the results. Every meaning error catchable without data is caught before the run starts.</w:t>
      </w:r>
    </w:p>
    <w:p>
      <w:pPr>
        <w:keepNext/>
        <w:spacing w:line="480" w:lineRule="auto" w:after="0" w:before="0"/>
      </w:pPr>
      <w:r>
        <w:rPr>
          <w:rFonts w:ascii="Times New Roman" w:hAnsi="Times New Roman"/>
          <w:b/>
          <w:i w:val="0"/>
          <w:sz w:val="24"/>
        </w:rPr>
        <w:t>Rationale for the Tradeoff</w:t>
      </w:r>
    </w:p>
    <w:p>
      <w:pPr>
        <w:spacing w:line="480" w:lineRule="auto" w:after="0" w:before="0"/>
        <w:ind w:firstLine="720"/>
      </w:pPr>
      <w:r>
        <w:rPr>
          <w:rFonts w:ascii="Times New Roman" w:hAnsi="Times New Roman"/>
          <w:b w:val="0"/>
          <w:i w:val="0"/>
          <w:sz w:val="24"/>
        </w:rPr>
        <w:t>The annotated tradeoff is safety over flexibility. Every output key must be declared by its own FIELD line, with no wildcard passthrough and no expression language, so a sixty-column feed costs sixty declarations. The benefit is that the output shape is fixed by the program text and derivable without executing it, so a new upstream column cannot silently widen the JSON. The asymmetry justifies the choice: verbosity is paid once by an engineer at authoring time, while a silent schema change is paid every night by whoever is on call.</w:t>
      </w:r>
    </w:p>
    <w:p>
      <w:pPr>
        <w:keepNext/>
        <w:spacing w:line="480" w:lineRule="auto" w:after="0" w:before="0"/>
      </w:pPr>
      <w:r>
        <w:rPr>
          <w:rFonts w:ascii="Times New Roman" w:hAnsi="Times New Roman"/>
          <w:b/>
          <w:i w:val="0"/>
          <w:sz w:val="24"/>
        </w:rPr>
        <w:t>Evaluating the Diagram</w:t>
      </w:r>
    </w:p>
    <w:p>
      <w:pPr>
        <w:spacing w:line="480" w:lineRule="auto" w:after="0" w:before="0"/>
        <w:ind w:firstLine="720"/>
      </w:pPr>
      <w:r>
        <w:rPr>
          <w:rFonts w:ascii="Times New Roman" w:hAnsi="Times New Roman"/>
          <w:b w:val="0"/>
          <w:i w:val="0"/>
          <w:sz w:val="24"/>
        </w:rPr>
        <w:t>The diagram communicates control flow well. The two lanes make the once-per-job and once-per-row distinction visible at a glance, the arrows give an unbroken path from source text to written output, and rendering failures separately shows that aborting, quarantining a row, and halting a run are three distinct outcomes rather than one generic error. The bands also show that semantic processing happens twice, which prose struggles to convey. Its limits are equally clear: it shows the order of operations but not their cost, so nothing conveys that the row loop runs twenty million times while phase one runs once, and lowering is flattened into one box that hides what makes staged interpretation fast. The diagram establishes what happens and in what order, not whether it is fast enough.</w:t>
      </w:r>
    </w:p>
    <w:p>
      <w:pPr>
        <w:spacing w:line="480" w:lineRule="auto" w:after="0" w:before="0"/>
      </w:pPr>
    </w:p>
    <w:p>
      <w:pPr>
        <w:spacing w:line="480" w:lineRule="auto" w:after="0" w:before="0"/>
      </w:pPr>
    </w:p>
    <w:p>
      <w:pPr>
        <w:keepNext/>
        <w:spacing w:line="480" w:lineRule="auto" w:after="0" w:before="0"/>
      </w:pPr>
      <w:r>
        <w:rPr>
          <w:rFonts w:ascii="Times New Roman" w:hAnsi="Times New Roman"/>
          <w:b/>
          <w:i w:val="0"/>
          <w:sz w:val="24"/>
        </w:rPr>
        <w:t>AI Usage Acknowledgment</w:t>
      </w:r>
    </w:p>
    <w:p>
      <w:pPr>
        <w:spacing w:line="480" w:lineRule="auto" w:after="0" w:before="0"/>
        <w:ind w:firstLine="720"/>
      </w:pPr>
      <w:r>
        <w:rPr>
          <w:rFonts w:ascii="Times New Roman" w:hAnsi="Times New Roman"/>
          <w:b w:val="0"/>
          <w:i w:val="0"/>
          <w:sz w:val="24"/>
        </w:rPr>
        <w:t>Portions of this assignment were completed with assistance from Anthropic’s Claude (via Claude Code). The tool was used to help organize the work against the rubric and to draft and format the document, including verification of source citations. I reviewed and edited the analysis and take responsibility for the final content.</w:t>
      </w:r>
    </w:p>
    <w:p>
      <w:pPr>
        <w:spacing w:line="480" w:lineRule="auto" w:after="0" w:before="0"/>
        <w:ind w:hanging="720" w:left="720"/>
      </w:pPr>
      <w:r>
        <w:rPr>
          <w:rFonts w:ascii="Times New Roman" w:hAnsi="Times New Roman"/>
          <w:b w:val="0"/>
          <w:i w:val="0"/>
          <w:sz w:val="24"/>
        </w:rPr>
        <w:t>Anthropic. (2026). Claude [Large language model]. https://claude.ai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