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FC63" w14:textId="77777777" w:rsidR="00AD7B59" w:rsidRDefault="00A844C1">
      <w:r>
        <w:t xml:space="preserve">State spending per capita is both a function of how many people receive a service and how much that service costs </w:t>
      </w:r>
      <w:r w:rsidR="000F132C">
        <w:t>the state for</w:t>
      </w:r>
      <w:r>
        <w:t xml:space="preserve"> </w:t>
      </w:r>
      <w:r w:rsidR="000F132C">
        <w:t>every one</w:t>
      </w:r>
      <w:r>
        <w:t xml:space="preserve"> </w:t>
      </w:r>
      <w:r w:rsidR="000F132C">
        <w:t>recipient</w:t>
      </w:r>
      <w:r w:rsidR="00EF1623">
        <w:t>.</w:t>
      </w:r>
    </w:p>
    <w:p w14:paraId="209541CD" w14:textId="77777777" w:rsidR="00AD7B59" w:rsidRDefault="00AD7B59"/>
    <w:p w14:paraId="190A152A" w14:textId="77777777" w:rsidR="00AD7B59" w:rsidRDefault="00AD7B59">
      <m:oMathPara>
        <m:oMath>
          <m:f>
            <m:fPr>
              <m:ctrlPr>
                <w:rPr>
                  <w:rFonts w:ascii="Cambria Math" w:hAnsi="Cambria Math"/>
                  <w:i/>
                </w:rPr>
              </m:ctrlPr>
            </m:fPr>
            <m:num>
              <m:r>
                <w:rPr>
                  <w:rFonts w:ascii="Cambria Math" w:hAnsi="Cambria Math"/>
                </w:rPr>
                <m:t>spending</m:t>
              </m:r>
            </m:num>
            <m:den>
              <m:r>
                <w:rPr>
                  <w:rFonts w:ascii="Cambria Math" w:hAnsi="Cambria Math"/>
                </w:rPr>
                <m:t>capita</m:t>
              </m:r>
            </m:den>
          </m:f>
          <m:r>
            <w:rPr>
              <w:rFonts w:ascii="Cambria Math" w:hAnsi="Cambria Math" w:hint="eastAsia"/>
            </w:rPr>
            <m:t>→</m:t>
          </m:r>
          <m:f>
            <m:fPr>
              <m:ctrlPr>
                <w:rPr>
                  <w:rFonts w:ascii="Cambria Math" w:hAnsi="Cambria Math"/>
                  <w:i/>
                </w:rPr>
              </m:ctrlPr>
            </m:fPr>
            <m:num>
              <m:r>
                <w:rPr>
                  <w:rFonts w:ascii="Cambria Math" w:hAnsi="Cambria Math"/>
                </w:rPr>
                <m:t xml:space="preserve">recipients </m:t>
              </m:r>
            </m:num>
            <m:den>
              <m:r>
                <w:rPr>
                  <w:rFonts w:ascii="Cambria Math" w:hAnsi="Cambria Math"/>
                </w:rPr>
                <m:t>capita</m:t>
              </m:r>
            </m:den>
          </m:f>
          <m:r>
            <w:rPr>
              <w:rFonts w:ascii="Cambria Math" w:hAnsi="Cambria Math"/>
            </w:rPr>
            <m:t>×</m:t>
          </m:r>
          <m:f>
            <m:fPr>
              <m:ctrlPr>
                <w:rPr>
                  <w:rFonts w:ascii="Cambria Math" w:hAnsi="Cambria Math"/>
                  <w:i/>
                </w:rPr>
              </m:ctrlPr>
            </m:fPr>
            <m:num>
              <m:r>
                <w:rPr>
                  <w:rFonts w:ascii="Cambria Math" w:hAnsi="Cambria Math"/>
                </w:rPr>
                <m:t>spending</m:t>
              </m:r>
            </m:num>
            <m:den>
              <m:r>
                <w:rPr>
                  <w:rFonts w:ascii="Cambria Math" w:hAnsi="Cambria Math"/>
                </w:rPr>
                <m:t>recipient</m:t>
              </m:r>
            </m:den>
          </m:f>
        </m:oMath>
      </m:oMathPara>
    </w:p>
    <w:p w14:paraId="32DAAEDF" w14:textId="77777777" w:rsidR="00AD7B59" w:rsidRDefault="00AD7B59"/>
    <w:p w14:paraId="0A7366D9" w14:textId="77777777" w:rsidR="00AD7B59" w:rsidRDefault="00AD7B59"/>
    <w:p w14:paraId="083D5167" w14:textId="77777777" w:rsidR="00EF1623" w:rsidRDefault="00A844C1">
      <w:r>
        <w:t>We’ll break down recipients per  capita first. Not every resident of a state is eligible for every service</w:t>
      </w:r>
      <w:r w:rsidR="00F73520">
        <w:t>—a disproportionately young populat</w:t>
      </w:r>
      <w:r w:rsidR="0057055E">
        <w:t>ion</w:t>
      </w:r>
      <w:r w:rsidR="00AD7B59">
        <w:t>, for example,</w:t>
      </w:r>
      <w:r w:rsidR="0057055E">
        <w:t xml:space="preserve"> means more K-12 students in </w:t>
      </w:r>
      <w:r w:rsidR="00F73520">
        <w:t>schools and</w:t>
      </w:r>
      <w:r>
        <w:t xml:space="preserve"> </w:t>
      </w:r>
      <w:r w:rsidR="00F73520">
        <w:t xml:space="preserve">fewer drivers on </w:t>
      </w:r>
      <w:r w:rsidR="0057055E">
        <w:t>highways</w:t>
      </w:r>
      <w:r w:rsidR="00F73520">
        <w:t>, while a disproportionately impoverished population means more recipi</w:t>
      </w:r>
      <w:r w:rsidR="0057055E">
        <w:t xml:space="preserve">ents of public welfare. Furthermore, not every </w:t>
      </w:r>
      <w:r w:rsidR="00BF0537">
        <w:t>eligible person</w:t>
      </w:r>
      <w:r w:rsidR="0057055E">
        <w:t xml:space="preserve"> choose</w:t>
      </w:r>
      <w:r w:rsidR="00AD7B59">
        <w:t>s</w:t>
      </w:r>
      <w:r w:rsidR="0057055E">
        <w:t xml:space="preserve"> to receive every service—not everyone with a drivers license drives on highways, and not </w:t>
      </w:r>
      <w:r w:rsidR="00AD7B59">
        <w:t xml:space="preserve">every </w:t>
      </w:r>
      <w:r w:rsidR="0057055E">
        <w:t>student enrolls in a public school.</w:t>
      </w:r>
      <w:r w:rsidR="00AD7B59">
        <w:t xml:space="preserve"> So we break recipients per capita down into eligible people per capita and </w:t>
      </w:r>
      <w:r w:rsidR="00EF1623">
        <w:t>recipients per eligible people.</w:t>
      </w:r>
    </w:p>
    <w:p w14:paraId="3368833B" w14:textId="77777777" w:rsidR="00B03043" w:rsidRDefault="00B03043"/>
    <w:p w14:paraId="4B7F4BB8" w14:textId="77777777" w:rsidR="00EF1623" w:rsidRDefault="00EF1623"/>
    <w:p w14:paraId="6D88B126" w14:textId="77777777" w:rsidR="00AD7B59" w:rsidRDefault="00AD7B59" w:rsidP="00AD7B59">
      <m:oMathPara>
        <m:oMath>
          <m:f>
            <m:fPr>
              <m:ctrlPr>
                <w:rPr>
                  <w:rFonts w:ascii="Cambria Math" w:hAnsi="Cambria Math"/>
                  <w:i/>
                </w:rPr>
              </m:ctrlPr>
            </m:fPr>
            <m:num>
              <m:r>
                <w:rPr>
                  <w:rFonts w:ascii="Cambria Math" w:hAnsi="Cambria Math"/>
                </w:rPr>
                <m:t xml:space="preserve">recipients </m:t>
              </m:r>
            </m:num>
            <m:den>
              <m:r>
                <w:rPr>
                  <w:rFonts w:ascii="Cambria Math" w:hAnsi="Cambria Math"/>
                </w:rPr>
                <m:t>capita</m:t>
              </m:r>
            </m:den>
          </m:f>
          <m:r>
            <w:rPr>
              <w:rFonts w:ascii="Cambria Math" w:hAnsi="Cambria Math"/>
            </w:rPr>
            <m:t>×</m:t>
          </m:r>
          <m:f>
            <m:fPr>
              <m:ctrlPr>
                <w:rPr>
                  <w:rFonts w:ascii="Cambria Math" w:hAnsi="Cambria Math"/>
                  <w:i/>
                  <w:color w:val="D9D9D9" w:themeColor="background1" w:themeShade="D9"/>
                </w:rPr>
              </m:ctrlPr>
            </m:fPr>
            <m:num>
              <m:r>
                <w:rPr>
                  <w:rFonts w:ascii="Cambria Math" w:hAnsi="Cambria Math"/>
                  <w:color w:val="D9D9D9" w:themeColor="background1" w:themeShade="D9"/>
                </w:rPr>
                <m:t>spending</m:t>
              </m:r>
            </m:num>
            <m:den>
              <m:r>
                <w:rPr>
                  <w:rFonts w:ascii="Cambria Math" w:hAnsi="Cambria Math"/>
                  <w:color w:val="D9D9D9" w:themeColor="background1" w:themeShade="D9"/>
                </w:rPr>
                <m:t>recipient</m:t>
              </m:r>
            </m:den>
          </m:f>
          <m:r>
            <w:rPr>
              <w:rFonts w:ascii="Cambria Math" w:hAnsi="Cambria Math" w:hint="eastAsia"/>
            </w:rPr>
            <m:t>→</m:t>
          </m:r>
          <m:f>
            <m:fPr>
              <m:ctrlPr>
                <w:rPr>
                  <w:rFonts w:ascii="Cambria Math" w:hAnsi="Cambria Math"/>
                  <w:i/>
                </w:rPr>
              </m:ctrlPr>
            </m:fPr>
            <m:num>
              <m:r>
                <w:rPr>
                  <w:rFonts w:ascii="Cambria Math" w:hAnsi="Cambria Math"/>
                </w:rPr>
                <m:t>eligible</m:t>
              </m:r>
            </m:num>
            <m:den>
              <m:r>
                <w:rPr>
                  <w:rFonts w:ascii="Cambria Math" w:hAnsi="Cambria Math"/>
                </w:rPr>
                <m:t>capita</m:t>
              </m:r>
            </m:den>
          </m:f>
          <m:r>
            <w:rPr>
              <w:rFonts w:ascii="Cambria Math" w:hAnsi="Cambria Math"/>
            </w:rPr>
            <m:t>×</m:t>
          </m:r>
          <m:f>
            <m:fPr>
              <m:ctrlPr>
                <w:rPr>
                  <w:rFonts w:ascii="Cambria Math" w:hAnsi="Cambria Math"/>
                  <w:i/>
                </w:rPr>
              </m:ctrlPr>
            </m:fPr>
            <m:num>
              <m:r>
                <w:rPr>
                  <w:rFonts w:ascii="Cambria Math" w:hAnsi="Cambria Math"/>
                </w:rPr>
                <m:t>recipients</m:t>
              </m:r>
            </m:num>
            <m:den>
              <m:eqArr>
                <m:eqArrPr>
                  <m:ctrlPr>
                    <w:rPr>
                      <w:rFonts w:ascii="Cambria Math" w:hAnsi="Cambria Math"/>
                      <w:i/>
                    </w:rPr>
                  </m:ctrlPr>
                </m:eqArrPr>
                <m:e>
                  <m:r>
                    <w:rPr>
                      <w:rFonts w:ascii="Cambria Math" w:hAnsi="Cambria Math"/>
                    </w:rPr>
                    <m:t>eligible</m:t>
                  </m:r>
                </m:e>
                <m:e>
                  <m:r>
                    <w:rPr>
                      <w:rFonts w:ascii="Cambria Math" w:hAnsi="Cambria Math"/>
                      <w:sz w:val="16"/>
                    </w:rPr>
                    <m:t>(take up rate)</m:t>
                  </m:r>
                </m:e>
              </m:eqArr>
            </m:den>
          </m:f>
          <m:r>
            <w:rPr>
              <w:rFonts w:ascii="Cambria Math" w:hAnsi="Cambria Math"/>
              <w:color w:val="D9D9D9" w:themeColor="background1" w:themeShade="D9"/>
            </w:rPr>
            <m:t>×</m:t>
          </m:r>
          <m:f>
            <m:fPr>
              <m:ctrlPr>
                <w:rPr>
                  <w:rFonts w:ascii="Cambria Math" w:hAnsi="Cambria Math"/>
                  <w:i/>
                  <w:color w:val="D9D9D9" w:themeColor="background1" w:themeShade="D9"/>
                </w:rPr>
              </m:ctrlPr>
            </m:fPr>
            <m:num>
              <m:r>
                <w:rPr>
                  <w:rFonts w:ascii="Cambria Math" w:hAnsi="Cambria Math"/>
                  <w:color w:val="D9D9D9" w:themeColor="background1" w:themeShade="D9"/>
                </w:rPr>
                <m:t>spending</m:t>
              </m:r>
            </m:num>
            <m:den>
              <m:r>
                <w:rPr>
                  <w:rFonts w:ascii="Cambria Math" w:hAnsi="Cambria Math"/>
                  <w:color w:val="D9D9D9" w:themeColor="background1" w:themeShade="D9"/>
                </w:rPr>
                <m:t>recipient</m:t>
              </m:r>
            </m:den>
          </m:f>
        </m:oMath>
      </m:oMathPara>
    </w:p>
    <w:p w14:paraId="300100CE" w14:textId="77777777" w:rsidR="008F0974" w:rsidRPr="008F0974" w:rsidRDefault="008F0974"/>
    <w:p w14:paraId="3188BE5F" w14:textId="77777777" w:rsidR="00AD7B59" w:rsidRDefault="00AD7B59"/>
    <w:p w14:paraId="65FC0CB0" w14:textId="77777777" w:rsidR="00AD7B59" w:rsidRDefault="00AD7B59"/>
    <w:p w14:paraId="117FB566" w14:textId="77777777" w:rsidR="007B099A" w:rsidRDefault="008F0974">
      <w:r>
        <w:t>Going one step further</w:t>
      </w:r>
      <w:r w:rsidR="00AD7B59">
        <w:t>, the number of eligible people</w:t>
      </w:r>
      <w:r w:rsidR="00BF0537">
        <w:t xml:space="preserve"> per capita</w:t>
      </w:r>
      <w:r w:rsidR="00AD7B59">
        <w:t xml:space="preserve"> is both a </w:t>
      </w:r>
      <w:r w:rsidR="00B03043">
        <w:t>function</w:t>
      </w:r>
      <w:r w:rsidR="00AD7B59">
        <w:t xml:space="preserve"> of demographics and policy decisions—the number of people eligible for Medicaid is both a </w:t>
      </w:r>
      <w:r>
        <w:t>function</w:t>
      </w:r>
      <w:r w:rsidR="00AD7B59">
        <w:t xml:space="preserve"> of poverty rates and stat</w:t>
      </w:r>
      <w:r>
        <w:t>e Medicaid eligibility laws</w:t>
      </w:r>
      <w:r w:rsidR="00EF1623">
        <w:t>, and the number of drivers is a function of age as well</w:t>
      </w:r>
      <w:r w:rsidR="00BF0537">
        <w:t xml:space="preserve"> as</w:t>
      </w:r>
      <w:r w:rsidR="00EF1623">
        <w:t xml:space="preserve"> drivers license eligibility laws.</w:t>
      </w:r>
    </w:p>
    <w:p w14:paraId="6B5ECE63" w14:textId="77777777" w:rsidR="00B03043" w:rsidRDefault="00B03043"/>
    <w:p w14:paraId="2F209EFB" w14:textId="77777777" w:rsidR="00EF1623" w:rsidRDefault="00EF1623"/>
    <w:p w14:paraId="117FD622" w14:textId="77777777" w:rsidR="00EF1623" w:rsidRPr="00EF1623" w:rsidRDefault="00EF1623">
      <w:pPr>
        <w:rPr>
          <w:sz w:val="22"/>
        </w:rPr>
      </w:pPr>
      <m:oMathPara>
        <m:oMath>
          <m:r>
            <w:rPr>
              <w:rFonts w:ascii="Cambria Math" w:hAnsi="Cambria Math" w:hint="eastAsia"/>
              <w:sz w:val="22"/>
            </w:rPr>
            <m:t>→</m:t>
          </m:r>
          <m:f>
            <m:fPr>
              <m:ctrlPr>
                <w:rPr>
                  <w:rFonts w:ascii="Cambria Math" w:hAnsi="Cambria Math"/>
                  <w:i/>
                  <w:sz w:val="22"/>
                </w:rPr>
              </m:ctrlPr>
            </m:fPr>
            <m:num>
              <m:r>
                <w:rPr>
                  <w:rFonts w:ascii="Cambria Math" w:hAnsi="Cambria Math"/>
                  <w:sz w:val="22"/>
                </w:rPr>
                <m:t>potentially eligible</m:t>
              </m:r>
            </m:num>
            <m:den>
              <m:eqArr>
                <m:eqArrPr>
                  <m:ctrlPr>
                    <w:rPr>
                      <w:rFonts w:ascii="Cambria Math" w:hAnsi="Cambria Math"/>
                      <w:i/>
                      <w:sz w:val="22"/>
                    </w:rPr>
                  </m:ctrlPr>
                </m:eqArrPr>
                <m:e>
                  <m:r>
                    <w:rPr>
                      <w:rFonts w:ascii="Cambria Math" w:hAnsi="Cambria Math"/>
                      <w:sz w:val="22"/>
                    </w:rPr>
                    <m:t>capita</m:t>
                  </m:r>
                </m:e>
                <m:e>
                  <m:r>
                    <w:rPr>
                      <w:rFonts w:ascii="Cambria Math" w:hAnsi="Cambria Math"/>
                      <w:sz w:val="14"/>
                    </w:rPr>
                    <m:t>(demographics)</m:t>
                  </m:r>
                </m:e>
              </m:eqArr>
            </m:den>
          </m:f>
          <m:r>
            <w:rPr>
              <w:rFonts w:ascii="Cambria Math" w:hAnsi="Cambria Math"/>
              <w:sz w:val="22"/>
            </w:rPr>
            <m:t>×</m:t>
          </m:r>
          <m:f>
            <m:fPr>
              <m:ctrlPr>
                <w:rPr>
                  <w:rFonts w:ascii="Cambria Math" w:hAnsi="Cambria Math"/>
                  <w:i/>
                  <w:sz w:val="22"/>
                </w:rPr>
              </m:ctrlPr>
            </m:fPr>
            <m:num>
              <m:r>
                <w:rPr>
                  <w:rFonts w:ascii="Cambria Math" w:hAnsi="Cambria Math"/>
                  <w:sz w:val="22"/>
                </w:rPr>
                <m:t>actually eligble</m:t>
              </m:r>
            </m:num>
            <m:den>
              <m:eqArr>
                <m:eqArrPr>
                  <m:ctrlPr>
                    <w:rPr>
                      <w:rFonts w:ascii="Cambria Math" w:hAnsi="Cambria Math"/>
                      <w:i/>
                      <w:sz w:val="22"/>
                    </w:rPr>
                  </m:ctrlPr>
                </m:eqArrPr>
                <m:e>
                  <m:r>
                    <w:rPr>
                      <w:rFonts w:ascii="Cambria Math" w:hAnsi="Cambria Math"/>
                      <w:sz w:val="22"/>
                    </w:rPr>
                    <m:t>pote</m:t>
                  </m:r>
                  <m:r>
                    <w:rPr>
                      <w:rFonts w:ascii="Cambria Math" w:hAnsi="Cambria Math"/>
                      <w:sz w:val="22"/>
                    </w:rPr>
                    <m:t>ntially eligible</m:t>
                  </m:r>
                </m:e>
                <m:e>
                  <m:r>
                    <w:rPr>
                      <w:rFonts w:ascii="Cambria Math" w:hAnsi="Cambria Math"/>
                      <w:sz w:val="14"/>
                    </w:rPr>
                    <m:t>(eligibility)</m:t>
                  </m:r>
                </m:e>
              </m:eqArr>
            </m:den>
          </m:f>
          <m:r>
            <w:rPr>
              <w:rFonts w:ascii="Cambria Math" w:hAnsi="Cambria Math"/>
              <w:color w:val="D9D9D9" w:themeColor="background1" w:themeShade="D9"/>
              <w:sz w:val="22"/>
            </w:rPr>
            <m:t>×</m:t>
          </m:r>
          <m:f>
            <m:fPr>
              <m:ctrlPr>
                <w:rPr>
                  <w:rFonts w:ascii="Cambria Math" w:hAnsi="Cambria Math"/>
                  <w:i/>
                  <w:color w:val="D9D9D9" w:themeColor="background1" w:themeShade="D9"/>
                  <w:sz w:val="22"/>
                </w:rPr>
              </m:ctrlPr>
            </m:fPr>
            <m:num>
              <m:r>
                <w:rPr>
                  <w:rFonts w:ascii="Cambria Math" w:hAnsi="Cambria Math"/>
                  <w:color w:val="D9D9D9" w:themeColor="background1" w:themeShade="D9"/>
                  <w:sz w:val="22"/>
                </w:rPr>
                <m:t>recipients</m:t>
              </m:r>
            </m:num>
            <m:den>
              <m:eqArr>
                <m:eqArrPr>
                  <m:ctrlPr>
                    <w:rPr>
                      <w:rFonts w:ascii="Cambria Math" w:hAnsi="Cambria Math"/>
                      <w:i/>
                      <w:color w:val="D9D9D9" w:themeColor="background1" w:themeShade="D9"/>
                      <w:sz w:val="22"/>
                    </w:rPr>
                  </m:ctrlPr>
                </m:eqArrPr>
                <m:e>
                  <m:r>
                    <w:rPr>
                      <w:rFonts w:ascii="Cambria Math" w:hAnsi="Cambria Math"/>
                      <w:color w:val="D9D9D9" w:themeColor="background1" w:themeShade="D9"/>
                      <w:sz w:val="22"/>
                    </w:rPr>
                    <m:t>eligible</m:t>
                  </m:r>
                </m:e>
                <m:e>
                  <m:r>
                    <w:rPr>
                      <w:rFonts w:ascii="Cambria Math" w:hAnsi="Cambria Math"/>
                      <w:color w:val="D9D9D9" w:themeColor="background1" w:themeShade="D9"/>
                      <w:sz w:val="14"/>
                    </w:rPr>
                    <m:t>(take up rate)</m:t>
                  </m:r>
                </m:e>
              </m:eqArr>
            </m:den>
          </m:f>
          <m:r>
            <w:rPr>
              <w:rFonts w:ascii="Cambria Math" w:hAnsi="Cambria Math"/>
              <w:color w:val="D9D9D9" w:themeColor="background1" w:themeShade="D9"/>
              <w:sz w:val="22"/>
            </w:rPr>
            <m:t>×</m:t>
          </m:r>
          <m:f>
            <m:fPr>
              <m:ctrlPr>
                <w:rPr>
                  <w:rFonts w:ascii="Cambria Math" w:hAnsi="Cambria Math"/>
                  <w:i/>
                  <w:color w:val="D9D9D9" w:themeColor="background1" w:themeShade="D9"/>
                  <w:sz w:val="22"/>
                </w:rPr>
              </m:ctrlPr>
            </m:fPr>
            <m:num>
              <m:r>
                <w:rPr>
                  <w:rFonts w:ascii="Cambria Math" w:hAnsi="Cambria Math"/>
                  <w:color w:val="D9D9D9" w:themeColor="background1" w:themeShade="D9"/>
                  <w:sz w:val="22"/>
                </w:rPr>
                <m:t>spending</m:t>
              </m:r>
            </m:num>
            <m:den>
              <m:r>
                <w:rPr>
                  <w:rFonts w:ascii="Cambria Math" w:hAnsi="Cambria Math"/>
                  <w:color w:val="D9D9D9" w:themeColor="background1" w:themeShade="D9"/>
                  <w:sz w:val="22"/>
                </w:rPr>
                <m:t>recipient</m:t>
              </m:r>
            </m:den>
          </m:f>
        </m:oMath>
      </m:oMathPara>
    </w:p>
    <w:p w14:paraId="70468CBF" w14:textId="77777777" w:rsidR="00EF1623" w:rsidRDefault="00EF1623">
      <w:pPr>
        <w:rPr>
          <w:sz w:val="22"/>
        </w:rPr>
      </w:pPr>
    </w:p>
    <w:p w14:paraId="5D9276A4" w14:textId="77777777" w:rsidR="00B03043" w:rsidRDefault="00B03043">
      <w:pPr>
        <w:rPr>
          <w:sz w:val="22"/>
        </w:rPr>
      </w:pPr>
    </w:p>
    <w:p w14:paraId="56DE6A23" w14:textId="77777777" w:rsidR="00EF1623" w:rsidRDefault="00EF1623">
      <w:r w:rsidRPr="00EF1623">
        <w:t xml:space="preserve">Now let’s back up and look at the other </w:t>
      </w:r>
      <w:r>
        <w:t>major</w:t>
      </w:r>
      <w:r w:rsidR="00B03043">
        <w:t xml:space="preserve"> set of</w:t>
      </w:r>
      <w:r>
        <w:t xml:space="preserve"> factor</w:t>
      </w:r>
      <w:r w:rsidR="00B03043">
        <w:t>s</w:t>
      </w:r>
      <w:r>
        <w:t xml:space="preserve"> driving spending</w:t>
      </w:r>
      <w:r w:rsidR="00B03043">
        <w:t xml:space="preserve"> per capita</w:t>
      </w:r>
      <w:r>
        <w:t xml:space="preserve">. While demographics, eligibility, and take up rate determine the proportion of a state’s residents who receive a </w:t>
      </w:r>
      <w:r w:rsidR="00B03043">
        <w:t xml:space="preserve">given </w:t>
      </w:r>
      <w:r>
        <w:t xml:space="preserve">service, states also </w:t>
      </w:r>
      <w:r w:rsidR="00B03043">
        <w:t xml:space="preserve">spend different amounts of money on services </w:t>
      </w:r>
      <w:r w:rsidR="00BF0537">
        <w:t>per</w:t>
      </w:r>
      <w:r w:rsidR="00B03043">
        <w:t xml:space="preserve"> every one recipient</w:t>
      </w:r>
      <w:r>
        <w:t xml:space="preserve">. Spending per recipient can be broken down into </w:t>
      </w:r>
      <w:r w:rsidR="00BF0537">
        <w:t>“</w:t>
      </w:r>
      <w:r>
        <w:t>units</w:t>
      </w:r>
      <w:r w:rsidR="00BF0537">
        <w:t>”</w:t>
      </w:r>
      <w:r>
        <w:t xml:space="preserve"> per recipient (where a unit might be a school, a prison, a mile of highway, or </w:t>
      </w:r>
      <w:r w:rsidR="00B03043">
        <w:t>a public park) and spending per unit.</w:t>
      </w:r>
    </w:p>
    <w:p w14:paraId="2D9AA485" w14:textId="77777777" w:rsidR="00B03043" w:rsidRDefault="00B03043"/>
    <w:p w14:paraId="20A65A0F" w14:textId="77777777" w:rsidR="00B03043" w:rsidRDefault="00B03043"/>
    <w:p w14:paraId="28D9BFD3" w14:textId="77777777" w:rsidR="00B03043" w:rsidRPr="00EF1623" w:rsidRDefault="00B03043" w:rsidP="00B03043">
      <w:pPr>
        <w:rPr>
          <w:sz w:val="22"/>
        </w:rPr>
      </w:pPr>
      <m:oMathPara>
        <m:oMath>
          <m:r>
            <w:rPr>
              <w:rFonts w:ascii="Cambria Math" w:hAnsi="Cambria Math" w:hint="eastAsia"/>
              <w:sz w:val="22"/>
            </w:rPr>
            <m:t>→</m:t>
          </m:r>
          <m:f>
            <m:fPr>
              <m:ctrlPr>
                <w:rPr>
                  <w:rFonts w:ascii="Cambria Math" w:hAnsi="Cambria Math"/>
                  <w:i/>
                  <w:color w:val="D9D9D9" w:themeColor="background1" w:themeShade="D9"/>
                  <w:sz w:val="22"/>
                </w:rPr>
              </m:ctrlPr>
            </m:fPr>
            <m:num>
              <m:r>
                <w:rPr>
                  <w:rFonts w:ascii="Cambria Math" w:hAnsi="Cambria Math"/>
                  <w:color w:val="D9D9D9" w:themeColor="background1" w:themeShade="D9"/>
                  <w:sz w:val="22"/>
                </w:rPr>
                <m:t>potentially eligible</m:t>
              </m:r>
            </m:num>
            <m:den>
              <m:eqArr>
                <m:eqArrPr>
                  <m:ctrlPr>
                    <w:rPr>
                      <w:rFonts w:ascii="Cambria Math" w:hAnsi="Cambria Math"/>
                      <w:i/>
                      <w:color w:val="D9D9D9" w:themeColor="background1" w:themeShade="D9"/>
                      <w:sz w:val="22"/>
                    </w:rPr>
                  </m:ctrlPr>
                </m:eqArrPr>
                <m:e>
                  <m:r>
                    <w:rPr>
                      <w:rFonts w:ascii="Cambria Math" w:hAnsi="Cambria Math"/>
                      <w:color w:val="D9D9D9" w:themeColor="background1" w:themeShade="D9"/>
                      <w:sz w:val="22"/>
                    </w:rPr>
                    <m:t>capita</m:t>
                  </m:r>
                </m:e>
                <m:e>
                  <m:r>
                    <w:rPr>
                      <w:rFonts w:ascii="Cambria Math" w:hAnsi="Cambria Math"/>
                      <w:color w:val="D9D9D9" w:themeColor="background1" w:themeShade="D9"/>
                      <w:sz w:val="14"/>
                    </w:rPr>
                    <m:t>(demographics)</m:t>
                  </m:r>
                </m:e>
              </m:eqArr>
            </m:den>
          </m:f>
          <m:r>
            <w:rPr>
              <w:rFonts w:ascii="Cambria Math" w:hAnsi="Cambria Math"/>
              <w:color w:val="D9D9D9" w:themeColor="background1" w:themeShade="D9"/>
              <w:sz w:val="22"/>
            </w:rPr>
            <m:t>×</m:t>
          </m:r>
          <m:f>
            <m:fPr>
              <m:ctrlPr>
                <w:rPr>
                  <w:rFonts w:ascii="Cambria Math" w:hAnsi="Cambria Math"/>
                  <w:i/>
                  <w:color w:val="D9D9D9" w:themeColor="background1" w:themeShade="D9"/>
                  <w:sz w:val="22"/>
                </w:rPr>
              </m:ctrlPr>
            </m:fPr>
            <m:num>
              <m:r>
                <w:rPr>
                  <w:rFonts w:ascii="Cambria Math" w:hAnsi="Cambria Math"/>
                  <w:color w:val="D9D9D9" w:themeColor="background1" w:themeShade="D9"/>
                  <w:sz w:val="22"/>
                </w:rPr>
                <m:t>actually eligble</m:t>
              </m:r>
            </m:num>
            <m:den>
              <m:eqArr>
                <m:eqArrPr>
                  <m:ctrlPr>
                    <w:rPr>
                      <w:rFonts w:ascii="Cambria Math" w:hAnsi="Cambria Math"/>
                      <w:i/>
                      <w:color w:val="D9D9D9" w:themeColor="background1" w:themeShade="D9"/>
                      <w:sz w:val="22"/>
                    </w:rPr>
                  </m:ctrlPr>
                </m:eqArrPr>
                <m:e>
                  <m:r>
                    <w:rPr>
                      <w:rFonts w:ascii="Cambria Math" w:hAnsi="Cambria Math"/>
                      <w:color w:val="D9D9D9" w:themeColor="background1" w:themeShade="D9"/>
                      <w:sz w:val="22"/>
                    </w:rPr>
                    <m:t>potentially eligible</m:t>
                  </m:r>
                </m:e>
                <m:e>
                  <m:r>
                    <w:rPr>
                      <w:rFonts w:ascii="Cambria Math" w:hAnsi="Cambria Math"/>
                      <w:color w:val="D9D9D9" w:themeColor="background1" w:themeShade="D9"/>
                      <w:sz w:val="14"/>
                    </w:rPr>
                    <m:t>(eligibility)</m:t>
                  </m:r>
                </m:e>
              </m:eqArr>
            </m:den>
          </m:f>
          <m:r>
            <w:rPr>
              <w:rFonts w:ascii="Cambria Math" w:hAnsi="Cambria Math"/>
              <w:color w:val="D9D9D9" w:themeColor="background1" w:themeShade="D9"/>
              <w:sz w:val="22"/>
            </w:rPr>
            <m:t>×</m:t>
          </m:r>
          <m:f>
            <m:fPr>
              <m:ctrlPr>
                <w:rPr>
                  <w:rFonts w:ascii="Cambria Math" w:hAnsi="Cambria Math"/>
                  <w:i/>
                  <w:color w:val="D9D9D9" w:themeColor="background1" w:themeShade="D9"/>
                  <w:sz w:val="22"/>
                </w:rPr>
              </m:ctrlPr>
            </m:fPr>
            <m:num>
              <m:r>
                <w:rPr>
                  <w:rFonts w:ascii="Cambria Math" w:hAnsi="Cambria Math"/>
                  <w:color w:val="D9D9D9" w:themeColor="background1" w:themeShade="D9"/>
                  <w:sz w:val="22"/>
                </w:rPr>
                <m:t>recipients</m:t>
              </m:r>
            </m:num>
            <m:den>
              <m:eqArr>
                <m:eqArrPr>
                  <m:ctrlPr>
                    <w:rPr>
                      <w:rFonts w:ascii="Cambria Math" w:hAnsi="Cambria Math"/>
                      <w:i/>
                      <w:color w:val="D9D9D9" w:themeColor="background1" w:themeShade="D9"/>
                      <w:sz w:val="22"/>
                    </w:rPr>
                  </m:ctrlPr>
                </m:eqArrPr>
                <m:e>
                  <m:r>
                    <w:rPr>
                      <w:rFonts w:ascii="Cambria Math" w:hAnsi="Cambria Math"/>
                      <w:color w:val="D9D9D9" w:themeColor="background1" w:themeShade="D9"/>
                      <w:sz w:val="22"/>
                    </w:rPr>
                    <m:t>eligible</m:t>
                  </m:r>
                </m:e>
                <m:e>
                  <m:r>
                    <w:rPr>
                      <w:rFonts w:ascii="Cambria Math" w:hAnsi="Cambria Math"/>
                      <w:color w:val="D9D9D9" w:themeColor="background1" w:themeShade="D9"/>
                      <w:sz w:val="14"/>
                    </w:rPr>
                    <m:t>(take up rate)</m:t>
                  </m:r>
                </m:e>
              </m:eqArr>
            </m:den>
          </m:f>
          <m:r>
            <w:rPr>
              <w:rFonts w:ascii="Cambria Math" w:hAnsi="Cambria Math"/>
              <w:color w:val="D9D9D9" w:themeColor="background1" w:themeShade="D9"/>
              <w:sz w:val="22"/>
            </w:rPr>
            <m:t>×</m:t>
          </m:r>
          <m:f>
            <m:fPr>
              <m:ctrlPr>
                <w:rPr>
                  <w:rFonts w:ascii="Cambria Math" w:hAnsi="Cambria Math"/>
                  <w:i/>
                  <w:sz w:val="22"/>
                </w:rPr>
              </m:ctrlPr>
            </m:fPr>
            <m:num>
              <m:r>
                <w:rPr>
                  <w:rFonts w:ascii="Cambria Math" w:hAnsi="Cambria Math"/>
                  <w:sz w:val="22"/>
                </w:rPr>
                <m:t>unit</m:t>
              </m:r>
            </m:num>
            <m:den>
              <m:r>
                <w:rPr>
                  <w:rFonts w:ascii="Cambria Math" w:hAnsi="Cambria Math"/>
                  <w:sz w:val="22"/>
                </w:rPr>
                <m:t>recipient</m:t>
              </m:r>
            </m:den>
          </m:f>
          <m:r>
            <w:rPr>
              <w:rFonts w:ascii="Cambria Math" w:hAnsi="Cambria Math"/>
              <w:sz w:val="22"/>
            </w:rPr>
            <m:t>×</m:t>
          </m:r>
          <m:f>
            <m:fPr>
              <m:ctrlPr>
                <w:rPr>
                  <w:rFonts w:ascii="Cambria Math" w:hAnsi="Cambria Math"/>
                  <w:i/>
                  <w:sz w:val="22"/>
                </w:rPr>
              </m:ctrlPr>
            </m:fPr>
            <m:num>
              <m:r>
                <w:rPr>
                  <w:rFonts w:ascii="Cambria Math" w:hAnsi="Cambria Math"/>
                  <w:sz w:val="22"/>
                </w:rPr>
                <m:t>spending</m:t>
              </m:r>
            </m:num>
            <m:den>
              <m:r>
                <w:rPr>
                  <w:rFonts w:ascii="Cambria Math" w:hAnsi="Cambria Math"/>
                  <w:sz w:val="22"/>
                </w:rPr>
                <m:t>unit</m:t>
              </m:r>
            </m:den>
          </m:f>
        </m:oMath>
      </m:oMathPara>
    </w:p>
    <w:p w14:paraId="44A0DB57" w14:textId="77777777" w:rsidR="00B03043" w:rsidRDefault="00B03043"/>
    <w:p w14:paraId="6A0B82B4" w14:textId="77777777" w:rsidR="00B03043" w:rsidRDefault="00B03043">
      <w:r>
        <w:lastRenderedPageBreak/>
        <w:t>Finally, states spend money both on humans and things (teachers and books, doctors and medicine, prison guards and prisons), so we divide spending per unit into salaries (payroll spending) and everything else (non payroll spending)</w:t>
      </w:r>
    </w:p>
    <w:p w14:paraId="56A21505" w14:textId="77777777" w:rsidR="00B03043" w:rsidRDefault="00B03043"/>
    <w:p w14:paraId="230D54A8" w14:textId="77777777" w:rsidR="006E71EE" w:rsidRPr="006E71EE" w:rsidRDefault="006E71EE" w:rsidP="00B03043">
      <w:pPr>
        <w:rPr>
          <w:sz w:val="22"/>
        </w:rPr>
      </w:pPr>
    </w:p>
    <w:p w14:paraId="517583D4" w14:textId="77777777" w:rsidR="00B03043" w:rsidRPr="00EF1623" w:rsidRDefault="00B03043" w:rsidP="00B03043">
      <w:pPr>
        <w:rPr>
          <w:sz w:val="22"/>
        </w:rPr>
      </w:pPr>
      <m:oMathPara>
        <m:oMath>
          <m:r>
            <w:rPr>
              <w:rFonts w:ascii="Cambria Math" w:hAnsi="Cambria Math" w:hint="eastAsia"/>
              <w:sz w:val="22"/>
            </w:rPr>
            <m:t>→</m:t>
          </m:r>
          <m:f>
            <m:fPr>
              <m:ctrlPr>
                <w:rPr>
                  <w:rFonts w:ascii="Cambria Math" w:hAnsi="Cambria Math"/>
                  <w:i/>
                  <w:color w:val="D9D9D9" w:themeColor="background1" w:themeShade="D9"/>
                  <w:sz w:val="20"/>
                </w:rPr>
              </m:ctrlPr>
            </m:fPr>
            <m:num>
              <m:r>
                <w:rPr>
                  <w:rFonts w:ascii="Cambria Math" w:hAnsi="Cambria Math"/>
                  <w:color w:val="D9D9D9" w:themeColor="background1" w:themeShade="D9"/>
                  <w:sz w:val="20"/>
                </w:rPr>
                <m:t>potentially eligible</m:t>
              </m:r>
            </m:num>
            <m:den>
              <m:eqArr>
                <m:eqArrPr>
                  <m:ctrlPr>
                    <w:rPr>
                      <w:rFonts w:ascii="Cambria Math" w:hAnsi="Cambria Math"/>
                      <w:i/>
                      <w:color w:val="D9D9D9" w:themeColor="background1" w:themeShade="D9"/>
                      <w:sz w:val="20"/>
                    </w:rPr>
                  </m:ctrlPr>
                </m:eqArrPr>
                <m:e>
                  <m:r>
                    <w:rPr>
                      <w:rFonts w:ascii="Cambria Math" w:hAnsi="Cambria Math"/>
                      <w:color w:val="D9D9D9" w:themeColor="background1" w:themeShade="D9"/>
                      <w:sz w:val="20"/>
                    </w:rPr>
                    <m:t>capita</m:t>
                  </m:r>
                </m:e>
                <m:e>
                  <m:r>
                    <w:rPr>
                      <w:rFonts w:ascii="Cambria Math" w:hAnsi="Cambria Math"/>
                      <w:color w:val="D9D9D9" w:themeColor="background1" w:themeShade="D9"/>
                      <w:sz w:val="12"/>
                    </w:rPr>
                    <m:t>(demographics)</m:t>
                  </m:r>
                </m:e>
              </m:eqArr>
            </m:den>
          </m:f>
          <m:r>
            <w:rPr>
              <w:rFonts w:ascii="Cambria Math" w:hAnsi="Cambria Math"/>
              <w:color w:val="D9D9D9" w:themeColor="background1" w:themeShade="D9"/>
              <w:sz w:val="20"/>
            </w:rPr>
            <m:t>×</m:t>
          </m:r>
          <m:f>
            <m:fPr>
              <m:ctrlPr>
                <w:rPr>
                  <w:rFonts w:ascii="Cambria Math" w:hAnsi="Cambria Math"/>
                  <w:i/>
                  <w:color w:val="D9D9D9" w:themeColor="background1" w:themeShade="D9"/>
                  <w:sz w:val="20"/>
                </w:rPr>
              </m:ctrlPr>
            </m:fPr>
            <m:num>
              <m:r>
                <w:rPr>
                  <w:rFonts w:ascii="Cambria Math" w:hAnsi="Cambria Math"/>
                  <w:color w:val="D9D9D9" w:themeColor="background1" w:themeShade="D9"/>
                  <w:sz w:val="20"/>
                </w:rPr>
                <m:t>actually eligble</m:t>
              </m:r>
            </m:num>
            <m:den>
              <m:eqArr>
                <m:eqArrPr>
                  <m:ctrlPr>
                    <w:rPr>
                      <w:rFonts w:ascii="Cambria Math" w:hAnsi="Cambria Math"/>
                      <w:i/>
                      <w:color w:val="D9D9D9" w:themeColor="background1" w:themeShade="D9"/>
                      <w:sz w:val="20"/>
                    </w:rPr>
                  </m:ctrlPr>
                </m:eqArrPr>
                <m:e>
                  <m:r>
                    <w:rPr>
                      <w:rFonts w:ascii="Cambria Math" w:hAnsi="Cambria Math"/>
                      <w:color w:val="D9D9D9" w:themeColor="background1" w:themeShade="D9"/>
                      <w:sz w:val="20"/>
                    </w:rPr>
                    <m:t>potentially eligible</m:t>
                  </m:r>
                </m:e>
                <m:e>
                  <m:r>
                    <w:rPr>
                      <w:rFonts w:ascii="Cambria Math" w:hAnsi="Cambria Math"/>
                      <w:color w:val="D9D9D9" w:themeColor="background1" w:themeShade="D9"/>
                      <w:sz w:val="12"/>
                    </w:rPr>
                    <m:t>(eligibility)</m:t>
                  </m:r>
                </m:e>
              </m:eqArr>
            </m:den>
          </m:f>
          <m:r>
            <w:rPr>
              <w:rFonts w:ascii="Cambria Math" w:hAnsi="Cambria Math"/>
              <w:color w:val="D9D9D9" w:themeColor="background1" w:themeShade="D9"/>
              <w:sz w:val="20"/>
            </w:rPr>
            <m:t>×</m:t>
          </m:r>
          <m:f>
            <m:fPr>
              <m:ctrlPr>
                <w:rPr>
                  <w:rFonts w:ascii="Cambria Math" w:hAnsi="Cambria Math"/>
                  <w:i/>
                  <w:color w:val="D9D9D9" w:themeColor="background1" w:themeShade="D9"/>
                  <w:sz w:val="20"/>
                </w:rPr>
              </m:ctrlPr>
            </m:fPr>
            <m:num>
              <m:r>
                <w:rPr>
                  <w:rFonts w:ascii="Cambria Math" w:hAnsi="Cambria Math"/>
                  <w:color w:val="D9D9D9" w:themeColor="background1" w:themeShade="D9"/>
                  <w:sz w:val="20"/>
                </w:rPr>
                <m:t>recipients</m:t>
              </m:r>
            </m:num>
            <m:den>
              <m:eqArr>
                <m:eqArrPr>
                  <m:ctrlPr>
                    <w:rPr>
                      <w:rFonts w:ascii="Cambria Math" w:hAnsi="Cambria Math"/>
                      <w:i/>
                      <w:color w:val="D9D9D9" w:themeColor="background1" w:themeShade="D9"/>
                      <w:sz w:val="20"/>
                    </w:rPr>
                  </m:ctrlPr>
                </m:eqArrPr>
                <m:e>
                  <m:r>
                    <w:rPr>
                      <w:rFonts w:ascii="Cambria Math" w:hAnsi="Cambria Math"/>
                      <w:color w:val="D9D9D9" w:themeColor="background1" w:themeShade="D9"/>
                      <w:sz w:val="20"/>
                    </w:rPr>
                    <m:t>eligible</m:t>
                  </m:r>
                </m:e>
                <m:e>
                  <m:r>
                    <w:rPr>
                      <w:rFonts w:ascii="Cambria Math" w:hAnsi="Cambria Math"/>
                      <w:color w:val="D9D9D9" w:themeColor="background1" w:themeShade="D9"/>
                      <w:sz w:val="12"/>
                    </w:rPr>
                    <m:t>(take up rate)</m:t>
                  </m:r>
                </m:e>
              </m:eqArr>
            </m:den>
          </m:f>
          <m:r>
            <w:rPr>
              <w:rFonts w:ascii="Cambria Math" w:hAnsi="Cambria Math"/>
              <w:color w:val="D9D9D9" w:themeColor="background1" w:themeShade="D9"/>
              <w:sz w:val="20"/>
            </w:rPr>
            <m:t>×</m:t>
          </m:r>
          <m:f>
            <m:fPr>
              <m:ctrlPr>
                <w:rPr>
                  <w:rFonts w:ascii="Cambria Math" w:hAnsi="Cambria Math"/>
                  <w:i/>
                  <w:color w:val="D9D9D9" w:themeColor="background1" w:themeShade="D9"/>
                  <w:sz w:val="20"/>
                </w:rPr>
              </m:ctrlPr>
            </m:fPr>
            <m:num>
              <m:r>
                <w:rPr>
                  <w:rFonts w:ascii="Cambria Math" w:hAnsi="Cambria Math"/>
                  <w:color w:val="D9D9D9" w:themeColor="background1" w:themeShade="D9"/>
                  <w:sz w:val="20"/>
                </w:rPr>
                <m:t>unit</m:t>
              </m:r>
            </m:num>
            <m:den>
              <m:r>
                <w:rPr>
                  <w:rFonts w:ascii="Cambria Math" w:hAnsi="Cambria Math"/>
                  <w:color w:val="D9D9D9" w:themeColor="background1" w:themeShade="D9"/>
                  <w:sz w:val="20"/>
                </w:rPr>
                <m:t>recipient</m:t>
              </m:r>
            </m:den>
          </m:f>
          <m:r>
            <w:rPr>
              <w:rFonts w:ascii="Cambria Math" w:hAnsi="Cambria Math"/>
              <w:color w:val="D9D9D9" w:themeColor="background1" w:themeShade="D9"/>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payroll</m:t>
                  </m:r>
                </m:num>
                <m:den>
                  <m:r>
                    <w:rPr>
                      <w:rFonts w:ascii="Cambria Math" w:hAnsi="Cambria Math"/>
                      <w:sz w:val="20"/>
                    </w:rPr>
                    <m:t>unit</m:t>
                  </m:r>
                </m:den>
              </m:f>
              <m:r>
                <m:rPr>
                  <m:lit/>
                </m:rPr>
                <w:rPr>
                  <w:rFonts w:ascii="Cambria Math" w:hAnsi="Cambria Math"/>
                  <w:sz w:val="20"/>
                </w:rPr>
                <m:t>+</m:t>
              </m:r>
              <m:r>
                <w:rPr>
                  <w:rFonts w:ascii="Cambria Math" w:hAnsi="Cambria Math"/>
                  <w:sz w:val="20"/>
                </w:rPr>
                <m:t xml:space="preserve"> </m:t>
              </m:r>
              <m:f>
                <m:fPr>
                  <m:ctrlPr>
                    <w:rPr>
                      <w:rFonts w:ascii="Cambria Math" w:hAnsi="Cambria Math"/>
                      <w:i/>
                      <w:sz w:val="20"/>
                    </w:rPr>
                  </m:ctrlPr>
                </m:fPr>
                <m:num>
                  <m:r>
                    <w:rPr>
                      <w:rFonts w:ascii="Cambria Math" w:hAnsi="Cambria Math"/>
                      <w:sz w:val="20"/>
                    </w:rPr>
                    <m:t>non payroll</m:t>
                  </m:r>
                </m:num>
                <m:den>
                  <m:r>
                    <w:rPr>
                      <w:rFonts w:ascii="Cambria Math" w:hAnsi="Cambria Math"/>
                      <w:sz w:val="20"/>
                    </w:rPr>
                    <m:t>unit</m:t>
                  </m:r>
                </m:den>
              </m:f>
            </m:e>
          </m:d>
        </m:oMath>
      </m:oMathPara>
    </w:p>
    <w:p w14:paraId="244F2AD8" w14:textId="77777777" w:rsidR="00B03043" w:rsidRDefault="00B03043"/>
    <w:p w14:paraId="0C2B573F" w14:textId="77777777" w:rsidR="006E71EE" w:rsidRDefault="006E71EE"/>
    <w:p w14:paraId="75BEB6E5" w14:textId="77777777" w:rsidR="006E71EE" w:rsidRDefault="006E71EE">
      <w:r>
        <w:t xml:space="preserve">Looking at the full picture, we can start to see how spending per capita is a flawed metric, since it can be heavily influenced by a state’s demographics, </w:t>
      </w:r>
      <w:r w:rsidR="00BF0537">
        <w:t xml:space="preserve">by </w:t>
      </w:r>
      <w:r>
        <w:t xml:space="preserve">its policy decisions, and </w:t>
      </w:r>
      <w:r w:rsidR="00BF0537">
        <w:t xml:space="preserve">by </w:t>
      </w:r>
      <w:bookmarkStart w:id="0" w:name="_GoBack"/>
      <w:bookmarkEnd w:id="0"/>
      <w:r>
        <w:t xml:space="preserve">the choices of its residents. A state like Colorado, for example, pays its college and university teachers more than all other states but one, but its relatively old population means it’s only ranked 26th in secondary </w:t>
      </w:r>
      <w:r w:rsidR="00CF07F4">
        <w:t xml:space="preserve">education </w:t>
      </w:r>
      <w:r>
        <w:t>spending per cap</w:t>
      </w:r>
      <w:r w:rsidR="00CF07F4">
        <w:t>ita. While a state like [another example go</w:t>
      </w:r>
      <w:r w:rsidR="000F132C">
        <w:t>es here]. In the graphic below……</w:t>
      </w:r>
    </w:p>
    <w:p w14:paraId="307B5312" w14:textId="77777777" w:rsidR="006E71EE" w:rsidRDefault="006E71EE"/>
    <w:p w14:paraId="062EB854" w14:textId="77777777" w:rsidR="006E71EE" w:rsidRPr="006E71EE" w:rsidRDefault="006E71EE" w:rsidP="006E71EE">
      <w:pPr>
        <w:rPr>
          <w:sz w:val="22"/>
        </w:rPr>
      </w:pPr>
      <m:oMathPara>
        <m:oMath>
          <m:r>
            <w:rPr>
              <w:rFonts w:ascii="Cambria Math" w:hAnsi="Cambria Math" w:hint="eastAsia"/>
              <w:sz w:val="22"/>
            </w:rPr>
            <m:t>→</m:t>
          </m:r>
          <m:f>
            <m:fPr>
              <m:ctrlPr>
                <w:rPr>
                  <w:rFonts w:ascii="Cambria Math" w:hAnsi="Cambria Math"/>
                  <w:i/>
                  <w:sz w:val="20"/>
                </w:rPr>
              </m:ctrlPr>
            </m:fPr>
            <m:num>
              <m:r>
                <w:rPr>
                  <w:rFonts w:ascii="Cambria Math" w:hAnsi="Cambria Math"/>
                  <w:sz w:val="20"/>
                </w:rPr>
                <m:t>potentially eligible</m:t>
              </m:r>
            </m:num>
            <m:den>
              <m:eqArr>
                <m:eqArrPr>
                  <m:ctrlPr>
                    <w:rPr>
                      <w:rFonts w:ascii="Cambria Math" w:hAnsi="Cambria Math"/>
                      <w:i/>
                      <w:sz w:val="20"/>
                    </w:rPr>
                  </m:ctrlPr>
                </m:eqArrPr>
                <m:e>
                  <m:r>
                    <w:rPr>
                      <w:rFonts w:ascii="Cambria Math" w:hAnsi="Cambria Math"/>
                      <w:sz w:val="20"/>
                    </w:rPr>
                    <m:t>capita</m:t>
                  </m:r>
                </m:e>
                <m:e>
                  <m:r>
                    <w:rPr>
                      <w:rFonts w:ascii="Cambria Math" w:hAnsi="Cambria Math"/>
                      <w:sz w:val="12"/>
                    </w:rPr>
                    <m:t>(demographics)</m:t>
                  </m:r>
                </m:e>
              </m:eqArr>
            </m:den>
          </m:f>
          <m:r>
            <w:rPr>
              <w:rFonts w:ascii="Cambria Math" w:hAnsi="Cambria Math"/>
              <w:sz w:val="20"/>
            </w:rPr>
            <m:t>×</m:t>
          </m:r>
          <m:f>
            <m:fPr>
              <m:ctrlPr>
                <w:rPr>
                  <w:rFonts w:ascii="Cambria Math" w:hAnsi="Cambria Math"/>
                  <w:i/>
                  <w:sz w:val="20"/>
                </w:rPr>
              </m:ctrlPr>
            </m:fPr>
            <m:num>
              <m:r>
                <w:rPr>
                  <w:rFonts w:ascii="Cambria Math" w:hAnsi="Cambria Math"/>
                  <w:sz w:val="20"/>
                </w:rPr>
                <m:t>actually eligble</m:t>
              </m:r>
            </m:num>
            <m:den>
              <m:eqArr>
                <m:eqArrPr>
                  <m:ctrlPr>
                    <w:rPr>
                      <w:rFonts w:ascii="Cambria Math" w:hAnsi="Cambria Math"/>
                      <w:i/>
                      <w:sz w:val="20"/>
                    </w:rPr>
                  </m:ctrlPr>
                </m:eqArrPr>
                <m:e>
                  <m:r>
                    <w:rPr>
                      <w:rFonts w:ascii="Cambria Math" w:hAnsi="Cambria Math"/>
                      <w:sz w:val="20"/>
                    </w:rPr>
                    <m:t>potentially eligible</m:t>
                  </m:r>
                </m:e>
                <m:e>
                  <m:r>
                    <w:rPr>
                      <w:rFonts w:ascii="Cambria Math" w:hAnsi="Cambria Math"/>
                      <w:sz w:val="12"/>
                    </w:rPr>
                    <m:t>(eligibility)</m:t>
                  </m:r>
                </m:e>
              </m:eqArr>
            </m:den>
          </m:f>
          <m:r>
            <w:rPr>
              <w:rFonts w:ascii="Cambria Math" w:hAnsi="Cambria Math"/>
              <w:sz w:val="20"/>
            </w:rPr>
            <m:t>×</m:t>
          </m:r>
          <m:f>
            <m:fPr>
              <m:ctrlPr>
                <w:rPr>
                  <w:rFonts w:ascii="Cambria Math" w:hAnsi="Cambria Math"/>
                  <w:i/>
                  <w:sz w:val="20"/>
                </w:rPr>
              </m:ctrlPr>
            </m:fPr>
            <m:num>
              <m:r>
                <w:rPr>
                  <w:rFonts w:ascii="Cambria Math" w:hAnsi="Cambria Math"/>
                  <w:sz w:val="20"/>
                </w:rPr>
                <m:t>recipients</m:t>
              </m:r>
            </m:num>
            <m:den>
              <m:eqArr>
                <m:eqArrPr>
                  <m:ctrlPr>
                    <w:rPr>
                      <w:rFonts w:ascii="Cambria Math" w:hAnsi="Cambria Math"/>
                      <w:i/>
                      <w:sz w:val="20"/>
                    </w:rPr>
                  </m:ctrlPr>
                </m:eqArrPr>
                <m:e>
                  <m:r>
                    <w:rPr>
                      <w:rFonts w:ascii="Cambria Math" w:hAnsi="Cambria Math"/>
                      <w:sz w:val="20"/>
                    </w:rPr>
                    <m:t>eligible</m:t>
                  </m:r>
                </m:e>
                <m:e>
                  <m:r>
                    <w:rPr>
                      <w:rFonts w:ascii="Cambria Math" w:hAnsi="Cambria Math"/>
                      <w:sz w:val="12"/>
                    </w:rPr>
                    <m:t>(take up rate)</m:t>
                  </m:r>
                </m:e>
              </m:eqArr>
            </m:den>
          </m:f>
          <m:r>
            <w:rPr>
              <w:rFonts w:ascii="Cambria Math" w:hAnsi="Cambria Math"/>
              <w:sz w:val="20"/>
            </w:rPr>
            <m:t>×</m:t>
          </m:r>
          <m:f>
            <m:fPr>
              <m:ctrlPr>
                <w:rPr>
                  <w:rFonts w:ascii="Cambria Math" w:hAnsi="Cambria Math"/>
                  <w:i/>
                  <w:sz w:val="20"/>
                </w:rPr>
              </m:ctrlPr>
            </m:fPr>
            <m:num>
              <m:r>
                <w:rPr>
                  <w:rFonts w:ascii="Cambria Math" w:hAnsi="Cambria Math"/>
                  <w:sz w:val="20"/>
                </w:rPr>
                <m:t>unit</m:t>
              </m:r>
            </m:num>
            <m:den>
              <m:r>
                <w:rPr>
                  <w:rFonts w:ascii="Cambria Math" w:hAnsi="Cambria Math"/>
                  <w:sz w:val="20"/>
                </w:rPr>
                <m:t>recipient</m:t>
              </m:r>
            </m:den>
          </m:f>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payroll</m:t>
                  </m:r>
                </m:num>
                <m:den>
                  <m:r>
                    <w:rPr>
                      <w:rFonts w:ascii="Cambria Math" w:hAnsi="Cambria Math"/>
                      <w:sz w:val="20"/>
                    </w:rPr>
                    <m:t>unit</m:t>
                  </m:r>
                </m:den>
              </m:f>
              <m:r>
                <m:rPr>
                  <m:lit/>
                </m:rPr>
                <w:rPr>
                  <w:rFonts w:ascii="Cambria Math" w:hAnsi="Cambria Math"/>
                  <w:sz w:val="20"/>
                </w:rPr>
                <m:t>+</m:t>
              </m:r>
              <m:r>
                <w:rPr>
                  <w:rFonts w:ascii="Cambria Math" w:hAnsi="Cambria Math"/>
                  <w:sz w:val="20"/>
                </w:rPr>
                <m:t xml:space="preserve"> </m:t>
              </m:r>
              <m:f>
                <m:fPr>
                  <m:ctrlPr>
                    <w:rPr>
                      <w:rFonts w:ascii="Cambria Math" w:hAnsi="Cambria Math"/>
                      <w:i/>
                      <w:sz w:val="20"/>
                    </w:rPr>
                  </m:ctrlPr>
                </m:fPr>
                <m:num>
                  <m:r>
                    <w:rPr>
                      <w:rFonts w:ascii="Cambria Math" w:hAnsi="Cambria Math"/>
                      <w:sz w:val="20"/>
                    </w:rPr>
                    <m:t>non payroll</m:t>
                  </m:r>
                </m:num>
                <m:den>
                  <m:r>
                    <w:rPr>
                      <w:rFonts w:ascii="Cambria Math" w:hAnsi="Cambria Math"/>
                      <w:sz w:val="20"/>
                    </w:rPr>
                    <m:t>unit</m:t>
                  </m:r>
                </m:den>
              </m:f>
            </m:e>
          </m:d>
        </m:oMath>
      </m:oMathPara>
    </w:p>
    <w:p w14:paraId="49621960" w14:textId="77777777" w:rsidR="006E71EE" w:rsidRPr="006E71EE" w:rsidRDefault="006E71EE">
      <w:pPr>
        <w:rPr>
          <w:b/>
        </w:rPr>
      </w:pPr>
    </w:p>
    <w:sectPr w:rsidR="006E71EE" w:rsidRPr="006E71EE" w:rsidSect="007B09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C1"/>
    <w:rsid w:val="000F132C"/>
    <w:rsid w:val="0057055E"/>
    <w:rsid w:val="006E71EE"/>
    <w:rsid w:val="007B099A"/>
    <w:rsid w:val="008F0974"/>
    <w:rsid w:val="00A844C1"/>
    <w:rsid w:val="00AD7B59"/>
    <w:rsid w:val="00B03043"/>
    <w:rsid w:val="00BF0537"/>
    <w:rsid w:val="00CF07F4"/>
    <w:rsid w:val="00EF1623"/>
    <w:rsid w:val="00F73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A3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B59"/>
    <w:rPr>
      <w:color w:val="808080"/>
    </w:rPr>
  </w:style>
  <w:style w:type="paragraph" w:styleId="BalloonText">
    <w:name w:val="Balloon Text"/>
    <w:basedOn w:val="Normal"/>
    <w:link w:val="BalloonTextChar"/>
    <w:uiPriority w:val="99"/>
    <w:semiHidden/>
    <w:unhideWhenUsed/>
    <w:rsid w:val="00AD7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B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B59"/>
    <w:rPr>
      <w:color w:val="808080"/>
    </w:rPr>
  </w:style>
  <w:style w:type="paragraph" w:styleId="BalloonText">
    <w:name w:val="Balloon Text"/>
    <w:basedOn w:val="Normal"/>
    <w:link w:val="BalloonTextChar"/>
    <w:uiPriority w:val="99"/>
    <w:semiHidden/>
    <w:unhideWhenUsed/>
    <w:rsid w:val="00AD7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B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584</Words>
  <Characters>3335</Characters>
  <Application>Microsoft Macintosh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2</cp:revision>
  <dcterms:created xsi:type="dcterms:W3CDTF">2015-11-15T16:37:00Z</dcterms:created>
  <dcterms:modified xsi:type="dcterms:W3CDTF">2015-11-15T22:04:00Z</dcterms:modified>
</cp:coreProperties>
</file>