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78387c4231410f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1219c6599ddb4ea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jc w:val="center"/>
      </w:pPr>
      <w:r>
        <w:rPr>
          <w:rFonts w:eastAsia="SimHei"/>
          <w:color w:val="FFFFFF"/>
          <w:sz w:val="72"/>
        </w:rPr>
        <w:t>CNSH</w:t>
      </w:r>
    </w:p>
    <w:p>
      <w:pPr>
        <w:spacing w:after="600"/>
        <w:jc w:val="center"/>
      </w:pPr>
      <w:r>
        <w:rPr>
          <w:rFonts w:eastAsia="SimHei"/>
          <w:color w:val="60a5fa"/>
          <w:sz w:val="36"/>
        </w:rPr>
        <w:t>“龙魂”语言体系</w:t>
      </w:r>
    </w:p>
    <w:p>
      <w:pPr>
        <w:spacing w:after="3000"/>
        <w:jc w:val="center"/>
      </w:pPr>
      <w:r>
        <w:rPr>
          <w:color w:val="94a3b8"/>
          <w:sz w:val="28"/>
        </w:rPr>
        <w:t>完整技术文档</w:t>
      </w:r>
    </w:p>
    <w:p>
      <w:pPr>
        <w:spacing w:after="120"/>
        <w:jc w:val="center"/>
      </w:pPr>
      <w:r>
        <w:rPr>
          <w:color w:val="64748b"/>
          <w:sz w:val="21"/>
        </w:rPr>
        <w:t>Version 1.0</w:t>
      </w:r>
    </w:p>
    <w:p>
      <w:pPr>
        <w:jc w:val="center"/>
      </w:pPr>
      <w:r>
        <w:rPr>
          <w:color w:val="64748b"/>
          <w:sz w:val="21"/>
        </w:rPr>
        <w:t>2026年1月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spacing w:before="600" w:after="400"/>
        <w:jc w:val="center"/>
      </w:pPr>
      <w:r>
        <w:rPr>
          <w:rFonts w:eastAsia="SimHei"/>
          <w:b/>
          <w:color w:val="1e40af"/>
          <w:sz w:val="36"/>
        </w:rPr>
        <w:t>目录</w:t>
      </w:r>
    </w:p>
    <w:p>
      <w:pPr>
        <w:spacing w:after="300"/>
      </w:pPr>
      <w:r>
        <w:rPr>
          <w:color w:val="94a3b8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CNSH语言概述</w:t>
      </w:r>
      <w:r>
        <w:tab/>
      </w:r>
      <w:r>
        <w:t>3</w:t>
      </w:r>
    </w:p>
    <w:p>
      <w:pPr>
        <w:pStyle w:val="TOC1"/>
      </w:pPr>
      <w:r>
        <w:t>龙魂系统架构</w:t>
      </w:r>
      <w:r>
        <w:tab/>
      </w:r>
      <w:r>
        <w:t>5</w:t>
      </w:r>
    </w:p>
    <w:p>
      <w:pPr>
        <w:pStyle w:val="TOC2"/>
      </w:pPr>
      <w:r>
        <w:t>系统组件概览</w:t>
      </w:r>
      <w:r>
        <w:tab/>
      </w:r>
      <w:r>
        <w:t>5</w:t>
      </w:r>
    </w:p>
    <w:p>
      <w:pPr>
        <w:pStyle w:val="TOC2"/>
      </w:pPr>
      <w:r>
        <w:t>核心模块设计</w:t>
      </w:r>
      <w:r>
        <w:tab/>
      </w:r>
      <w:r>
        <w:t>6</w:t>
      </w:r>
    </w:p>
    <w:p>
      <w:pPr>
        <w:pStyle w:val="TOC1"/>
      </w:pPr>
      <w:r>
        <w:t>编译器设计</w:t>
      </w:r>
      <w:r>
        <w:tab/>
      </w:r>
      <w:r>
        <w:t>8</w:t>
      </w:r>
    </w:p>
    <w:p>
      <w:pPr>
        <w:pStyle w:val="TOC2"/>
      </w:pPr>
      <w:r>
        <w:t>词法分析</w:t>
      </w:r>
      <w:r>
        <w:tab/>
      </w:r>
      <w:r>
        <w:t>8</w:t>
      </w:r>
    </w:p>
    <w:p>
      <w:pPr>
        <w:pStyle w:val="TOC2"/>
      </w:pPr>
      <w:r>
        <w:t>语法分析</w:t>
      </w:r>
      <w:r>
        <w:tab/>
      </w:r>
      <w:r>
        <w:t>9</w:t>
      </w:r>
    </w:p>
    <w:p>
      <w:pPr>
        <w:pStyle w:val="TOC2"/>
      </w:pPr>
      <w:r>
        <w:t>代码生成</w:t>
      </w:r>
      <w:r>
        <w:tab/>
      </w:r>
      <w:r>
        <w:t>10</w:t>
      </w:r>
    </w:p>
    <w:p>
      <w:pPr>
        <w:pStyle w:val="TOC1"/>
      </w:pPr>
      <w:r>
        <w:t>语言规范</w:t>
      </w:r>
      <w:r>
        <w:tab/>
      </w:r>
      <w:r>
        <w:t>12</w:t>
      </w:r>
    </w:p>
    <w:p>
      <w:pPr>
        <w:pStyle w:val="TOC2"/>
      </w:pPr>
      <w:r>
        <w:t>词法结构</w:t>
      </w:r>
      <w:r>
        <w:tab/>
      </w:r>
      <w:r>
        <w:t>12</w:t>
      </w:r>
    </w:p>
    <w:p>
      <w:pPr>
        <w:pStyle w:val="TOC2"/>
      </w:pPr>
      <w:r>
        <w:t>语法结构</w:t>
      </w:r>
      <w:r>
        <w:tab/>
      </w:r>
      <w:r>
        <w:t>13</w:t>
      </w:r>
    </w:p>
    <w:p>
      <w:pPr>
        <w:pStyle w:val="TOC2"/>
      </w:pPr>
      <w:r>
        <w:t>内置函数</w:t>
      </w:r>
      <w:r>
        <w:tab/>
      </w:r>
      <w:r>
        <w:t>14</w:t>
      </w:r>
    </w:p>
    <w:p>
      <w:pPr>
        <w:pStyle w:val="TOC1"/>
      </w:pPr>
      <w:r>
        <w:t>组件详解</w:t>
      </w:r>
      <w:r>
        <w:tab/>
      </w:r>
      <w:r>
        <w:t>16</w:t>
      </w:r>
    </w:p>
    <w:p>
      <w:pPr>
        <w:pStyle w:val="TOC1"/>
      </w:pPr>
      <w:r>
        <w:t>应用案例</w:t>
      </w:r>
      <w:r>
        <w:tab/>
      </w:r>
      <w:r>
        <w:t>20</w:t>
      </w:r>
    </w:p>
    <w:p>
      <w:pPr>
        <w:pStyle w:val="TOC1"/>
      </w:pPr>
      <w:r>
        <w:t>部署指南</w:t>
      </w:r>
      <w:r>
        <w:tab/>
      </w:r>
      <w:r>
        <w:t>22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CNSH语言概述</w:t>
      </w:r>
      <w:bookmarkEnd w:id="001"/>
    </w:p>
    <w:p>
      <w:r>
        <w:t>CNSH（中文Shell）是一款专为中文用户设计的脚本语言，其核心理念是“以中文思维编程”。CNSH语言整合了“龙魂”系统的多个组件，包括编译器、虚拟机、标准库和工具链。</w:t>
      </w:r>
    </w:p>
    <w:p>
      <w:pPr>
        <w:pStyle w:val="Heading2"/>
      </w:pPr>
      <w:r>
        <w:t>设计理念</w:t>
      </w:r>
    </w:p>
    <w:p>
      <w:r>
        <w:t>CNSH语言的设计基于以下核心理念：</w:t>
      </w:r>
    </w:p>
    <w:p>
      <w:pPr>
        <w:numPr>
          <w:ilvl w:val="0"/>
          <w:numId w:val="2"/>
        </w:numPr>
      </w:pPr>
      <w:r>
        <w:rPr>
          <w:b/>
        </w:rPr>
        <w:t>中文为主</w:t>
      </w:r>
      <w:r>
        <w:t>：词法和语法设计以中文表达习惯为基础</w:t>
      </w:r>
    </w:p>
    <w:p>
      <w:pPr>
        <w:numPr>
          <w:ilvl w:val="0"/>
          <w:numId w:val="2"/>
        </w:numPr>
      </w:pPr>
      <w:r>
        <w:rPr>
          <w:b/>
        </w:rPr>
        <w:t>简洁易用</w:t>
      </w:r>
      <w:r>
        <w:t>：降低学习门槛，让更多人能够进行编程</w:t>
      </w:r>
    </w:p>
    <w:p>
      <w:pPr>
        <w:numPr>
          <w:ilvl w:val="0"/>
          <w:numId w:val="2"/>
        </w:numPr>
      </w:pPr>
      <w:r>
        <w:rPr>
          <w:b/>
        </w:rPr>
        <w:t>工具整合</w:t>
      </w:r>
      <w:r>
        <w:t>：提供完整的开发工具链支持</w:t>
      </w:r>
    </w:p>
    <w:p>
      <w:pPr>
        <w:numPr>
          <w:ilvl w:val="0"/>
          <w:numId w:val="2"/>
        </w:numPr>
      </w:pPr>
      <w:r>
        <w:rPr>
          <w:b/>
        </w:rPr>
        <w:t>性能优先</w:t>
      </w:r>
      <w:r>
        <w:t>：在保持易用性的同时不失性能</w:t>
      </w:r>
    </w:p>
    <w:p>
      <w:pPr>
        <w:pStyle w:val="Heading2"/>
      </w:pPr>
      <w:r>
        <w:t>主要特性</w:t>
      </w:r>
    </w:p>
    <w:tbl>
      <w:tblPr>
        <w:tblW w:w="5000" w:type="pct"/>
        <w:tblBorders>
          <w:top w:val="single" w:color="1e40af" w:sz="12"/>
          <w:left w:val="nil"/>
          <w:bottom w:val="single" w:color="1e40af" w:sz="12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400"/>
        <w:gridCol w:w="5600"/>
      </w:tblGrid>
      <w:tr>
        <w:trPr>
          <w:tblHeader/>
          <w:trHeight w:val="400" w:hRule="atLeast"/>
        </w:trPr>
        <w:tc>
          <w:tcPr>
            <w:tcW w:w="24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特性</w:t>
            </w:r>
          </w:p>
        </w:tc>
        <w:tc>
          <w:tcPr>
            <w:tcW w:w="56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中文词法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支持中文标识符、关键字和字符串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动态类型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变量无需声明类型，自动推断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函数式编程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支持高阶函数和闭包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内存管理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自动垃圾回收，无需手动释放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工具链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完整的IDE、调试器和包管理工具</w:t>
            </w:r>
          </w:p>
        </w:tc>
      </w:tr>
    </w:tbl>
    <w:p>
      <w:pPr>
        <w:pStyle w:val="Heading1"/>
      </w:pPr>
      <w:bookmarkStart w:name="_Toc002" w:id="002"/>
      <w:r>
        <w:t>龙魂系统架构</w:t>
      </w:r>
      <w:bookmarkEnd w:id="002"/>
    </w:p>
    <w:p>
      <w:r>
        <w:t>“龙魂”系统是CNSH语言的核心运行环境，包含了从编译到执行的完整链路。</w:t>
      </w:r>
    </w:p>
    <w:p>
      <w:pPr>
        <w:pStyle w:val="Heading2"/>
      </w:pPr>
      <w:r>
        <w:t>系统组件概览</w:t>
      </w:r>
    </w:p>
    <w:p>
      <w:r>
        <w:t>龙魂系统主要由以下组件构成：</w:t>
      </w:r>
    </w:p>
    <w:tbl>
      <w:tblPr>
        <w:tblW w:w="5000" w:type="pct"/>
        <w:tblBorders>
          <w:top w:val="single" w:color="1e40af" w:sz="12"/>
          <w:left w:val="nil"/>
          <w:bottom w:val="single" w:color="1e40af" w:sz="12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6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组件</w:t>
            </w:r>
          </w:p>
        </w:tc>
        <w:tc>
          <w:tcPr>
            <w:tcW w:w="60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功能描述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cnshc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CNSH编译器，负责源代码编译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cnshvm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龙魂虚拟机，执行中间代码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cnshlib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标准库，提供内置函数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cnshide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集成开发环境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cnshpkg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包管理工具</w:t>
            </w:r>
          </w:p>
        </w:tc>
      </w:tr>
    </w:tbl>
    <w:p>
      <w:pPr>
        <w:pStyle w:val="Heading2"/>
      </w:pPr>
      <w:r>
        <w:t>核心模块设计</w:t>
      </w:r>
    </w:p>
    <w:p>
      <w:pPr>
        <w:pStyle w:val="Heading3"/>
      </w:pPr>
      <w:r>
        <w:t>1. 词法分析器（Lexer）</w:t>
      </w:r>
    </w:p>
    <w:p>
      <w:r>
        <w:t>负责将源代码分解为词法单元（Token）。CNSH的词法分析器支持中文标识符、中文关键字和中文字符串。</w:t>
      </w:r>
    </w:p>
    <w:p>
      <w:pPr>
        <w:pStyle w:val="Heading3"/>
      </w:pPr>
      <w:r>
        <w:t>2. 语法分析器（Parser）</w:t>
      </w:r>
    </w:p>
    <w:p>
      <w:r>
        <w:t>将词法单元序列转换为抽象语法树（AST）。采用递归下降解析策略，支持左递归和右递归两种解析模式。</w:t>
      </w:r>
    </w:p>
    <w:p>
      <w:pPr>
        <w:pStyle w:val="Heading3"/>
      </w:pPr>
      <w:r>
        <w:t>3. 中间代码生成器</w:t>
      </w:r>
    </w:p>
    <w:p>
      <w:r>
        <w:t>将AST转换为龙魂虚拟机的中间代码（Bytecode）。中间代码采用栈式架构，便于虚拟机执行。</w:t>
      </w:r>
    </w:p>
    <w:p>
      <w:pPr>
        <w:pStyle w:val="Heading3"/>
      </w:pPr>
      <w:r>
        <w:t>4. 虚拟机（VM）</w:t>
      </w:r>
    </w:p>
    <w:p>
      <w:r>
        <w:t>龙魂虚拟机是一个基于栈的计算机，支持实时编译（JIT）和解释执行两种模式。</w:t>
      </w:r>
    </w:p>
    <w:p>
      <w:pPr>
        <w:pStyle w:val="Heading1"/>
      </w:pPr>
      <w:bookmarkStart w:name="_Toc003" w:id="003"/>
      <w:r>
        <w:t>编译器设计</w:t>
      </w:r>
      <w:bookmarkEnd w:id="003"/>
    </w:p>
    <w:p>
      <w:r>
        <w:t>CNSH编译器采用前端多次复用的设计理念，各阶段都提供明确的接口和抽象。</w:t>
      </w:r>
    </w:p>
    <w:p>
      <w:pPr>
        <w:pStyle w:val="Heading2"/>
      </w:pPr>
      <w:r>
        <w:t>词法分析</w:t>
      </w:r>
    </w:p>
    <w:p>
      <w:r>
        <w:t>CNSH语言的词法结构如下：</w:t>
      </w:r>
    </w:p>
    <w:p>
      <w:pPr>
        <w:pStyle w:val="Code"/>
        <w:pBdr>
          <w:left w:val="single" w:color="3b82f6" w:sz="24" w:space="4"/>
        </w:pBdr>
      </w:pPr>
      <w:r>
        <w:t xml:space="preserve"/>
      </w:r>
      <w:r>
        <w:br/>
      </w:r>
      <w:r>
        <w:t xml:space="preserve">// 标识符类型</w:t>
      </w:r>
      <w:r>
        <w:br/>
      </w:r>
      <w:r>
        <w:t xml:space="preserve">IDENTIFIER  := [a-zA-Z_\u4e00-\u9fa5][a-zA-Z0-9_\u4e00-\u9fa5]*</w:t>
      </w:r>
      <w:r>
        <w:br/>
      </w:r>
      <w:r>
        <w:t xml:space="preserve"/>
      </w:r>
      <w:r>
        <w:br/>
      </w:r>
      <w:r>
        <w:t xml:space="preserve">// 关键字</w:t>
      </w:r>
      <w:r>
        <w:br/>
      </w:r>
      <w:r>
        <w:t xml:space="preserve">KEYWORD     := \u5982\u679c | \u5219 | \u5426\u5219 | \u5faa\u73af | \u5f53 | \u51fd\u6570 | \u8fd4\u56de</w:t>
      </w:r>
      <w:r>
        <w:br/>
      </w:r>
      <w:r>
        <w:t xml:space="preserve"/>
      </w:r>
      <w:r>
        <w:br/>
      </w:r>
      <w:r>
        <w:t xml:space="preserve">// 字面量</w:t>
      </w:r>
      <w:r>
        <w:br/>
      </w:r>
      <w:r>
        <w:t xml:space="preserve">LITERAL     := NUMBER | STRING | BOOLEAN</w:t>
      </w:r>
      <w:r>
        <w:br/>
      </w:r>
      <w:r>
        <w:t xml:space="preserve">NUMBER      := [0-9]+(\.[0-9]+)?</w:t>
      </w:r>
      <w:r>
        <w:br/>
      </w:r>
      <w:r>
        <w:t xml:space="preserve">STRING      := "[^"]*"</w:t>
      </w:r>
      <w:r>
        <w:br/>
      </w:r>
      <w:r>
        <w:t xml:space="preserve">BOOLEAN     := \u771f | \u5047</w:t>
      </w:r>
    </w:p>
    <w:p>
      <w:pPr>
        <w:pStyle w:val="Heading2"/>
      </w:pPr>
      <w:r>
        <w:t>语法分析</w:t>
      </w:r>
    </w:p>
    <w:p>
      <w:r>
        <w:t>语法规则采用EBNF形式定义，支持以下结构：</w:t>
      </w:r>
    </w:p>
    <w:p>
      <w:pPr>
        <w:pStyle w:val="Code"/>
        <w:pBdr>
          <w:left w:val="single" w:color="3b82f6" w:sz="24" w:space="4"/>
        </w:pBdr>
      </w:pPr>
      <w:r>
        <w:t xml:space="preserve"/>
      </w:r>
      <w:r>
        <w:br/>
      </w:r>
      <w:r>
        <w:t xml:space="preserve">program     := statement*</w:t>
      </w:r>
      <w:r>
        <w:br/>
      </w:r>
      <w:r>
        <w:t xml:space="preserve">statement   := ifStmt | loopStmt | funcDecl | assignment | exprStmt</w:t>
      </w:r>
      <w:r>
        <w:br/>
      </w:r>
      <w:r>
        <w:t xml:space="preserve">ifStmt      := "\u5982\u679c" expr "\u5219" block ("\u5426\u5219" block)?</w:t>
      </w:r>
      <w:r>
        <w:br/>
      </w:r>
      <w:r>
        <w:t xml:space="preserve">loopStmt    := "\u5faa\u73af" expr "\u6267\u884c" block</w:t>
      </w:r>
      <w:r>
        <w:br/>
      </w:r>
      <w:r>
        <w:t xml:space="preserve">funcDecl    := "\u51fd\u6570" IDENTIFIER "(" params? ")" block</w:t>
      </w:r>
      <w:r>
        <w:br/>
      </w:r>
      <w:r>
        <w:t xml:space="preserve">assignment  := IDENTIFIER "=" expr</w:t>
      </w:r>
      <w:r>
        <w:br/>
      </w:r>
      <w:r>
        <w:t xml:space="preserve">expr        := term (("+" | "-") term)*</w:t>
      </w:r>
      <w:r>
        <w:br/>
      </w:r>
      <w:r>
        <w:t xml:space="preserve">term        := factor (("*" | "/") factor)*</w:t>
      </w:r>
      <w:r>
        <w:br/>
      </w:r>
      <w:r>
        <w:t xml:space="preserve">factor      := NUMBER | STRING | IDENTIFIER | "(" expr ")"</w:t>
      </w:r>
    </w:p>
    <w:p>
      <w:pPr>
        <w:pStyle w:val="Heading2"/>
      </w:pPr>
      <w:r>
        <w:t>代码生成</w:t>
      </w:r>
    </w:p>
    <w:p>
      <w:r>
        <w:t>中间代码指令集包含以下主要指令：</w:t>
      </w:r>
    </w:p>
    <w:tbl>
      <w:tblPr>
        <w:tblW w:w="5000" w:type="pct"/>
        <w:tblBorders>
          <w:top w:val="single" w:color="1e40af" w:sz="12"/>
          <w:left w:val="nil"/>
          <w:bottom w:val="single" w:color="1e40af" w:sz="12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800"/>
        <w:gridCol w:w="2400"/>
        <w:gridCol w:w="3800"/>
      </w:tblGrid>
      <w:tr>
        <w:trPr>
          <w:tblHeader/>
          <w:trHeight w:val="400" w:hRule="atLeast"/>
        </w:trPr>
        <w:tc>
          <w:tcPr>
            <w:tcW w:w="18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指令</w:t>
            </w:r>
          </w:p>
        </w:tc>
        <w:tc>
          <w:tcPr>
            <w:tcW w:w="24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参数</w:t>
            </w:r>
          </w:p>
        </w:tc>
        <w:tc>
          <w:tcPr>
            <w:tcW w:w="38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PUSH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value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将值推入栈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POP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-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从栈弹出值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ADD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-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栈顶两个值相加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SUB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-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栈顶两个值相减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MUL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-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栈顶两个值相乘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DIV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-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栈顶两个值相除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CALL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func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调用函数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RET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-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函数返回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JMP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addr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跳转到指定地址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JMPZ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addr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如果栈顶为0则跳转</w:t>
            </w:r>
          </w:p>
        </w:tc>
      </w:tr>
    </w:tbl>
    <w:p>
      <w:pPr>
        <w:pStyle w:val="Heading1"/>
      </w:pPr>
      <w:bookmarkStart w:name="_Toc004" w:id="004"/>
      <w:r>
        <w:t>语言规范</w:t>
      </w:r>
      <w:bookmarkEnd w:id="004"/>
    </w:p>
    <w:p>
      <w:pPr>
        <w:pStyle w:val="Heading2"/>
      </w:pPr>
      <w:r>
        <w:t>词法结构</w:t>
      </w:r>
    </w:p>
    <w:p>
      <w:r>
        <w:t>CNSH支持以下词法元素：</w:t>
      </w:r>
    </w:p>
    <w:tbl>
      <w:tblPr>
        <w:tblW w:w="5000" w:type="pct"/>
        <w:tblBorders>
          <w:top w:val="single" w:color="1e40af" w:sz="12"/>
          <w:left w:val="nil"/>
          <w:bottom w:val="single" w:color="1e40af" w:sz="12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600"/>
        <w:gridCol w:w="3200"/>
        <w:gridCol w:w="3200"/>
      </w:tblGrid>
      <w:tr>
        <w:trPr>
          <w:tblHeader/>
          <w:trHeight w:val="400" w:hRule="atLeast"/>
        </w:trPr>
        <w:tc>
          <w:tcPr>
            <w:tcW w:w="16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类型</w:t>
            </w:r>
          </w:p>
        </w:tc>
        <w:tc>
          <w:tcPr>
            <w:tcW w:w="32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示例</w:t>
            </w:r>
          </w:p>
        </w:tc>
        <w:tc>
          <w:tcPr>
            <w:tcW w:w="32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关键字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如果、则、函数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保留字，不可用作标识符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标识符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变量名、函数名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可以包含中文字符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数字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123, 3.14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整数和浮点数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字符串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"你好"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UTF-8编码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布尔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真、假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真值和假值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运算符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+ - * / =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基本运算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分隔符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; , ( ) { }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语句和表达式分隔</w:t>
            </w:r>
          </w:p>
        </w:tc>
      </w:tr>
    </w:tbl>
    <w:p>
      <w:pPr>
        <w:pStyle w:val="Heading2"/>
      </w:pPr>
      <w:r>
        <w:t>语法结构</w:t>
      </w:r>
    </w:p>
    <w:p>
      <w:r>
        <w:t>以下是一个完整的示例程序：</w:t>
      </w:r>
    </w:p>
    <w:p>
      <w:pPr>
        <w:pStyle w:val="Code"/>
        <w:pBdr>
          <w:left w:val="single" w:color="3b82f6" w:sz="24" w:space="4"/>
        </w:pBdr>
      </w:pPr>
      <w:r>
        <w:t xml:space="preserve">函数 求和(a, b) {</w:t>
      </w:r>
      <w:r>
        <w:br/>
      </w:r>
      <w:r>
        <w:t xml:space="preserve">    返回 a + b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函数 主() {</w:t>
      </w:r>
      <w:r>
        <w:br/>
      </w:r>
      <w:r>
        <w:t xml:space="preserve">    x = 10</w:t>
      </w:r>
      <w:r>
        <w:br/>
      </w:r>
      <w:r>
        <w:t xml:space="preserve">    y = 20</w:t>
      </w:r>
      <w:r>
        <w:br/>
      </w:r>
      <w:r>
        <w:t xml:space="preserve">    z = 求和(x, y)</w:t>
      </w:r>
      <w:r>
        <w:br/>
      </w:r>
      <w:r>
        <w:t xml:space="preserve">    如果 z &gt; 25 {</w:t>
      </w:r>
      <w:r>
        <w:br/>
      </w:r>
      <w:r>
        <w:t xml:space="preserve">        打印(“结果大于25”)</w:t>
      </w:r>
      <w:r>
        <w:br/>
      </w:r>
      <w:r>
        <w:t xml:space="preserve">    }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主()</w:t>
      </w:r>
    </w:p>
    <w:p>
      <w:pPr>
        <w:pStyle w:val="Heading2"/>
      </w:pPr>
      <w:r>
        <w:t>内置函数</w:t>
      </w:r>
    </w:p>
    <w:p>
      <w:r>
        <w:t>CNSH提供以下内置函数：</w:t>
      </w:r>
    </w:p>
    <w:tbl>
      <w:tblPr>
        <w:tblW w:w="5000" w:type="pct"/>
        <w:tblBorders>
          <w:top w:val="single" w:color="1e40af" w:sz="12"/>
          <w:left w:val="nil"/>
          <w:bottom w:val="single" w:color="1e40af" w:sz="12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6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函数</w:t>
            </w:r>
          </w:p>
        </w:tc>
        <w:tc>
          <w:tcPr>
            <w:tcW w:w="60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功能描述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打印(...)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输出内容到控制台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输入()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从标准输入读取内容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长度(对象)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返回对象的长度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类型(对象)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返回对象的类型名称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转换(对象, 类型)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将对象转换为指定类型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打开(文件名, 模式)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打开文件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读取(文件)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从文件读取内容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写入(文件, 内容)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向文件写入内容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关闭(文件)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关闭文件</w:t>
            </w:r>
          </w:p>
        </w:tc>
      </w:tr>
    </w:tbl>
    <w:p>
      <w:pPr>
        <w:pStyle w:val="Heading1"/>
      </w:pPr>
      <w:bookmarkStart w:name="_Toc005" w:id="005"/>
      <w:r>
        <w:t>组件详解</w:t>
      </w:r>
      <w:bookmarkEnd w:id="005"/>
    </w:p>
    <w:p>
      <w:r>
        <w:t>本章详细介绍龙魂系统各个组件的设计与实现。</w:t>
      </w:r>
    </w:p>
    <w:p>
      <w:pPr>
        <w:pStyle w:val="Heading2"/>
      </w:pPr>
      <w:r>
        <w:t>词法分析器</w:t>
      </w:r>
    </w:p>
    <w:p>
      <w:r>
        <w:t>词法分析器采用有限状态机模型，支持中文标识符的识别和处理。主要类包括：</w:t>
      </w:r>
    </w:p>
    <w:p>
      <w:pPr>
        <w:numPr>
          <w:ilvl w:val="0"/>
          <w:numId w:val="2"/>
        </w:numPr>
      </w:pPr>
      <w:r>
        <w:rPr>
          <w:b/>
        </w:rPr>
        <w:t>Token类</w:t>
      </w:r>
      <w:r>
        <w:t>：定义词法单元的数据结构</w:t>
      </w:r>
    </w:p>
    <w:p>
      <w:pPr>
        <w:numPr>
          <w:ilvl w:val="0"/>
          <w:numId w:val="2"/>
        </w:numPr>
      </w:pPr>
      <w:r>
        <w:rPr>
          <w:b/>
        </w:rPr>
        <w:t>Lexer类</w:t>
      </w:r>
      <w:r>
        <w:t>：负责词法分析的核心类</w:t>
      </w:r>
    </w:p>
    <w:p>
      <w:pPr>
        <w:numPr>
          <w:ilvl w:val="0"/>
          <w:numId w:val="2"/>
        </w:numPr>
      </w:pPr>
      <w:r>
        <w:rPr>
          <w:b/>
        </w:rPr>
        <w:t>TokenType枚举</w:t>
      </w:r>
      <w:r>
        <w:t>：定义所有词法单元类型</w:t>
      </w:r>
    </w:p>
    <w:p>
      <w:pPr>
        <w:pStyle w:val="Heading2"/>
      </w:pPr>
      <w:r>
        <w:t>语法分析器</w:t>
      </w:r>
    </w:p>
    <w:p>
      <w:r>
        <w:t>语法分析器采用递归下降解析，支持LL(1)文法。AST节点类型包括：</w:t>
      </w:r>
    </w:p>
    <w:tbl>
      <w:tblPr>
        <w:tblW w:w="5000" w:type="pct"/>
        <w:tblBorders>
          <w:top w:val="single" w:color="1e40af" w:sz="12"/>
          <w:left w:val="nil"/>
          <w:bottom w:val="single" w:color="1e40af" w:sz="12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00"/>
        <w:gridCol w:w="5800"/>
      </w:tblGrid>
      <w:tr>
        <w:trPr>
          <w:tblHeader/>
          <w:trHeight w:val="400" w:hRule="atLeast"/>
        </w:trPr>
        <w:tc>
          <w:tcPr>
            <w:tcW w:w="22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节点类型</w:t>
            </w:r>
          </w:p>
        </w:tc>
        <w:tc>
          <w:tcPr>
            <w:tcW w:w="58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季义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Program</w:t>
            </w:r>
          </w:p>
        </w:tc>
        <w:tc>
          <w:tcPr>
            <w:tcW w:w="5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根节点，表示整个程序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FunctionDecl</w:t>
            </w:r>
          </w:p>
        </w:tc>
        <w:tc>
          <w:tcPr>
            <w:tcW w:w="5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函数声明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IfStatement</w:t>
            </w:r>
          </w:p>
        </w:tc>
        <w:tc>
          <w:tcPr>
            <w:tcW w:w="5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条件语句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LoopStatement</w:t>
            </w:r>
          </w:p>
        </w:tc>
        <w:tc>
          <w:tcPr>
            <w:tcW w:w="5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循环语句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Assignment</w:t>
            </w:r>
          </w:p>
        </w:tc>
        <w:tc>
          <w:tcPr>
            <w:tcW w:w="5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赋值语句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BinaryExpr</w:t>
            </w:r>
          </w:p>
        </w:tc>
        <w:tc>
          <w:tcPr>
            <w:tcW w:w="5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二元运算表达式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UnaryExpr</w:t>
            </w:r>
          </w:p>
        </w:tc>
        <w:tc>
          <w:tcPr>
            <w:tcW w:w="5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一元运算表达式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CallExpr</w:t>
            </w:r>
          </w:p>
        </w:tc>
        <w:tc>
          <w:tcPr>
            <w:tcW w:w="5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函数调用表达式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Literal</w:t>
            </w:r>
          </w:p>
        </w:tc>
        <w:tc>
          <w:tcPr>
            <w:tcW w:w="5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字面量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Identifier</w:t>
            </w:r>
          </w:p>
        </w:tc>
        <w:tc>
          <w:tcPr>
            <w:tcW w:w="5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标识符</w:t>
            </w:r>
          </w:p>
        </w:tc>
      </w:tr>
    </w:tbl>
    <w:p>
      <w:pPr>
        <w:pStyle w:val="Heading2"/>
      </w:pPr>
      <w:r>
        <w:t>虚拟机</w:t>
      </w:r>
    </w:p>
    <w:p>
      <w:r>
        <w:t>龙魂虚拟机采用基于栈的设计，主要组件包括：</w:t>
      </w:r>
    </w:p>
    <w:p>
      <w:pPr>
        <w:numPr>
          <w:ilvl w:val="0"/>
          <w:numId w:val="2"/>
        </w:numPr>
      </w:pPr>
      <w:r>
        <w:rPr>
          <w:b/>
        </w:rPr>
        <w:t>栈式计算器</w:t>
      </w:r>
      <w:r>
        <w:t>：执行中间代码的核心组件</w:t>
      </w:r>
    </w:p>
    <w:p>
      <w:pPr>
        <w:numPr>
          <w:ilvl w:val="0"/>
          <w:numId w:val="2"/>
        </w:numPr>
      </w:pPr>
      <w:r>
        <w:rPr>
          <w:b/>
        </w:rPr>
        <w:t>垃圾回收器</w:t>
      </w:r>
      <w:r>
        <w:t>：基于引用计数的自动内存管理</w:t>
      </w:r>
    </w:p>
    <w:p>
      <w:pPr>
        <w:numPr>
          <w:ilvl w:val="0"/>
          <w:numId w:val="2"/>
        </w:numPr>
      </w:pPr>
      <w:r>
        <w:rPr>
          <w:b/>
        </w:rPr>
        <w:t>标准库接口</w:t>
      </w:r>
      <w:r>
        <w:t>：实现内置函数和IO操作</w:t>
      </w:r>
    </w:p>
    <w:p>
      <w:pPr>
        <w:pStyle w:val="Heading1"/>
      </w:pPr>
      <w:bookmarkStart w:name="_Toc006" w:id="006"/>
      <w:r>
        <w:t>应用案例</w:t>
      </w:r>
      <w:bookmarkEnd w:id="006"/>
    </w:p>
    <w:p>
      <w:r>
        <w:t>以下是一个完整的CNSH应用案例：</w:t>
      </w:r>
    </w:p>
    <w:p>
      <w:pPr>
        <w:pStyle w:val="Heading2"/>
      </w:pPr>
      <w:r>
        <w:t>案例：计算斐波那契数列</w:t>
      </w:r>
    </w:p>
    <w:p>
      <w:pPr>
        <w:pStyle w:val="Code"/>
        <w:pBdr>
          <w:left w:val="single" w:color="3b82f6" w:sz="24" w:space="4"/>
        </w:pBdr>
      </w:pPr>
      <w:r>
        <w:t xml:space="preserve">函数 斐波那契(n) {</w:t>
      </w:r>
      <w:r>
        <w:br/>
      </w:r>
      <w:r>
        <w:t xml:space="preserve">    如果 n &lt;= 1 {</w:t>
      </w:r>
      <w:r>
        <w:br/>
      </w:r>
      <w:r>
        <w:t xml:space="preserve">        返回 n</w:t>
      </w:r>
      <w:r>
        <w:br/>
      </w:r>
      <w:r>
        <w:t xml:space="preserve">    }</w:t>
      </w:r>
      <w:r>
        <w:br/>
      </w:r>
      <w:r>
        <w:t xml:space="preserve">    返回 斐波那契(n-1) + 斐波那契(n-2)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函数 主() {</w:t>
      </w:r>
      <w:r>
        <w:br/>
      </w:r>
      <w:r>
        <w:t xml:space="preserve">    循环 i = 1; i &lt;= 10; i = i + 1 {</w:t>
      </w:r>
      <w:r>
        <w:br/>
      </w:r>
      <w:r>
        <w:t xml:space="preserve">        打印(“F(” + i + “) = ” + 斐波那契(i))</w:t>
      </w:r>
      <w:r>
        <w:br/>
      </w:r>
      <w:r>
        <w:t xml:space="preserve">    }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主()</w:t>
      </w:r>
    </w:p>
    <w:p>
      <w:pPr>
        <w:pStyle w:val="Heading2"/>
      </w:pPr>
      <w:r>
        <w:t>案例：文件处理</w:t>
      </w:r>
    </w:p>
    <w:p>
      <w:pPr>
        <w:pStyle w:val="Code"/>
        <w:pBdr>
          <w:left w:val="single" w:color="3b82f6" w:sz="24" w:space="4"/>
        </w:pBdr>
      </w:pPr>
      <w:r>
        <w:t xml:space="preserve">函数 读取文件(文件名) {</w:t>
      </w:r>
      <w:r>
        <w:br/>
      </w:r>
      <w:r>
        <w:t xml:space="preserve">    文件 = 打开(文件名, “r”)</w:t>
      </w:r>
      <w:r>
        <w:br/>
      </w:r>
      <w:r>
        <w:t xml:space="preserve">    内容 = 读取(文件)</w:t>
      </w:r>
      <w:r>
        <w:br/>
      </w:r>
      <w:r>
        <w:t xml:space="preserve">    关闭(文件)</w:t>
      </w:r>
      <w:r>
        <w:br/>
      </w:r>
      <w:r>
        <w:t xml:space="preserve">    返回 内容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函数 写入文件(文件名, 内容) {</w:t>
      </w:r>
      <w:r>
        <w:br/>
      </w:r>
      <w:r>
        <w:t xml:space="preserve">    文件 = 打开(文件名, “w”)</w:t>
      </w:r>
      <w:r>
        <w:br/>
      </w:r>
      <w:r>
        <w:t xml:space="preserve">    写入(文件, 内容)</w:t>
      </w:r>
      <w:r>
        <w:br/>
      </w:r>
      <w:r>
        <w:t xml:space="preserve">    关闭(文件)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内容 = 读取文件(“input.txt”)</w:t>
      </w:r>
      <w:r>
        <w:br/>
      </w:r>
      <w:r>
        <w:t xml:space="preserve">写入文件(“output.txt”, 内容)</w:t>
      </w:r>
    </w:p>
    <w:p>
      <w:pPr>
        <w:pStyle w:val="Heading1"/>
      </w:pPr>
      <w:bookmarkStart w:name="_Toc007" w:id="007"/>
      <w:r>
        <w:t>部署指南</w:t>
      </w:r>
      <w:bookmarkEnd w:id="007"/>
    </w:p>
    <w:p>
      <w:pPr>
        <w:pStyle w:val="Heading2"/>
      </w:pPr>
      <w:r>
        <w:t>环境要求</w:t>
      </w:r>
    </w:p>
    <w:p>
      <w:r>
        <w:t>运行CNSH需要以下环境：</w:t>
      </w:r>
    </w:p>
    <w:p>
      <w:pPr>
        <w:numPr>
          <w:ilvl w:val="0"/>
          <w:numId w:val="2"/>
        </w:numPr>
      </w:pPr>
      <w:r>
        <w:rPr>
          <w:b/>
        </w:rPr>
        <w:t>操作系统</w:t>
      </w:r>
      <w:r>
        <w:t>：Windows 10+ / macOS 10.15+ / Linux (Ubuntu 18.04+)</w:t>
      </w:r>
    </w:p>
    <w:p>
      <w:pPr>
        <w:numPr>
          <w:ilvl w:val="0"/>
          <w:numId w:val="2"/>
        </w:numPr>
      </w:pPr>
      <w:r>
        <w:rPr>
          <w:b/>
        </w:rPr>
        <w:t>运行时</w:t>
      </w:r>
      <w:r>
        <w:t>：.NET 6.0+ / Java 11+</w:t>
      </w:r>
    </w:p>
    <w:p>
      <w:pPr>
        <w:numPr>
          <w:ilvl w:val="0"/>
          <w:numId w:val="2"/>
        </w:numPr>
      </w:pPr>
      <w:r>
        <w:rPr>
          <w:b/>
        </w:rPr>
        <w:t>内存</w:t>
      </w:r>
      <w:r>
        <w:t>：最低 512MB，推荐 2GB+</w:t>
      </w:r>
    </w:p>
    <w:p>
      <w:pPr>
        <w:numPr>
          <w:ilvl w:val="0"/>
          <w:numId w:val="2"/>
        </w:numPr>
      </w:pPr>
      <w:r>
        <w:rPr>
          <w:b/>
        </w:rPr>
        <w:t>磁盘</w:t>
      </w:r>
      <w:r>
        <w:t>：最低 100MB空间</w:t>
      </w:r>
    </w:p>
    <w:p>
      <w:pPr>
        <w:pStyle w:val="Heading2"/>
      </w:pPr>
      <w:r>
        <w:t>安装步骤</w:t>
      </w:r>
    </w:p>
    <w:p>
      <w:r>
        <w:t>1. 下载CNSH安装包</w:t>
      </w:r>
    </w:p>
    <w:p>
      <w:r>
        <w:t>2. 解压到指定目录</w:t>
      </w:r>
    </w:p>
    <w:p>
      <w:r>
        <w:t>3. 配置环境变量</w:t>
      </w:r>
    </w:p>
    <w:p>
      <w:r>
        <w:t>4. 验证安装是否成功</w:t>
      </w:r>
    </w:p>
    <w:p>
      <w:pPr>
        <w:pStyle w:val="Code"/>
        <w:pBdr>
          <w:left w:val="single" w:color="3b82f6" w:sz="24" w:space="4"/>
        </w:pBdr>
      </w:pPr>
      <w:r>
        <w:t xml:space="preserve"/>
      </w:r>
      <w:r>
        <w:br/>
      </w:r>
      <w:r>
        <w:t xml:space="preserve"># 验证安装</w:t>
      </w:r>
      <w:r>
        <w:br/>
      </w:r>
      <w:r>
        <w:t xml:space="preserve">cnsh --version</w:t>
      </w:r>
      <w:r>
        <w:br/>
      </w:r>
      <w:r>
        <w:t xml:space="preserve"/>
      </w:r>
      <w:r>
        <w:br/>
      </w:r>
      <w:r>
        <w:t xml:space="preserve"># 运行示例程序</w:t>
      </w:r>
      <w:r>
        <w:br/>
      </w:r>
      <w:r>
        <w:t xml:space="preserve">cnsh hello.cnsh</w:t>
      </w:r>
    </w:p>
    <w:p>
      <w:pPr>
        <w:pStyle w:val="Heading2"/>
      </w:pPr>
      <w:r>
        <w:t>开发工具</w:t>
      </w:r>
    </w:p>
    <w:p>
      <w:r>
        <w:t>CNSH提供以下开发工具：</w:t>
      </w:r>
    </w:p>
    <w:tbl>
      <w:tblPr>
        <w:tblW w:w="5000" w:type="pct"/>
        <w:tblBorders>
          <w:top w:val="single" w:color="1e40af" w:sz="12"/>
          <w:left w:val="nil"/>
          <w:bottom w:val="single" w:color="1e40af" w:sz="12"/>
          <w:right w:val="nil"/>
          <w:insideH w:val="nil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6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工具</w:t>
            </w:r>
          </w:p>
        </w:tc>
        <w:tc>
          <w:tcPr>
            <w:tcW w:w="6000" w:type="dxa"/>
            <w:tcBorders>
              <w:bottom w:val="single" w:color="1e40af" w:sz="6"/>
            </w:tcBorders>
            <w:shd w:val="clear" w:fill="f1f5f9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e293b"/>
                <w:sz w:val="20"/>
              </w:rPr>
              <w:t>功能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cnsh-lsp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语言服务协议服务器，提供IDE支持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cnsh-fmt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代码格式化工具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cnsh-test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单元测试框架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cnsh-doc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文档生成工具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e293b"/>
                <w:sz w:val="20"/>
              </w:rPr>
              <w:t>cnsh-prof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e293b"/>
                <w:sz w:val="20"/>
              </w:rPr>
              <w:t>性能分析工具</w:t>
            </w:r>
          </w:p>
        </w:tc>
      </w:tr>
    </w:tbl>
    <w:p>
      <w:pPr>
        <w:sectPr>
          <w:headerReference w:type="default" r:id="Rf67901562a024cd9"/>
          <w:footerReference w:type="default" r:id="R22ce1c071f514c1c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3abbb2edee544dc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rFonts w:eastAsia="SimHei"/>
          <w:color w:val="FFFFFF"/>
          <w:sz w:val="36"/>
        </w:rPr>
        <w:t>CNSH语言体系</w:t>
      </w:r>
    </w:p>
    <w:p>
      <w:pPr>
        <w:spacing w:after="200"/>
        <w:jc w:val="center"/>
      </w:pPr>
      <w:r>
        <w:rPr>
          <w:color w:val="94a3b8"/>
          <w:sz w:val="21"/>
        </w:rPr>
        <w:t>“以中文思维编程”</w:t>
      </w:r>
    </w:p>
    <w:p>
      <w:pPr>
        <w:spacing w:after="600"/>
        <w:jc w:val="center"/>
      </w:pPr>
      <w:r>
        <w:rPr>
          <w:color w:val="64748b"/>
          <w:sz w:val="18"/>
        </w:rPr>
        <w:t>https://github.com/cnsh-lang/cnsh</w:t>
      </w:r>
    </w:p>
    <w:p>
      <w:pPr>
        <w:jc w:val="center"/>
      </w:pPr>
      <w:r>
        <w:rPr>
          <w:color w:val="475569"/>
          <w:sz w:val="16"/>
        </w:rPr>
        <w:t>© 2026 CNSH语言开发团队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fb9dd088c1374660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94a3b8"/>
        <w:sz w:val="18"/>
      </w:rPr>
      <w:t>CNSH语言体系</w:t>
    </w:r>
    <w:r>
      <w:rPr>
        <w:color w:val="3b82f6"/>
        <w:sz w:val="18"/>
      </w:rPr>
      <w:t xml:space="preserve">  |  </w:t>
    </w:r>
    <w:r>
      <w:rPr>
        <w:color w:val="94a3b8"/>
        <w:sz w:val="18"/>
      </w:rPr>
      <w:t>技术文档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ind w:firstLine="420"/>
    </w:pPr>
    <w:rPr>
      <w:rFonts w:ascii="Calibri" w:hAnsi="Calibri" w:eastAsia="Microsoft YaHei"/>
      <w:color w:val="1e293b"/>
      <w:sz w:val="21"/>
    </w:rPr>
  </w:style>
  <w:style w:type="paragraph" w:styleId="Heading1">
    <w:name w:val="heading 1"/>
    <w:basedOn w:val="Normal"/>
    <w:pPr>
      <w:keepNext/>
      <w:keepLines/>
      <w:pageBreakBefore/>
      <w:spacing w:before="400" w:after="300" w:line="240" w:lineRule="auto"/>
      <w:ind w:firstLine="0"/>
      <w:outlineLvl w:val="0"/>
    </w:pPr>
    <w:rPr>
      <w:rFonts w:eastAsia="SimHei"/>
      <w:b/>
      <w:color w:val="1e40af"/>
      <w:sz w:val="36"/>
    </w:rPr>
  </w:style>
  <w:style w:type="paragraph" w:styleId="Heading2">
    <w:name w:val="heading 2"/>
    <w:basedOn w:val="Normal"/>
    <w:pPr>
      <w:keepNext/>
      <w:keepLines/>
      <w:spacing w:before="360" w:after="200"/>
      <w:ind w:firstLine="0"/>
      <w:outlineLvl w:val="1"/>
    </w:pPr>
    <w:rPr>
      <w:rFonts w:eastAsia="SimHei"/>
      <w:b/>
      <w:color w:val="1e293b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color w:val="475569"/>
      <w:sz w:val="24"/>
    </w:rPr>
  </w:style>
  <w:style w:type="paragraph" w:styleId="Code">
    <w:name w:val="Code"/>
    <w:basedOn w:val="Normal"/>
    <w:pPr>
      <w:shd w:val="clear" w:fill="f8fafc"/>
      <w:spacing w:before="120" w:after="120" w:line="280" w:lineRule="auto"/>
      <w:ind w:left="420" w:firstLine="0"/>
    </w:pPr>
    <w:rPr>
      <w:rFonts w:ascii="Consolas" w:hAnsi="Consolas" w:eastAsia="Microsoft YaHei"/>
      <w:color w:val="1e293b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firstLine="0"/>
    </w:pPr>
    <w:rPr>
      <w:b/>
      <w:color w:val="1e293b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 w:firstLine="0"/>
    </w:pPr>
    <w:rPr>
      <w:color w:val="475569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40"/>
      <w:ind w:left="840" w:firstLine="0"/>
    </w:pPr>
    <w:rPr>
      <w:color w:val="94a3b8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caa23e994e44585" /><Relationship Type="http://schemas.openxmlformats.org/officeDocument/2006/relationships/numbering" Target="/word/numbering.xml" Id="Rdd3a90f793d8439b" /><Relationship Type="http://schemas.openxmlformats.org/officeDocument/2006/relationships/image" Target="/media/image.png" Id="R1219c6599ddb4eac" /><Relationship Type="http://schemas.openxmlformats.org/officeDocument/2006/relationships/image" Target="/media/image2.png" Id="R3abbb2edee544dc0" /><Relationship Type="http://schemas.openxmlformats.org/officeDocument/2006/relationships/header" Target="/word/header1.xml" Id="Rf67901562a024cd9" /><Relationship Type="http://schemas.openxmlformats.org/officeDocument/2006/relationships/footer" Target="/word/footer1.xml" Id="R22ce1c071f514c1c" /><Relationship Type="http://schemas.openxmlformats.org/officeDocument/2006/relationships/settings" Target="/word/settings.xml" Id="Rea0c65e08f5f4d51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fb9dd088c1374660" /></Relationships>
</file>