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120"/>
        <w:jc w:val="center"/>
      </w:pPr>
      <w:r>
        <w:rPr>
          <w:rFonts w:ascii="Cambria" w:cs="Cambria" w:eastAsia="Cambria" w:hAnsi="Cambria"/>
          <w:b/>
          <w:bCs/>
          <w:color w:val="B8860B"/>
          <w:spacing w:val="20"/>
          <w:sz w:val="24"/>
          <w:szCs w:val="24"/>
        </w:rPr>
        <w:t xml:space="preserve">NATIONAL POLICY &amp; STRATEGIC FRAMEWORK</w:t>
      </w:r>
    </w:p>
    <w:p>
      <w:pPr>
        <w:spacing w:after="60"/>
        <w:jc w:val="center"/>
      </w:pPr>
      <w:r>
        <w:rPr>
          <w:rFonts w:ascii="Cambria" w:cs="Cambria" w:eastAsia="Cambria" w:hAnsi="Cambria"/>
          <w:b/>
          <w:bCs/>
          <w:color w:val="17324D"/>
          <w:sz w:val="52"/>
          <w:szCs w:val="52"/>
        </w:rPr>
        <w:t xml:space="preserve">PUBLIC-PRIVATE PARTNERSHIP</w:t>
      </w:r>
    </w:p>
    <w:p>
      <w:pPr>
        <w:spacing w:after="400"/>
        <w:jc w:val="center"/>
      </w:pPr>
      <w:r>
        <w:rPr>
          <w:rFonts w:ascii="Cambria" w:cs="Cambria" w:eastAsia="Cambria" w:hAnsi="Cambria"/>
          <w:b/>
          <w:bCs/>
          <w:color w:val="17324D"/>
          <w:sz w:val="32"/>
          <w:szCs w:val="32"/>
        </w:rPr>
        <w:t xml:space="preserve">for Independent Cybersecurity, AI &amp; Digital Assurance</w:t>
      </w:r>
    </w:p>
    <w:p>
      <w:pPr>
        <w:pBdr>
          <w:bottom w:val="single" w:color="B8860B" w:sz="8" w:space="10"/>
        </w:pBdr>
        <w:spacing w:after="40"/>
        <w:jc w:val="center"/>
      </w:pPr>
      <w:r>
        <w:t xml:space="preserve"/>
      </w:r>
    </w:p>
    <w:p/>
    <w:p>
      <w:pPr>
        <w:spacing w:after="40"/>
        <w:jc w:val="center"/>
      </w:pPr>
      <w:r>
        <w:rPr>
          <w:rFonts w:ascii="Cambria" w:cs="Cambria" w:eastAsia="Cambria" w:hAnsi="Cambria"/>
          <w:b/>
          <w:bCs/>
          <w:color w:val="0E1F30"/>
          <w:sz w:val="26"/>
          <w:szCs w:val="26"/>
        </w:rPr>
        <w:t xml:space="preserve">Republic of Zimbabwe</w:t>
      </w:r>
    </w:p>
    <w:p>
      <w:pPr>
        <w:spacing w:after="300"/>
        <w:jc w:val="center"/>
      </w:pPr>
      <w:r>
        <w:rPr>
          <w:rFonts w:ascii="Calibri" w:cs="Calibri" w:eastAsia="Calibri" w:hAnsi="Calibri"/>
          <w:i/>
          <w:iCs/>
          <w:color w:val="3B3B3B"/>
          <w:sz w:val="22"/>
          <w:szCs w:val="22"/>
        </w:rPr>
        <w:t xml:space="preserve">in partnership with</w:t>
      </w:r>
    </w:p>
    <w:p>
      <w:pPr>
        <w:spacing w:after="500"/>
        <w:jc w:val="center"/>
      </w:pPr>
      <w:r>
        <w:rPr>
          <w:rFonts w:ascii="Cambria" w:cs="Cambria" w:eastAsia="Cambria" w:hAnsi="Cambria"/>
          <w:b/>
          <w:bCs/>
          <w:color w:val="B8860B"/>
          <w:sz w:val="36"/>
          <w:szCs w:val="36"/>
        </w:rPr>
        <w:t xml:space="preserve">FRAMPOL AFRICA</w:t>
      </w:r>
    </w:p>
    <w:p/>
    <w:p/>
    <w:p/>
    <w:p/>
    <w:p/>
    <w:p/>
    <w:p>
      <w:pPr>
        <w:spacing w:after="40"/>
        <w:jc w:val="center"/>
      </w:pPr>
      <w:r>
        <w:rPr>
          <w:rFonts w:ascii="Calibri" w:cs="Calibri" w:eastAsia="Calibri" w:hAnsi="Calibri"/>
          <w:b/>
          <w:bCs/>
          <w:color w:val="0E1F30"/>
          <w:sz w:val="22"/>
          <w:szCs w:val="22"/>
        </w:rPr>
        <w:t xml:space="preserve">Expanded Proposal — High-Level Project &amp; Investment Brief</w:t>
      </w:r>
    </w:p>
    <w:p>
      <w:pPr>
        <w:spacing w:after="20"/>
        <w:jc w:val="center"/>
      </w:pPr>
      <w:r>
        <w:rPr>
          <w:rFonts w:ascii="Calibri" w:cs="Calibri" w:eastAsia="Calibri" w:hAnsi="Calibri"/>
          <w:color w:val="3B3B3B"/>
          <w:sz w:val="20"/>
          <w:szCs w:val="20"/>
        </w:rPr>
        <w:t xml:space="preserve">August 2026</w:t>
      </w:r>
    </w:p>
    <w:p>
      <w:pPr>
        <w:jc w:val="center"/>
      </w:pPr>
      <w:r>
        <w:rPr>
          <w:rFonts w:ascii="Calibri" w:cs="Calibri" w:eastAsia="Calibri" w:hAnsi="Calibri"/>
          <w:i/>
          <w:iCs/>
          <w:color w:val="3B3B3B"/>
          <w:sz w:val="18"/>
          <w:szCs w:val="18"/>
        </w:rPr>
        <w:t xml:space="preserve">CONFIDENTIAL — FOR DISCUSSION PURPOSES</w:t>
      </w:r>
    </w:p>
    <w:p>
      <w:r>
        <w:br w:type="page"/>
      </w:r>
    </w:p>
    <w:p>
      <w:pPr>
        <w:pStyle w:val="Heading1"/>
        <w:pBdr>
          <w:bottom w:val="single" w:color="B8860B" w:sz="6" w:space="4"/>
        </w:pBdr>
        <w:spacing w:after="200" w:before="420"/>
      </w:pPr>
      <w:r>
        <w:rPr>
          <w:rFonts w:ascii="Cambria" w:cs="Cambria" w:eastAsia="Cambria" w:hAnsi="Cambria"/>
          <w:b/>
          <w:bCs/>
          <w:color w:val="17324D"/>
        </w:rPr>
        <w:t xml:space="preserve">TABLE OF CONTENTS</w:t>
      </w:r>
    </w:p>
    <w:p>
      <w:pPr>
        <w:tabs>
          <w:tab w:val="right" w:pos="9026" w:leader="dot"/>
        </w:tabs>
        <w:spacing w:after="90"/>
      </w:pPr>
      <w:r>
        <w:rPr>
          <w:rFonts w:ascii="Calibri" w:cs="Calibri" w:eastAsia="Calibri" w:hAnsi="Calibri"/>
          <w:b/>
          <w:bCs/>
          <w:color w:val="B8860B"/>
          <w:sz w:val="22"/>
          <w:szCs w:val="22"/>
        </w:rPr>
        <w:t xml:space="preserve">1.  </w:t>
      </w:r>
      <w:r>
        <w:rPr>
          <w:rFonts w:ascii="Calibri" w:cs="Calibri" w:eastAsia="Calibri" w:hAnsi="Calibri"/>
          <w:color w:val="0E1F30"/>
          <w:sz w:val="22"/>
          <w:szCs w:val="22"/>
        </w:rPr>
        <w:t xml:space="preserve">Executive summary</w:t>
      </w:r>
    </w:p>
    <w:p>
      <w:pPr>
        <w:tabs>
          <w:tab w:val="right" w:pos="9026" w:leader="dot"/>
        </w:tabs>
        <w:spacing w:after="90"/>
      </w:pPr>
      <w:r>
        <w:rPr>
          <w:rFonts w:ascii="Calibri" w:cs="Calibri" w:eastAsia="Calibri" w:hAnsi="Calibri"/>
          <w:b/>
          <w:bCs/>
          <w:color w:val="B8860B"/>
          <w:sz w:val="22"/>
          <w:szCs w:val="22"/>
        </w:rPr>
        <w:t xml:space="preserve">2.  </w:t>
      </w:r>
      <w:r>
        <w:rPr>
          <w:rFonts w:ascii="Calibri" w:cs="Calibri" w:eastAsia="Calibri" w:hAnsi="Calibri"/>
          <w:color w:val="0E1F30"/>
          <w:sz w:val="22"/>
          <w:szCs w:val="22"/>
        </w:rPr>
        <w:t xml:space="preserve">Global context &amp; cybersecurity landscape</w:t>
      </w:r>
    </w:p>
    <w:p>
      <w:pPr>
        <w:tabs>
          <w:tab w:val="right" w:pos="9026" w:leader="dot"/>
        </w:tabs>
        <w:spacing w:after="90"/>
      </w:pPr>
      <w:r>
        <w:rPr>
          <w:rFonts w:ascii="Calibri" w:cs="Calibri" w:eastAsia="Calibri" w:hAnsi="Calibri"/>
          <w:b/>
          <w:bCs/>
          <w:color w:val="B8860B"/>
          <w:sz w:val="22"/>
          <w:szCs w:val="22"/>
        </w:rPr>
        <w:t xml:space="preserve">3.  </w:t>
      </w:r>
      <w:r>
        <w:rPr>
          <w:rFonts w:ascii="Calibri" w:cs="Calibri" w:eastAsia="Calibri" w:hAnsi="Calibri"/>
          <w:color w:val="0E1F30"/>
          <w:sz w:val="22"/>
          <w:szCs w:val="22"/>
        </w:rPr>
        <w:t xml:space="preserve">African &amp; regional context</w:t>
      </w:r>
    </w:p>
    <w:p>
      <w:pPr>
        <w:tabs>
          <w:tab w:val="right" w:pos="9026" w:leader="dot"/>
        </w:tabs>
        <w:spacing w:after="90"/>
      </w:pPr>
      <w:r>
        <w:rPr>
          <w:rFonts w:ascii="Calibri" w:cs="Calibri" w:eastAsia="Calibri" w:hAnsi="Calibri"/>
          <w:b/>
          <w:bCs/>
          <w:color w:val="B8860B"/>
          <w:sz w:val="22"/>
          <w:szCs w:val="22"/>
        </w:rPr>
        <w:t xml:space="preserve">4.  </w:t>
      </w:r>
      <w:r>
        <w:rPr>
          <w:rFonts w:ascii="Calibri" w:cs="Calibri" w:eastAsia="Calibri" w:hAnsi="Calibri"/>
          <w:color w:val="0E1F30"/>
          <w:sz w:val="22"/>
          <w:szCs w:val="22"/>
        </w:rPr>
        <w:t xml:space="preserve">Problem statement</w:t>
      </w:r>
    </w:p>
    <w:p>
      <w:pPr>
        <w:tabs>
          <w:tab w:val="right" w:pos="9026" w:leader="dot"/>
        </w:tabs>
        <w:spacing w:after="90"/>
      </w:pPr>
      <w:r>
        <w:rPr>
          <w:rFonts w:ascii="Calibri" w:cs="Calibri" w:eastAsia="Calibri" w:hAnsi="Calibri"/>
          <w:b/>
          <w:bCs/>
          <w:color w:val="B8860B"/>
          <w:sz w:val="22"/>
          <w:szCs w:val="22"/>
        </w:rPr>
        <w:t xml:space="preserve">5.  </w:t>
      </w:r>
      <w:r>
        <w:rPr>
          <w:rFonts w:ascii="Calibri" w:cs="Calibri" w:eastAsia="Calibri" w:hAnsi="Calibri"/>
          <w:color w:val="0E1F30"/>
          <w:sz w:val="22"/>
          <w:szCs w:val="22"/>
        </w:rPr>
        <w:t xml:space="preserve">Policy vision &amp; objectives</w:t>
      </w:r>
    </w:p>
    <w:p>
      <w:pPr>
        <w:tabs>
          <w:tab w:val="right" w:pos="9026" w:leader="dot"/>
        </w:tabs>
        <w:spacing w:after="90"/>
      </w:pPr>
      <w:r>
        <w:rPr>
          <w:rFonts w:ascii="Calibri" w:cs="Calibri" w:eastAsia="Calibri" w:hAnsi="Calibri"/>
          <w:b/>
          <w:bCs/>
          <w:color w:val="B8860B"/>
          <w:sz w:val="22"/>
          <w:szCs w:val="22"/>
        </w:rPr>
        <w:t xml:space="preserve">6.  </w:t>
      </w:r>
      <w:r>
        <w:rPr>
          <w:rFonts w:ascii="Calibri" w:cs="Calibri" w:eastAsia="Calibri" w:hAnsi="Calibri"/>
          <w:color w:val="0E1F30"/>
          <w:sz w:val="22"/>
          <w:szCs w:val="22"/>
        </w:rPr>
        <w:t xml:space="preserve">European &amp; global ppp models and lessons</w:t>
      </w:r>
    </w:p>
    <w:p>
      <w:pPr>
        <w:tabs>
          <w:tab w:val="right" w:pos="9026" w:leader="dot"/>
        </w:tabs>
        <w:spacing w:after="90"/>
      </w:pPr>
      <w:r>
        <w:rPr>
          <w:rFonts w:ascii="Calibri" w:cs="Calibri" w:eastAsia="Calibri" w:hAnsi="Calibri"/>
          <w:b/>
          <w:bCs/>
          <w:color w:val="B8860B"/>
          <w:sz w:val="22"/>
          <w:szCs w:val="22"/>
        </w:rPr>
        <w:t xml:space="preserve">7.  </w:t>
      </w:r>
      <w:r>
        <w:rPr>
          <w:rFonts w:ascii="Calibri" w:cs="Calibri" w:eastAsia="Calibri" w:hAnsi="Calibri"/>
          <w:color w:val="0E1F30"/>
          <w:sz w:val="22"/>
          <w:szCs w:val="22"/>
        </w:rPr>
        <w:t xml:space="preserve">Proposed ppp model (zimbabwe)</w:t>
      </w:r>
    </w:p>
    <w:p>
      <w:pPr>
        <w:tabs>
          <w:tab w:val="right" w:pos="9026" w:leader="dot"/>
        </w:tabs>
        <w:spacing w:after="90"/>
      </w:pPr>
      <w:r>
        <w:rPr>
          <w:rFonts w:ascii="Calibri" w:cs="Calibri" w:eastAsia="Calibri" w:hAnsi="Calibri"/>
          <w:b/>
          <w:bCs/>
          <w:color w:val="B8860B"/>
          <w:sz w:val="22"/>
          <w:szCs w:val="22"/>
        </w:rPr>
        <w:t xml:space="preserve">8.  </w:t>
      </w:r>
      <w:r>
        <w:rPr>
          <w:rFonts w:ascii="Calibri" w:cs="Calibri" w:eastAsia="Calibri" w:hAnsi="Calibri"/>
          <w:color w:val="0E1F30"/>
          <w:sz w:val="22"/>
          <w:szCs w:val="22"/>
        </w:rPr>
        <w:t xml:space="preserve">Institutional framework</w:t>
      </w:r>
    </w:p>
    <w:p>
      <w:pPr>
        <w:tabs>
          <w:tab w:val="right" w:pos="9026" w:leader="dot"/>
        </w:tabs>
        <w:spacing w:after="90"/>
      </w:pPr>
      <w:r>
        <w:rPr>
          <w:rFonts w:ascii="Calibri" w:cs="Calibri" w:eastAsia="Calibri" w:hAnsi="Calibri"/>
          <w:b/>
          <w:bCs/>
          <w:color w:val="B8860B"/>
          <w:sz w:val="22"/>
          <w:szCs w:val="22"/>
        </w:rPr>
        <w:t xml:space="preserve">9.  </w:t>
      </w:r>
      <w:r>
        <w:rPr>
          <w:rFonts w:ascii="Calibri" w:cs="Calibri" w:eastAsia="Calibri" w:hAnsi="Calibri"/>
          <w:color w:val="0E1F30"/>
          <w:sz w:val="22"/>
          <w:szCs w:val="22"/>
        </w:rPr>
        <w:t xml:space="preserve">Role of the independent assurance partner (frampol africa)</w:t>
      </w:r>
    </w:p>
    <w:p>
      <w:pPr>
        <w:tabs>
          <w:tab w:val="right" w:pos="9026" w:leader="dot"/>
        </w:tabs>
        <w:spacing w:after="90"/>
      </w:pPr>
      <w:r>
        <w:rPr>
          <w:rFonts w:ascii="Calibri" w:cs="Calibri" w:eastAsia="Calibri" w:hAnsi="Calibri"/>
          <w:b/>
          <w:bCs/>
          <w:color w:val="B8860B"/>
          <w:sz w:val="22"/>
          <w:szCs w:val="22"/>
        </w:rPr>
        <w:t xml:space="preserve">10.  </w:t>
      </w:r>
      <w:r>
        <w:rPr>
          <w:rFonts w:ascii="Calibri" w:cs="Calibri" w:eastAsia="Calibri" w:hAnsi="Calibri"/>
          <w:color w:val="0E1F30"/>
          <w:sz w:val="22"/>
          <w:szCs w:val="22"/>
        </w:rPr>
        <w:t xml:space="preserve">Core service pillars</w:t>
      </w:r>
    </w:p>
    <w:p>
      <w:pPr>
        <w:tabs>
          <w:tab w:val="right" w:pos="9026" w:leader="dot"/>
        </w:tabs>
        <w:spacing w:after="90"/>
      </w:pPr>
      <w:r>
        <w:rPr>
          <w:rFonts w:ascii="Calibri" w:cs="Calibri" w:eastAsia="Calibri" w:hAnsi="Calibri"/>
          <w:b/>
          <w:bCs/>
          <w:color w:val="B8860B"/>
          <w:sz w:val="22"/>
          <w:szCs w:val="22"/>
        </w:rPr>
        <w:t xml:space="preserve">11.  </w:t>
      </w:r>
      <w:r>
        <w:rPr>
          <w:rFonts w:ascii="Calibri" w:cs="Calibri" w:eastAsia="Calibri" w:hAnsi="Calibri"/>
          <w:color w:val="0E1F30"/>
          <w:sz w:val="22"/>
          <w:szCs w:val="22"/>
        </w:rPr>
        <w:t xml:space="preserve">Detailed service definitions</w:t>
      </w:r>
    </w:p>
    <w:p>
      <w:pPr>
        <w:tabs>
          <w:tab w:val="right" w:pos="9026" w:leader="dot"/>
        </w:tabs>
        <w:spacing w:after="90"/>
      </w:pPr>
      <w:r>
        <w:rPr>
          <w:rFonts w:ascii="Calibri" w:cs="Calibri" w:eastAsia="Calibri" w:hAnsi="Calibri"/>
          <w:b/>
          <w:bCs/>
          <w:color w:val="B8860B"/>
          <w:sz w:val="22"/>
          <w:szCs w:val="22"/>
        </w:rPr>
        <w:t xml:space="preserve">12.  </w:t>
      </w:r>
      <w:r>
        <w:rPr>
          <w:rFonts w:ascii="Calibri" w:cs="Calibri" w:eastAsia="Calibri" w:hAnsi="Calibri"/>
          <w:color w:val="0E1F30"/>
          <w:sz w:val="22"/>
          <w:szCs w:val="22"/>
        </w:rPr>
        <w:t xml:space="preserve">Illustrative example: how the partnership works in practice</w:t>
      </w:r>
    </w:p>
    <w:p>
      <w:pPr>
        <w:tabs>
          <w:tab w:val="right" w:pos="9026" w:leader="dot"/>
        </w:tabs>
        <w:spacing w:after="90"/>
      </w:pPr>
      <w:r>
        <w:rPr>
          <w:rFonts w:ascii="Calibri" w:cs="Calibri" w:eastAsia="Calibri" w:hAnsi="Calibri"/>
          <w:b/>
          <w:bCs/>
          <w:color w:val="B8860B"/>
          <w:sz w:val="22"/>
          <w:szCs w:val="22"/>
        </w:rPr>
        <w:t xml:space="preserve">13.  </w:t>
      </w:r>
      <w:r>
        <w:rPr>
          <w:rFonts w:ascii="Calibri" w:cs="Calibri" w:eastAsia="Calibri" w:hAnsi="Calibri"/>
          <w:color w:val="0E1F30"/>
          <w:sz w:val="22"/>
          <w:szCs w:val="22"/>
        </w:rPr>
        <w:t xml:space="preserve">Ai risk &amp; cybercrime evolution</w:t>
      </w:r>
    </w:p>
    <w:p>
      <w:pPr>
        <w:tabs>
          <w:tab w:val="right" w:pos="9026" w:leader="dot"/>
        </w:tabs>
        <w:spacing w:after="90"/>
      </w:pPr>
      <w:r>
        <w:rPr>
          <w:rFonts w:ascii="Calibri" w:cs="Calibri" w:eastAsia="Calibri" w:hAnsi="Calibri"/>
          <w:b/>
          <w:bCs/>
          <w:color w:val="B8860B"/>
          <w:sz w:val="22"/>
          <w:szCs w:val="22"/>
        </w:rPr>
        <w:t xml:space="preserve">14.  </w:t>
      </w:r>
      <w:r>
        <w:rPr>
          <w:rFonts w:ascii="Calibri" w:cs="Calibri" w:eastAsia="Calibri" w:hAnsi="Calibri"/>
          <w:color w:val="0E1F30"/>
          <w:sz w:val="22"/>
          <w:szCs w:val="22"/>
        </w:rPr>
        <w:t xml:space="preserve">Data governance &amp; sovereignty</w:t>
      </w:r>
    </w:p>
    <w:p>
      <w:pPr>
        <w:tabs>
          <w:tab w:val="right" w:pos="9026" w:leader="dot"/>
        </w:tabs>
        <w:spacing w:after="90"/>
      </w:pPr>
      <w:r>
        <w:rPr>
          <w:rFonts w:ascii="Calibri" w:cs="Calibri" w:eastAsia="Calibri" w:hAnsi="Calibri"/>
          <w:b/>
          <w:bCs/>
          <w:color w:val="B8860B"/>
          <w:sz w:val="22"/>
          <w:szCs w:val="22"/>
        </w:rPr>
        <w:t xml:space="preserve">15.  </w:t>
      </w:r>
      <w:r>
        <w:rPr>
          <w:rFonts w:ascii="Calibri" w:cs="Calibri" w:eastAsia="Calibri" w:hAnsi="Calibri"/>
          <w:color w:val="0E1F30"/>
          <w:sz w:val="22"/>
          <w:szCs w:val="22"/>
        </w:rPr>
        <w:t xml:space="preserve">Regulatory integration (potraz)</w:t>
      </w:r>
    </w:p>
    <w:p>
      <w:pPr>
        <w:tabs>
          <w:tab w:val="right" w:pos="9026" w:leader="dot"/>
        </w:tabs>
        <w:spacing w:after="90"/>
      </w:pPr>
      <w:r>
        <w:rPr>
          <w:rFonts w:ascii="Calibri" w:cs="Calibri" w:eastAsia="Calibri" w:hAnsi="Calibri"/>
          <w:b/>
          <w:bCs/>
          <w:color w:val="B8860B"/>
          <w:sz w:val="22"/>
          <w:szCs w:val="22"/>
        </w:rPr>
        <w:t xml:space="preserve">16.  </w:t>
      </w:r>
      <w:r>
        <w:rPr>
          <w:rFonts w:ascii="Calibri" w:cs="Calibri" w:eastAsia="Calibri" w:hAnsi="Calibri"/>
          <w:color w:val="0E1F30"/>
          <w:sz w:val="22"/>
          <w:szCs w:val="22"/>
        </w:rPr>
        <w:t xml:space="preserve">Judicial sector cybersecurity needs</w:t>
      </w:r>
    </w:p>
    <w:p>
      <w:pPr>
        <w:tabs>
          <w:tab w:val="right" w:pos="9026" w:leader="dot"/>
        </w:tabs>
        <w:spacing w:after="90"/>
      </w:pPr>
      <w:r>
        <w:rPr>
          <w:rFonts w:ascii="Calibri" w:cs="Calibri" w:eastAsia="Calibri" w:hAnsi="Calibri"/>
          <w:b/>
          <w:bCs/>
          <w:color w:val="B8860B"/>
          <w:sz w:val="22"/>
          <w:szCs w:val="22"/>
        </w:rPr>
        <w:t xml:space="preserve">17.  </w:t>
      </w:r>
      <w:r>
        <w:rPr>
          <w:rFonts w:ascii="Calibri" w:cs="Calibri" w:eastAsia="Calibri" w:hAnsi="Calibri"/>
          <w:color w:val="0E1F30"/>
          <w:sz w:val="22"/>
          <w:szCs w:val="22"/>
        </w:rPr>
        <w:t xml:space="preserve">Government-wide implementation strategy</w:t>
      </w:r>
    </w:p>
    <w:p>
      <w:pPr>
        <w:tabs>
          <w:tab w:val="right" w:pos="9026" w:leader="dot"/>
        </w:tabs>
        <w:spacing w:after="90"/>
      </w:pPr>
      <w:r>
        <w:rPr>
          <w:rFonts w:ascii="Calibri" w:cs="Calibri" w:eastAsia="Calibri" w:hAnsi="Calibri"/>
          <w:b/>
          <w:bCs/>
          <w:color w:val="B8860B"/>
          <w:sz w:val="22"/>
          <w:szCs w:val="22"/>
        </w:rPr>
        <w:t xml:space="preserve">18.  </w:t>
      </w:r>
      <w:r>
        <w:rPr>
          <w:rFonts w:ascii="Calibri" w:cs="Calibri" w:eastAsia="Calibri" w:hAnsi="Calibri"/>
          <w:color w:val="0E1F30"/>
          <w:sz w:val="22"/>
          <w:szCs w:val="22"/>
        </w:rPr>
        <w:t xml:space="preserve">Financial model (usd 1.7 million framework)</w:t>
      </w:r>
    </w:p>
    <w:p>
      <w:pPr>
        <w:tabs>
          <w:tab w:val="right" w:pos="9026" w:leader="dot"/>
        </w:tabs>
        <w:spacing w:after="90"/>
      </w:pPr>
      <w:r>
        <w:rPr>
          <w:rFonts w:ascii="Calibri" w:cs="Calibri" w:eastAsia="Calibri" w:hAnsi="Calibri"/>
          <w:b/>
          <w:bCs/>
          <w:color w:val="B8860B"/>
          <w:sz w:val="22"/>
          <w:szCs w:val="22"/>
        </w:rPr>
        <w:t xml:space="preserve">19.  </w:t>
      </w:r>
      <w:r>
        <w:rPr>
          <w:rFonts w:ascii="Calibri" w:cs="Calibri" w:eastAsia="Calibri" w:hAnsi="Calibri"/>
          <w:color w:val="0E1F30"/>
          <w:sz w:val="22"/>
          <w:szCs w:val="22"/>
        </w:rPr>
        <w:t xml:space="preserve">Economic justification</w:t>
      </w:r>
    </w:p>
    <w:p>
      <w:pPr>
        <w:tabs>
          <w:tab w:val="right" w:pos="9026" w:leader="dot"/>
        </w:tabs>
        <w:spacing w:after="90"/>
      </w:pPr>
      <w:r>
        <w:rPr>
          <w:rFonts w:ascii="Calibri" w:cs="Calibri" w:eastAsia="Calibri" w:hAnsi="Calibri"/>
          <w:b/>
          <w:bCs/>
          <w:color w:val="B8860B"/>
          <w:sz w:val="22"/>
          <w:szCs w:val="22"/>
        </w:rPr>
        <w:t xml:space="preserve">20.  </w:t>
      </w:r>
      <w:r>
        <w:rPr>
          <w:rFonts w:ascii="Calibri" w:cs="Calibri" w:eastAsia="Calibri" w:hAnsi="Calibri"/>
          <w:color w:val="0E1F30"/>
          <w:sz w:val="22"/>
          <w:szCs w:val="22"/>
        </w:rPr>
        <w:t xml:space="preserve">Key benefits of the partnership</w:t>
      </w:r>
    </w:p>
    <w:p>
      <w:pPr>
        <w:tabs>
          <w:tab w:val="right" w:pos="9026" w:leader="dot"/>
        </w:tabs>
        <w:spacing w:after="90"/>
      </w:pPr>
      <w:r>
        <w:rPr>
          <w:rFonts w:ascii="Calibri" w:cs="Calibri" w:eastAsia="Calibri" w:hAnsi="Calibri"/>
          <w:b/>
          <w:bCs/>
          <w:color w:val="B8860B"/>
          <w:sz w:val="22"/>
          <w:szCs w:val="22"/>
        </w:rPr>
        <w:t xml:space="preserve">21.  </w:t>
      </w:r>
      <w:r>
        <w:rPr>
          <w:rFonts w:ascii="Calibri" w:cs="Calibri" w:eastAsia="Calibri" w:hAnsi="Calibri"/>
          <w:color w:val="0E1F30"/>
          <w:sz w:val="22"/>
          <w:szCs w:val="22"/>
        </w:rPr>
        <w:t xml:space="preserve">Risk analysis &amp; mitigation</w:t>
      </w:r>
    </w:p>
    <w:p>
      <w:pPr>
        <w:tabs>
          <w:tab w:val="right" w:pos="9026" w:leader="dot"/>
        </w:tabs>
        <w:spacing w:after="90"/>
      </w:pPr>
      <w:r>
        <w:rPr>
          <w:rFonts w:ascii="Calibri" w:cs="Calibri" w:eastAsia="Calibri" w:hAnsi="Calibri"/>
          <w:b/>
          <w:bCs/>
          <w:color w:val="B8860B"/>
          <w:sz w:val="22"/>
          <w:szCs w:val="22"/>
        </w:rPr>
        <w:t xml:space="preserve">22.  </w:t>
      </w:r>
      <w:r>
        <w:rPr>
          <w:rFonts w:ascii="Calibri" w:cs="Calibri" w:eastAsia="Calibri" w:hAnsi="Calibri"/>
          <w:color w:val="0E1F30"/>
          <w:sz w:val="22"/>
          <w:szCs w:val="22"/>
        </w:rPr>
        <w:t xml:space="preserve">Governance &amp; oversight model</w:t>
      </w:r>
    </w:p>
    <w:p>
      <w:pPr>
        <w:tabs>
          <w:tab w:val="right" w:pos="9026" w:leader="dot"/>
        </w:tabs>
        <w:spacing w:after="90"/>
      </w:pPr>
      <w:r>
        <w:rPr>
          <w:rFonts w:ascii="Calibri" w:cs="Calibri" w:eastAsia="Calibri" w:hAnsi="Calibri"/>
          <w:b/>
          <w:bCs/>
          <w:color w:val="B8860B"/>
          <w:sz w:val="22"/>
          <w:szCs w:val="22"/>
        </w:rPr>
        <w:t xml:space="preserve">23.  </w:t>
      </w:r>
      <w:r>
        <w:rPr>
          <w:rFonts w:ascii="Calibri" w:cs="Calibri" w:eastAsia="Calibri" w:hAnsi="Calibri"/>
          <w:color w:val="0E1F30"/>
          <w:sz w:val="22"/>
          <w:szCs w:val="22"/>
        </w:rPr>
        <w:t xml:space="preserve">Compliance &amp; standards alignment</w:t>
      </w:r>
    </w:p>
    <w:p>
      <w:pPr>
        <w:tabs>
          <w:tab w:val="right" w:pos="9026" w:leader="dot"/>
        </w:tabs>
        <w:spacing w:after="90"/>
      </w:pPr>
      <w:r>
        <w:rPr>
          <w:rFonts w:ascii="Calibri" w:cs="Calibri" w:eastAsia="Calibri" w:hAnsi="Calibri"/>
          <w:b/>
          <w:bCs/>
          <w:color w:val="B8860B"/>
          <w:sz w:val="22"/>
          <w:szCs w:val="22"/>
        </w:rPr>
        <w:t xml:space="preserve">24.  </w:t>
      </w:r>
      <w:r>
        <w:rPr>
          <w:rFonts w:ascii="Calibri" w:cs="Calibri" w:eastAsia="Calibri" w:hAnsi="Calibri"/>
          <w:color w:val="0E1F30"/>
          <w:sz w:val="22"/>
          <w:szCs w:val="22"/>
        </w:rPr>
        <w:t xml:space="preserve">Ppp case studies — europe &amp; global precedents</w:t>
      </w:r>
    </w:p>
    <w:p>
      <w:pPr>
        <w:tabs>
          <w:tab w:val="right" w:pos="9026" w:leader="dot"/>
        </w:tabs>
        <w:spacing w:after="90"/>
      </w:pPr>
      <w:r>
        <w:rPr>
          <w:rFonts w:ascii="Calibri" w:cs="Calibri" w:eastAsia="Calibri" w:hAnsi="Calibri"/>
          <w:b/>
          <w:bCs/>
          <w:color w:val="B8860B"/>
          <w:sz w:val="22"/>
          <w:szCs w:val="22"/>
        </w:rPr>
        <w:t xml:space="preserve">25.  </w:t>
      </w:r>
      <w:r>
        <w:rPr>
          <w:rFonts w:ascii="Calibri" w:cs="Calibri" w:eastAsia="Calibri" w:hAnsi="Calibri"/>
          <w:color w:val="0E1F30"/>
          <w:sz w:val="22"/>
          <w:szCs w:val="22"/>
        </w:rPr>
        <w:t xml:space="preserve">Capacity building &amp; skills transfer</w:t>
      </w:r>
    </w:p>
    <w:p>
      <w:pPr>
        <w:tabs>
          <w:tab w:val="right" w:pos="9026" w:leader="dot"/>
        </w:tabs>
        <w:spacing w:after="90"/>
      </w:pPr>
      <w:r>
        <w:rPr>
          <w:rFonts w:ascii="Calibri" w:cs="Calibri" w:eastAsia="Calibri" w:hAnsi="Calibri"/>
          <w:b/>
          <w:bCs/>
          <w:color w:val="B8860B"/>
          <w:sz w:val="22"/>
          <w:szCs w:val="22"/>
        </w:rPr>
        <w:t xml:space="preserve">26.  </w:t>
      </w:r>
      <w:r>
        <w:rPr>
          <w:rFonts w:ascii="Calibri" w:cs="Calibri" w:eastAsia="Calibri" w:hAnsi="Calibri"/>
          <w:color w:val="0E1F30"/>
          <w:sz w:val="22"/>
          <w:szCs w:val="22"/>
        </w:rPr>
        <w:t xml:space="preserve">Implementation roadmap</w:t>
      </w:r>
    </w:p>
    <w:p>
      <w:pPr>
        <w:tabs>
          <w:tab w:val="right" w:pos="9026" w:leader="dot"/>
        </w:tabs>
        <w:spacing w:after="90"/>
      </w:pPr>
      <w:r>
        <w:rPr>
          <w:rFonts w:ascii="Calibri" w:cs="Calibri" w:eastAsia="Calibri" w:hAnsi="Calibri"/>
          <w:b/>
          <w:bCs/>
          <w:color w:val="B8860B"/>
          <w:sz w:val="22"/>
          <w:szCs w:val="22"/>
        </w:rPr>
        <w:t xml:space="preserve">27.  </w:t>
      </w:r>
      <w:r>
        <w:rPr>
          <w:rFonts w:ascii="Calibri" w:cs="Calibri" w:eastAsia="Calibri" w:hAnsi="Calibri"/>
          <w:color w:val="0E1F30"/>
          <w:sz w:val="22"/>
          <w:szCs w:val="22"/>
        </w:rPr>
        <w:t xml:space="preserve">Monitoring &amp; evaluation framework</w:t>
      </w:r>
    </w:p>
    <w:p>
      <w:pPr>
        <w:tabs>
          <w:tab w:val="right" w:pos="9026" w:leader="dot"/>
        </w:tabs>
        <w:spacing w:after="90"/>
      </w:pPr>
      <w:r>
        <w:rPr>
          <w:rFonts w:ascii="Calibri" w:cs="Calibri" w:eastAsia="Calibri" w:hAnsi="Calibri"/>
          <w:b/>
          <w:bCs/>
          <w:color w:val="B8860B"/>
          <w:sz w:val="22"/>
          <w:szCs w:val="22"/>
        </w:rPr>
        <w:t xml:space="preserve">28.  </w:t>
      </w:r>
      <w:r>
        <w:rPr>
          <w:rFonts w:ascii="Calibri" w:cs="Calibri" w:eastAsia="Calibri" w:hAnsi="Calibri"/>
          <w:color w:val="0E1F30"/>
          <w:sz w:val="22"/>
          <w:szCs w:val="22"/>
        </w:rPr>
        <w:t xml:space="preserve">Expected outcomes</w:t>
      </w:r>
    </w:p>
    <w:p>
      <w:pPr>
        <w:tabs>
          <w:tab w:val="right" w:pos="9026" w:leader="dot"/>
        </w:tabs>
        <w:spacing w:after="90"/>
      </w:pPr>
      <w:r>
        <w:rPr>
          <w:rFonts w:ascii="Calibri" w:cs="Calibri" w:eastAsia="Calibri" w:hAnsi="Calibri"/>
          <w:b/>
          <w:bCs/>
          <w:color w:val="B8860B"/>
          <w:sz w:val="22"/>
          <w:szCs w:val="22"/>
        </w:rPr>
        <w:t xml:space="preserve">29.  </w:t>
      </w:r>
      <w:r>
        <w:rPr>
          <w:rFonts w:ascii="Calibri" w:cs="Calibri" w:eastAsia="Calibri" w:hAnsi="Calibri"/>
          <w:color w:val="0E1F30"/>
          <w:sz w:val="22"/>
          <w:szCs w:val="22"/>
        </w:rPr>
        <w:t xml:space="preserve">Strategic national impact</w:t>
      </w:r>
    </w:p>
    <w:p>
      <w:pPr>
        <w:tabs>
          <w:tab w:val="right" w:pos="9026" w:leader="dot"/>
        </w:tabs>
        <w:spacing w:after="90"/>
      </w:pPr>
      <w:r>
        <w:rPr>
          <w:rFonts w:ascii="Calibri" w:cs="Calibri" w:eastAsia="Calibri" w:hAnsi="Calibri"/>
          <w:b/>
          <w:bCs/>
          <w:color w:val="B8860B"/>
          <w:sz w:val="22"/>
          <w:szCs w:val="22"/>
        </w:rPr>
        <w:t xml:space="preserve">30.  </w:t>
      </w:r>
      <w:r>
        <w:rPr>
          <w:rFonts w:ascii="Calibri" w:cs="Calibri" w:eastAsia="Calibri" w:hAnsi="Calibri"/>
          <w:color w:val="0E1F30"/>
          <w:sz w:val="22"/>
          <w:szCs w:val="22"/>
        </w:rPr>
        <w:t xml:space="preserve">Why frampol africa</w:t>
      </w:r>
    </w:p>
    <w:p>
      <w:pPr>
        <w:tabs>
          <w:tab w:val="right" w:pos="9026" w:leader="dot"/>
        </w:tabs>
        <w:spacing w:after="90"/>
      </w:pPr>
      <w:r>
        <w:rPr>
          <w:rFonts w:ascii="Calibri" w:cs="Calibri" w:eastAsia="Calibri" w:hAnsi="Calibri"/>
          <w:b/>
          <w:bCs/>
          <w:color w:val="B8860B"/>
          <w:sz w:val="22"/>
          <w:szCs w:val="22"/>
        </w:rPr>
        <w:t xml:space="preserve">31.  </w:t>
      </w:r>
      <w:r>
        <w:rPr>
          <w:rFonts w:ascii="Calibri" w:cs="Calibri" w:eastAsia="Calibri" w:hAnsi="Calibri"/>
          <w:color w:val="0E1F30"/>
          <w:sz w:val="22"/>
          <w:szCs w:val="22"/>
        </w:rPr>
        <w:t xml:space="preserve">Conclusion</w:t>
      </w:r>
    </w:p>
    <w:p>
      <w:pPr>
        <w:tabs>
          <w:tab w:val="right" w:pos="9026" w:leader="dot"/>
        </w:tabs>
        <w:spacing w:after="90"/>
      </w:pPr>
      <w:r>
        <w:rPr>
          <w:rFonts w:ascii="Calibri" w:cs="Calibri" w:eastAsia="Calibri" w:hAnsi="Calibri"/>
          <w:b/>
          <w:bCs/>
          <w:color w:val="B8860B"/>
          <w:sz w:val="22"/>
          <w:szCs w:val="22"/>
        </w:rPr>
        <w:t xml:space="preserve">32.  </w:t>
      </w:r>
      <w:r>
        <w:rPr>
          <w:rFonts w:ascii="Calibri" w:cs="Calibri" w:eastAsia="Calibri" w:hAnsi="Calibri"/>
          <w:color w:val="0E1F30"/>
          <w:sz w:val="22"/>
          <w:szCs w:val="22"/>
        </w:rPr>
        <w:t xml:space="preserve">Policy recommendation</w:t>
      </w:r>
    </w:p>
    <w:p>
      <w:r>
        <w:br w:type="page"/>
      </w:r>
    </w:p>
    <w:p>
      <w:pPr>
        <w:pStyle w:val="Heading1"/>
        <w:pBdr>
          <w:bottom w:val="single" w:color="B8860B" w:sz="6" w:space="4"/>
        </w:pBdr>
        <w:spacing w:after="200" w:before="420"/>
      </w:pPr>
      <w:r>
        <w:rPr>
          <w:rFonts w:ascii="Cambria" w:cs="Cambria" w:eastAsia="Cambria" w:hAnsi="Cambria"/>
          <w:b/>
          <w:bCs/>
          <w:color w:val="B8860B"/>
        </w:rPr>
        <w:t xml:space="preserve">1.  </w:t>
      </w:r>
      <w:r>
        <w:rPr>
          <w:rFonts w:ascii="Cambria" w:cs="Cambria" w:eastAsia="Cambria" w:hAnsi="Cambria"/>
          <w:b/>
          <w:bCs/>
          <w:color w:val="17324D"/>
        </w:rPr>
        <w:t xml:space="preserve">EXECUTIVE SUMMARY</w:t>
      </w:r>
    </w:p>
    <w:p>
      <w:pPr>
        <w:spacing w:after="180" w:line="288"/>
        <w:jc w:val="both"/>
      </w:pPr>
      <w:r>
        <w:rPr>
          <w:rFonts w:ascii="Calibri" w:cs="Calibri" w:eastAsia="Calibri" w:hAnsi="Calibri"/>
          <w:b/>
          <w:bCs/>
          <w:color w:val="0E1F30"/>
          <w:sz w:val="22"/>
          <w:szCs w:val="22"/>
        </w:rPr>
        <w:t xml:space="preserve">This document sets out an expanded, high-level proposal for a National Public-Private Partnership (PPP) between the Government of Zimbabwe and Frampol Africa for the delivery of independent cybersecurity, artificial intelligence (AI) governance, and digital assurance services across the public sector.</w:t>
      </w:r>
    </w:p>
    <w:p>
      <w:pPr>
        <w:spacing w:after="160" w:line="288"/>
        <w:jc w:val="both"/>
      </w:pPr>
      <w:r>
        <w:rPr>
          <w:rFonts w:ascii="Calibri" w:cs="Calibri" w:eastAsia="Calibri" w:hAnsi="Calibri"/>
          <w:color w:val="3B3B3B"/>
          <w:sz w:val="22"/>
          <w:szCs w:val="22"/>
        </w:rPr>
        <w:t xml:space="preserve">The Partnership is modelled on proven European frameworks — including the United Kingdom’s GovAssure regime and the European Union’s ENISA public-private cooperation model — adapted to Zimbabwe’s regulatory environment, fiscal constraints, and institutional structure. It leverages independent private-sector expertise to assess, certify, and continuously assure government digital systems, without government having to build this specialist capability internally from a standing start.</w:t>
      </w:r>
    </w:p>
    <w:p>
      <w:pPr>
        <w:spacing w:after="160" w:line="288"/>
        <w:jc w:val="both"/>
      </w:pPr>
      <w:r>
        <w:rPr>
          <w:rFonts w:ascii="Calibri" w:cs="Calibri" w:eastAsia="Calibri" w:hAnsi="Calibri"/>
          <w:color w:val="3B3B3B"/>
          <w:sz w:val="22"/>
          <w:szCs w:val="22"/>
        </w:rPr>
        <w:t xml:space="preserve">Unlike conventional ICT PPPs, this model deliberately excludes infrastructure ownership, system hosting, or data custody by the private partner. Frampol Africa’s role is strictly one of independent assurance, technical advisory, and regulatory oversight support — a design choice that removes conflict-of-interest risk and keeps sovereign control of data and infrastructure fully in government hands.</w:t>
      </w:r>
    </w:p>
    <w:p>
      <w:pPr>
        <w:spacing w:after="160" w:line="288"/>
        <w:jc w:val="both"/>
      </w:pPr>
      <w:r>
        <w:rPr>
          <w:rFonts w:ascii="Calibri" w:cs="Calibri" w:eastAsia="Calibri" w:hAnsi="Calibri"/>
          <w:color w:val="3B3B3B"/>
          <w:sz w:val="22"/>
          <w:szCs w:val="22"/>
        </w:rPr>
        <w:t xml:space="preserve">The proposed annual programme value is approximately USD 1.7 million, structured across three public-sector segments: all Government Ministries (USD 1,000,000), the Postal and Telecommunications Regulatory Authority of Zimbabwe / POTRAZ (USD 300,000), and the Judicial Service Commission (USD 170,000), with USD 200,000 allocated to additional cross-cutting services such as AI governance advisory and incident-response retainer capacity.</w:t>
      </w:r>
    </w:p>
    <w:p>
      <w:pPr>
        <w:spacing w:after="160" w:line="288"/>
        <w:jc w:val="both"/>
      </w:pPr>
      <w:r>
        <w:rPr>
          <w:rFonts w:ascii="Calibri" w:cs="Calibri" w:eastAsia="Calibri" w:hAnsi="Calibri"/>
          <w:color w:val="3B3B3B"/>
          <w:sz w:val="22"/>
          <w:szCs w:val="22"/>
        </w:rPr>
        <w:t xml:space="preserve">Section 12 below walks through a concrete, illustrative example of how an engagement runs end-to-end for a single Ministry, and Section 20 sets out the benefits of the Partnership broken down by stakeholder group, so that the value case is tangible rather than abstract.</w:t>
      </w:r>
    </w:p>
    <w:p>
      <w:pPr>
        <w:pStyle w:val="Heading1"/>
        <w:pBdr>
          <w:bottom w:val="single" w:color="B8860B" w:sz="6" w:space="4"/>
        </w:pBdr>
        <w:spacing w:after="200" w:before="420"/>
      </w:pPr>
      <w:r>
        <w:rPr>
          <w:rFonts w:ascii="Cambria" w:cs="Cambria" w:eastAsia="Cambria" w:hAnsi="Cambria"/>
          <w:b/>
          <w:bCs/>
          <w:color w:val="B8860B"/>
        </w:rPr>
        <w:t xml:space="preserve">2.  </w:t>
      </w:r>
      <w:r>
        <w:rPr>
          <w:rFonts w:ascii="Cambria" w:cs="Cambria" w:eastAsia="Cambria" w:hAnsi="Cambria"/>
          <w:b/>
          <w:bCs/>
          <w:color w:val="17324D"/>
        </w:rPr>
        <w:t xml:space="preserve">GLOBAL CONTEXT &amp; CYBERSECURITY LANDSCAPE</w:t>
      </w:r>
    </w:p>
    <w:p>
      <w:pPr>
        <w:spacing w:after="160" w:line="288"/>
        <w:jc w:val="both"/>
      </w:pPr>
      <w:r>
        <w:rPr>
          <w:rFonts w:ascii="Calibri" w:cs="Calibri" w:eastAsia="Calibri" w:hAnsi="Calibri"/>
          <w:color w:val="3B3B3B"/>
          <w:sz w:val="22"/>
          <w:szCs w:val="22"/>
        </w:rPr>
        <w:t xml:space="preserve">Cybersecurity threats are escalating worldwide, driven by accelerating digital transformation, mass migration to cloud infrastructure, and the emergence of AI-enabled attack techniques that lower the cost and skill threshold for sophisticated intrusions.</w:t>
      </w:r>
    </w:p>
    <w:p>
      <w:pPr>
        <w:spacing w:after="160" w:line="288"/>
        <w:jc w:val="both"/>
      </w:pPr>
      <w:r>
        <w:rPr>
          <w:rFonts w:ascii="Calibri" w:cs="Calibri" w:eastAsia="Calibri" w:hAnsi="Calibri"/>
          <w:color w:val="3B3B3B"/>
          <w:sz w:val="22"/>
          <w:szCs w:val="22"/>
        </w:rPr>
        <w:t xml:space="preserve">According to INTERPOL, cybercrime is now one of the fastest-growing categories of transnational threat. Generative AI is increasingly used by threat actors to automate phishing campaigns at scale, generate convincing deepfake audio and video for fraud and disinformation, and enhance the sophistication and success rate of social-engineering and malware-based attacks.</w:t>
      </w:r>
    </w:p>
    <w:p>
      <w:pPr>
        <w:spacing w:after="160" w:line="288"/>
        <w:jc w:val="both"/>
      </w:pPr>
      <w:r>
        <w:rPr>
          <w:rFonts w:ascii="Calibri" w:cs="Calibri" w:eastAsia="Calibri" w:hAnsi="Calibri"/>
          <w:color w:val="3B3B3B"/>
          <w:sz w:val="22"/>
          <w:szCs w:val="22"/>
        </w:rPr>
        <w:t xml:space="preserve">Governments are disproportionately exposed to this evolving threat landscape because they combine three risk multipliers: legacy systems that were never designed for today’s threat environment, rapid digitisation programmes that outpace security controls, and custody of high-value citizen, financial, and national-security data that makes them attractive targets for both criminal and state-sponsored actors.</w:t>
      </w:r>
    </w:p>
    <w:p>
      <w:pPr>
        <w:pBdr>
          <w:left w:val="single" w:color="B8860B" w:sz="24" w:space="8"/>
        </w:pBdr>
        <w:shd w:fill="F4E9D8" w:val="clear"/>
        <w:spacing w:after="220" w:before="120"/>
        <w:ind w:left="40"/>
      </w:pPr>
      <w:r>
        <w:rPr>
          <w:rFonts w:ascii="Calibri" w:cs="Calibri" w:eastAsia="Calibri" w:hAnsi="Calibri"/>
          <w:i/>
          <w:iCs/>
          <w:color w:val="0E1F30"/>
          <w:sz w:val="22"/>
          <w:szCs w:val="22"/>
        </w:rPr>
        <w:t xml:space="preserve">The strategic implication is clear: governments cannot out-source risk, but they can and should out-source independent, specialist assurance — exactly the model this Partnership proposes.</w:t>
      </w:r>
    </w:p>
    <w:p>
      <w:pPr>
        <w:pStyle w:val="Heading1"/>
        <w:pBdr>
          <w:bottom w:val="single" w:color="B8860B" w:sz="6" w:space="4"/>
        </w:pBdr>
        <w:spacing w:after="200" w:before="420"/>
      </w:pPr>
      <w:r>
        <w:rPr>
          <w:rFonts w:ascii="Cambria" w:cs="Cambria" w:eastAsia="Cambria" w:hAnsi="Cambria"/>
          <w:b/>
          <w:bCs/>
          <w:color w:val="B8860B"/>
        </w:rPr>
        <w:t xml:space="preserve">3.  </w:t>
      </w:r>
      <w:r>
        <w:rPr>
          <w:rFonts w:ascii="Cambria" w:cs="Cambria" w:eastAsia="Cambria" w:hAnsi="Cambria"/>
          <w:b/>
          <w:bCs/>
          <w:color w:val="17324D"/>
        </w:rPr>
        <w:t xml:space="preserve">AFRICAN &amp; REGIONAL CONTEXT</w:t>
      </w:r>
    </w:p>
    <w:p>
      <w:pPr>
        <w:spacing w:after="160" w:line="288"/>
        <w:jc w:val="both"/>
      </w:pPr>
      <w:r>
        <w:rPr>
          <w:rFonts w:ascii="Calibri" w:cs="Calibri" w:eastAsia="Calibri" w:hAnsi="Calibri"/>
          <w:color w:val="3B3B3B"/>
          <w:sz w:val="22"/>
          <w:szCs w:val="22"/>
        </w:rPr>
        <w:t xml:space="preserve">Africa faces a distinct set of structural cybersecurity challenges that differ in character from those of mature markets: a limited pool of skilled cybersecurity professionals relative to the scale of digital adoption, rapid rollout of digital government and financial services without commensurate investment in controls, and fragmented, unevenly enforced regulatory frameworks across jurisdictions.</w:t>
      </w:r>
    </w:p>
    <w:p>
      <w:pPr>
        <w:spacing w:after="160" w:line="288"/>
        <w:jc w:val="both"/>
      </w:pPr>
      <w:r>
        <w:rPr>
          <w:rFonts w:ascii="Calibri" w:cs="Calibri" w:eastAsia="Calibri" w:hAnsi="Calibri"/>
          <w:color w:val="3B3B3B"/>
          <w:sz w:val="22"/>
          <w:szCs w:val="22"/>
        </w:rPr>
        <w:t xml:space="preserve">Zimbabwe is in the midst of a significant digital transition, characterised by an active e-government transformation agenda, growing reliance on digital platforms for citizen services and revenue collection, and continued expansion of ICT infrastructure across ministries and regulated sectors.</w:t>
      </w:r>
    </w:p>
    <w:p>
      <w:pPr>
        <w:spacing w:after="160" w:line="288"/>
        <w:jc w:val="both"/>
      </w:pPr>
      <w:r>
        <w:rPr>
          <w:rFonts w:ascii="Calibri" w:cs="Calibri" w:eastAsia="Calibri" w:hAnsi="Calibri"/>
          <w:color w:val="3B3B3B"/>
          <w:sz w:val="22"/>
          <w:szCs w:val="22"/>
        </w:rPr>
        <w:t xml:space="preserve">However, the assurance layer — the independent testing, certification, and oversight mechanisms that give citizens, investors, and regulators confidence that digital systems are actually secure — remains underdeveloped relative to the pace of that digitisation. This gap is precisely the opportunity the proposed PPP is designed to close.</w:t>
      </w:r>
    </w:p>
    <w:p>
      <w:pPr>
        <w:pStyle w:val="Heading1"/>
        <w:pBdr>
          <w:bottom w:val="single" w:color="B8860B" w:sz="6" w:space="4"/>
        </w:pBdr>
        <w:spacing w:after="200" w:before="420"/>
      </w:pPr>
      <w:r>
        <w:rPr>
          <w:rFonts w:ascii="Cambria" w:cs="Cambria" w:eastAsia="Cambria" w:hAnsi="Cambria"/>
          <w:b/>
          <w:bCs/>
          <w:color w:val="B8860B"/>
        </w:rPr>
        <w:t xml:space="preserve">4.  </w:t>
      </w:r>
      <w:r>
        <w:rPr>
          <w:rFonts w:ascii="Cambria" w:cs="Cambria" w:eastAsia="Cambria" w:hAnsi="Cambria"/>
          <w:b/>
          <w:bCs/>
          <w:color w:val="17324D"/>
        </w:rPr>
        <w:t xml:space="preserve">PROBLEM STATEMENT</w:t>
      </w:r>
    </w:p>
    <w:p>
      <w:pPr>
        <w:spacing w:after="160" w:line="288"/>
        <w:jc w:val="both"/>
      </w:pPr>
      <w:r>
        <w:rPr>
          <w:rFonts w:ascii="Calibri" w:cs="Calibri" w:eastAsia="Calibri" w:hAnsi="Calibri"/>
          <w:color w:val="3B3B3B"/>
          <w:sz w:val="22"/>
          <w:szCs w:val="22"/>
        </w:rPr>
        <w:t xml:space="preserve">Zimbabwe currently lacks several foundational elements of a mature digital assurance ecosystem:</w:t>
      </w:r>
    </w:p>
    <w:p>
      <w:pPr>
        <w:pStyle w:val="ListParagraph"/>
        <w:numPr>
          <w:ilvl w:val="0"/>
          <w:numId w:val="2"/>
        </w:numPr>
        <w:spacing w:after="80" w:line="276"/>
      </w:pPr>
      <w:r>
        <w:rPr>
          <w:rFonts w:ascii="Calibri" w:cs="Calibri" w:eastAsia="Calibri" w:hAnsi="Calibri"/>
          <w:color w:val="3B3B3B"/>
          <w:sz w:val="22"/>
          <w:szCs w:val="22"/>
        </w:rPr>
        <w:t xml:space="preserve">Independent cybersecurity assurance that sits outside the systems it reviews</w:t>
      </w:r>
    </w:p>
    <w:p>
      <w:pPr>
        <w:pStyle w:val="ListParagraph"/>
        <w:numPr>
          <w:ilvl w:val="0"/>
          <w:numId w:val="2"/>
        </w:numPr>
        <w:spacing w:after="80" w:line="276"/>
      </w:pPr>
      <w:r>
        <w:rPr>
          <w:rFonts w:ascii="Calibri" w:cs="Calibri" w:eastAsia="Calibri" w:hAnsi="Calibri"/>
          <w:color w:val="3B3B3B"/>
          <w:sz w:val="22"/>
          <w:szCs w:val="22"/>
        </w:rPr>
        <w:t xml:space="preserve">Standardised, enforced Vulnerability Assessment and Penetration Testing (VAPT) requirements across government systems</w:t>
      </w:r>
    </w:p>
    <w:p>
      <w:pPr>
        <w:pStyle w:val="ListParagraph"/>
        <w:numPr>
          <w:ilvl w:val="0"/>
          <w:numId w:val="2"/>
        </w:numPr>
        <w:spacing w:after="80" w:line="276"/>
      </w:pPr>
      <w:r>
        <w:rPr>
          <w:rFonts w:ascii="Calibri" w:cs="Calibri" w:eastAsia="Calibri" w:hAnsi="Calibri"/>
          <w:color w:val="3B3B3B"/>
          <w:sz w:val="22"/>
          <w:szCs w:val="22"/>
        </w:rPr>
        <w:t xml:space="preserve">Centralised data governance covering classification, flows, and sovereignty</w:t>
      </w:r>
    </w:p>
    <w:p>
      <w:pPr>
        <w:pStyle w:val="ListParagraph"/>
        <w:numPr>
          <w:ilvl w:val="0"/>
          <w:numId w:val="2"/>
        </w:numPr>
        <w:spacing w:after="80" w:line="276"/>
      </w:pPr>
      <w:r>
        <w:rPr>
          <w:rFonts w:ascii="Calibri" w:cs="Calibri" w:eastAsia="Calibri" w:hAnsi="Calibri"/>
          <w:color w:val="3B3B3B"/>
          <w:sz w:val="22"/>
          <w:szCs w:val="22"/>
        </w:rPr>
        <w:t xml:space="preserve">A structured AI risk-management framework for public-sector AI adoption</w:t>
      </w:r>
    </w:p>
    <w:p>
      <w:pPr>
        <w:pStyle w:val="ListParagraph"/>
        <w:numPr>
          <w:ilvl w:val="0"/>
          <w:numId w:val="2"/>
        </w:numPr>
        <w:spacing w:after="80" w:line="276"/>
      </w:pPr>
      <w:r>
        <w:rPr>
          <w:rFonts w:ascii="Calibri" w:cs="Calibri" w:eastAsia="Calibri" w:hAnsi="Calibri"/>
          <w:color w:val="3B3B3B"/>
          <w:sz w:val="22"/>
          <w:szCs w:val="22"/>
        </w:rPr>
        <w:t xml:space="preserve">Consistent technical oversight of ICT procurement to prevent avoidable security debt at the point of purchase</w:t>
      </w:r>
    </w:p>
    <w:p>
      <w:pPr>
        <w:spacing w:after="160" w:line="288"/>
        <w:jc w:val="both"/>
      </w:pPr>
      <w:r>
        <w:rPr>
          <w:rFonts w:ascii="Calibri" w:cs="Calibri" w:eastAsia="Calibri" w:hAnsi="Calibri"/>
          <w:color w:val="3B3B3B"/>
          <w:sz w:val="22"/>
          <w:szCs w:val="22"/>
        </w:rPr>
        <w:t xml:space="preserve">Left unaddressed, these gaps compound into three concrete costs: vulnerable government systems that are exposed to increasingly capable threat actors, inefficient ICT spending caused by the absence of independent technical scrutiny at procurement stage, and a rising cumulative exposure to cyber risk as digitisation continues to outpace assurance capacity.</w:t>
      </w:r>
    </w:p>
    <w:p>
      <w:pPr>
        <w:pStyle w:val="Heading1"/>
        <w:pBdr>
          <w:bottom w:val="single" w:color="B8860B" w:sz="6" w:space="4"/>
        </w:pBdr>
        <w:spacing w:after="200" w:before="420"/>
      </w:pPr>
      <w:r>
        <w:rPr>
          <w:rFonts w:ascii="Cambria" w:cs="Cambria" w:eastAsia="Cambria" w:hAnsi="Cambria"/>
          <w:b/>
          <w:bCs/>
          <w:color w:val="B8860B"/>
        </w:rPr>
        <w:t xml:space="preserve">5.  </w:t>
      </w:r>
      <w:r>
        <w:rPr>
          <w:rFonts w:ascii="Cambria" w:cs="Cambria" w:eastAsia="Cambria" w:hAnsi="Cambria"/>
          <w:b/>
          <w:bCs/>
          <w:color w:val="17324D"/>
        </w:rPr>
        <w:t xml:space="preserve">POLICY VISION &amp; OBJECTIVES</w:t>
      </w:r>
    </w:p>
    <w:p>
      <w:pPr>
        <w:pStyle w:val="Heading2"/>
        <w:spacing w:after="140" w:before="260"/>
      </w:pPr>
      <w:r>
        <w:rPr>
          <w:rFonts w:ascii="Cambria" w:cs="Cambria" w:eastAsia="Cambria" w:hAnsi="Cambria"/>
          <w:b/>
          <w:bCs/>
          <w:color w:val="17324D"/>
        </w:rPr>
        <w:t xml:space="preserve">Vision</w:t>
      </w:r>
    </w:p>
    <w:p>
      <w:pPr>
        <w:spacing w:after="180" w:line="288"/>
        <w:jc w:val="both"/>
      </w:pPr>
      <w:r>
        <w:rPr>
          <w:rFonts w:ascii="Calibri" w:cs="Calibri" w:eastAsia="Calibri" w:hAnsi="Calibri"/>
          <w:b/>
          <w:bCs/>
          <w:color w:val="0E1F30"/>
          <w:sz w:val="22"/>
          <w:szCs w:val="22"/>
        </w:rPr>
        <w:t xml:space="preserve">To establish Zimbabwe as a leader in secure, trusted digital governance in the Southern African region and on the continent.</w:t>
      </w:r>
    </w:p>
    <w:p>
      <w:pPr>
        <w:pStyle w:val="Heading2"/>
        <w:spacing w:after="140" w:before="260"/>
      </w:pPr>
      <w:r>
        <w:rPr>
          <w:rFonts w:ascii="Cambria" w:cs="Cambria" w:eastAsia="Cambria" w:hAnsi="Cambria"/>
          <w:b/>
          <w:bCs/>
          <w:color w:val="17324D"/>
        </w:rPr>
        <w:t xml:space="preserve">Objectives</w:t>
      </w:r>
    </w:p>
    <w:p>
      <w:pPr>
        <w:pStyle w:val="ListParagraph"/>
        <w:numPr>
          <w:ilvl w:val="0"/>
          <w:numId w:val="2"/>
        </w:numPr>
        <w:spacing w:after="80" w:line="276"/>
      </w:pPr>
      <w:r>
        <w:rPr>
          <w:rFonts w:ascii="Calibri" w:cs="Calibri" w:eastAsia="Calibri" w:hAnsi="Calibri"/>
          <w:color w:val="3B3B3B"/>
          <w:sz w:val="22"/>
          <w:szCs w:val="22"/>
        </w:rPr>
        <w:t xml:space="preserve">Ensure all government systems meet a defined, testable standard of cybersecurity</w:t>
      </w:r>
    </w:p>
    <w:p>
      <w:pPr>
        <w:pStyle w:val="ListParagraph"/>
        <w:numPr>
          <w:ilvl w:val="0"/>
          <w:numId w:val="2"/>
        </w:numPr>
        <w:spacing w:after="80" w:line="276"/>
      </w:pPr>
      <w:r>
        <w:rPr>
          <w:rFonts w:ascii="Calibri" w:cs="Calibri" w:eastAsia="Calibri" w:hAnsi="Calibri"/>
          <w:color w:val="3B3B3B"/>
          <w:sz w:val="22"/>
          <w:szCs w:val="22"/>
        </w:rPr>
        <w:t xml:space="preserve">Introduce genuinely independent technical oversight that operates outside departmental reporting lines</w:t>
      </w:r>
    </w:p>
    <w:p>
      <w:pPr>
        <w:pStyle w:val="ListParagraph"/>
        <w:numPr>
          <w:ilvl w:val="0"/>
          <w:numId w:val="2"/>
        </w:numPr>
        <w:spacing w:after="80" w:line="276"/>
      </w:pPr>
      <w:r>
        <w:rPr>
          <w:rFonts w:ascii="Calibri" w:cs="Calibri" w:eastAsia="Calibri" w:hAnsi="Calibri"/>
          <w:color w:val="3B3B3B"/>
          <w:sz w:val="22"/>
          <w:szCs w:val="22"/>
        </w:rPr>
        <w:t xml:space="preserve">Strengthen national cybersecurity posture through continuous, not point-in-time, assurance</w:t>
      </w:r>
    </w:p>
    <w:p>
      <w:pPr>
        <w:pStyle w:val="ListParagraph"/>
        <w:numPr>
          <w:ilvl w:val="0"/>
          <w:numId w:val="2"/>
        </w:numPr>
        <w:spacing w:after="80" w:line="276"/>
      </w:pPr>
      <w:r>
        <w:rPr>
          <w:rFonts w:ascii="Calibri" w:cs="Calibri" w:eastAsia="Calibri" w:hAnsi="Calibri"/>
          <w:color w:val="3B3B3B"/>
          <w:sz w:val="22"/>
          <w:szCs w:val="22"/>
        </w:rPr>
        <w:t xml:space="preserve">Enable the safe, governed adoption of AI across the public sector</w:t>
      </w:r>
    </w:p>
    <w:p>
      <w:pPr>
        <w:pStyle w:val="Heading1"/>
        <w:pBdr>
          <w:bottom w:val="single" w:color="B8860B" w:sz="6" w:space="4"/>
        </w:pBdr>
        <w:spacing w:after="200" w:before="420"/>
      </w:pPr>
      <w:r>
        <w:rPr>
          <w:rFonts w:ascii="Cambria" w:cs="Cambria" w:eastAsia="Cambria" w:hAnsi="Cambria"/>
          <w:b/>
          <w:bCs/>
          <w:color w:val="B8860B"/>
        </w:rPr>
        <w:t xml:space="preserve">6.  </w:t>
      </w:r>
      <w:r>
        <w:rPr>
          <w:rFonts w:ascii="Cambria" w:cs="Cambria" w:eastAsia="Cambria" w:hAnsi="Cambria"/>
          <w:b/>
          <w:bCs/>
          <w:color w:val="17324D"/>
        </w:rPr>
        <w:t xml:space="preserve">EUROPEAN &amp; GLOBAL PPP MODELS AND LESSONS</w:t>
      </w:r>
    </w:p>
    <w:p>
      <w:pPr>
        <w:pStyle w:val="Heading2"/>
        <w:spacing w:after="140" w:before="260"/>
      </w:pPr>
      <w:r>
        <w:rPr>
          <w:rFonts w:ascii="Cambria" w:cs="Cambria" w:eastAsia="Cambria" w:hAnsi="Cambria"/>
          <w:b/>
          <w:bCs/>
          <w:color w:val="17324D"/>
        </w:rPr>
        <w:t xml:space="preserve">6.1 United Kingdom — the GovAssure Model</w:t>
      </w:r>
    </w:p>
    <w:p>
      <w:pPr>
        <w:spacing w:after="160" w:line="288"/>
        <w:jc w:val="both"/>
      </w:pPr>
      <w:r>
        <w:rPr>
          <w:rFonts w:ascii="Calibri" w:cs="Calibri" w:eastAsia="Calibri" w:hAnsi="Calibri"/>
          <w:color w:val="3B3B3B"/>
          <w:sz w:val="22"/>
          <w:szCs w:val="22"/>
        </w:rPr>
        <w:t xml:space="preserve">GovAssure is the UK Government’s cross-departmental cyber-assurance scheme, run by the Government Security Group. It requires every central government department to undergo an independent, standardised assessment of its cyber resilience each year, delivered by accredited third-party assessors rather than by internal IT teams marking their own work. Results are reported centrally, creating comparable, government-wide visibility of risk for the first time.</w:t>
      </w:r>
    </w:p>
    <w:p>
      <w:pPr>
        <w:pStyle w:val="ListParagraph"/>
        <w:numPr>
          <w:ilvl w:val="0"/>
          <w:numId w:val="2"/>
        </w:numPr>
        <w:spacing w:after="80" w:line="276"/>
      </w:pPr>
      <w:r>
        <w:rPr>
          <w:rFonts w:ascii="Calibri" w:cs="Calibri" w:eastAsia="Calibri" w:hAnsi="Calibri"/>
          <w:color w:val="3B3B3B"/>
          <w:sz w:val="22"/>
          <w:szCs w:val="22"/>
        </w:rPr>
        <w:t xml:space="preserve">Independent, accredited cybersecurity assessors — not internal staff — conduct the reviews</w:t>
      </w:r>
    </w:p>
    <w:p>
      <w:pPr>
        <w:pStyle w:val="ListParagraph"/>
        <w:numPr>
          <w:ilvl w:val="0"/>
          <w:numId w:val="2"/>
        </w:numPr>
        <w:spacing w:after="80" w:line="276"/>
      </w:pPr>
      <w:r>
        <w:rPr>
          <w:rFonts w:ascii="Calibri" w:cs="Calibri" w:eastAsia="Calibri" w:hAnsi="Calibri"/>
          <w:color w:val="3B3B3B"/>
          <w:sz w:val="22"/>
          <w:szCs w:val="22"/>
        </w:rPr>
        <w:t xml:space="preserve">Mandatory, standardised annual system reviews across all departments</w:t>
      </w:r>
    </w:p>
    <w:p>
      <w:pPr>
        <w:pStyle w:val="ListParagraph"/>
        <w:numPr>
          <w:ilvl w:val="0"/>
          <w:numId w:val="2"/>
        </w:numPr>
        <w:spacing w:after="80" w:line="276"/>
      </w:pPr>
      <w:r>
        <w:rPr>
          <w:rFonts w:ascii="Calibri" w:cs="Calibri" w:eastAsia="Calibri" w:hAnsi="Calibri"/>
          <w:color w:val="3B3B3B"/>
          <w:sz w:val="22"/>
          <w:szCs w:val="22"/>
        </w:rPr>
        <w:t xml:space="preserve">Central reporting that gives government a single, comparable view of risk</w:t>
      </w:r>
    </w:p>
    <w:p>
      <w:pPr>
        <w:pStyle w:val="Heading2"/>
        <w:spacing w:after="140" w:before="260"/>
      </w:pPr>
      <w:r>
        <w:rPr>
          <w:rFonts w:ascii="Cambria" w:cs="Cambria" w:eastAsia="Cambria" w:hAnsi="Cambria"/>
          <w:b/>
          <w:bCs/>
          <w:color w:val="17324D"/>
        </w:rPr>
        <w:t xml:space="preserve">6.2 European Union — the ENISA PPP Framework</w:t>
      </w:r>
    </w:p>
    <w:p>
      <w:pPr>
        <w:spacing w:after="160" w:line="288"/>
        <w:jc w:val="both"/>
      </w:pPr>
      <w:r>
        <w:rPr>
          <w:rFonts w:ascii="Calibri" w:cs="Calibri" w:eastAsia="Calibri" w:hAnsi="Calibri"/>
          <w:color w:val="3B3B3B"/>
          <w:sz w:val="22"/>
          <w:szCs w:val="22"/>
        </w:rPr>
        <w:t xml:space="preserve">The European Union Agency for Cybersecurity (ENISA) operates structured public-private cooperation mechanisms that pool threat intelligence and technical expertise between national authorities and accredited private-sector partners, underpinning the EU’s broader cybersecurity resilience strategy under the NIS2 Directive.</w:t>
      </w:r>
    </w:p>
    <w:p>
      <w:pPr>
        <w:pStyle w:val="ListParagraph"/>
        <w:numPr>
          <w:ilvl w:val="0"/>
          <w:numId w:val="2"/>
        </w:numPr>
        <w:spacing w:after="80" w:line="276"/>
      </w:pPr>
      <w:r>
        <w:rPr>
          <w:rFonts w:ascii="Calibri" w:cs="Calibri" w:eastAsia="Calibri" w:hAnsi="Calibri"/>
          <w:color w:val="3B3B3B"/>
          <w:sz w:val="22"/>
          <w:szCs w:val="22"/>
        </w:rPr>
        <w:t xml:space="preserve">Structured public-private collaboration rather than ad hoc engagement</w:t>
      </w:r>
    </w:p>
    <w:p>
      <w:pPr>
        <w:pStyle w:val="ListParagraph"/>
        <w:numPr>
          <w:ilvl w:val="0"/>
          <w:numId w:val="2"/>
        </w:numPr>
        <w:spacing w:after="80" w:line="276"/>
      </w:pPr>
      <w:r>
        <w:rPr>
          <w:rFonts w:ascii="Calibri" w:cs="Calibri" w:eastAsia="Calibri" w:hAnsi="Calibri"/>
          <w:color w:val="3B3B3B"/>
          <w:sz w:val="22"/>
          <w:szCs w:val="22"/>
        </w:rPr>
        <w:t xml:space="preserve">Explicit focus on trust-building and resilience, not just compliance ticking</w:t>
      </w:r>
    </w:p>
    <w:p>
      <w:pPr>
        <w:pStyle w:val="ListParagraph"/>
        <w:numPr>
          <w:ilvl w:val="0"/>
          <w:numId w:val="2"/>
        </w:numPr>
        <w:spacing w:after="80" w:line="276"/>
      </w:pPr>
      <w:r>
        <w:rPr>
          <w:rFonts w:ascii="Calibri" w:cs="Calibri" w:eastAsia="Calibri" w:hAnsi="Calibri"/>
          <w:color w:val="3B3B3B"/>
          <w:sz w:val="22"/>
          <w:szCs w:val="22"/>
        </w:rPr>
        <w:t xml:space="preserve">Shared threat intelligence that benefits both public and private participants</w:t>
      </w:r>
    </w:p>
    <w:p>
      <w:pPr>
        <w:pStyle w:val="Heading2"/>
        <w:spacing w:after="140" w:before="260"/>
      </w:pPr>
      <w:r>
        <w:rPr>
          <w:rFonts w:ascii="Cambria" w:cs="Cambria" w:eastAsia="Cambria" w:hAnsi="Cambria"/>
          <w:b/>
          <w:bCs/>
          <w:color w:val="17324D"/>
        </w:rPr>
        <w:t xml:space="preserve">Key Lessons for Zimbabwe</w:t>
      </w:r>
    </w:p>
    <w:p>
      <w:pPr>
        <w:pStyle w:val="ListParagraph"/>
        <w:numPr>
          <w:ilvl w:val="0"/>
          <w:numId w:val="2"/>
        </w:numPr>
        <w:spacing w:after="80" w:line="276"/>
      </w:pPr>
      <w:r>
        <w:rPr>
          <w:rFonts w:ascii="Calibri" w:cs="Calibri" w:eastAsia="Calibri" w:hAnsi="Calibri"/>
          <w:color w:val="3B3B3B"/>
          <w:sz w:val="22"/>
          <w:szCs w:val="22"/>
        </w:rPr>
        <w:t xml:space="preserve">Independence is critical — assurance loses credibility the moment the assessor reports to the entity it is assessing</w:t>
      </w:r>
    </w:p>
    <w:p>
      <w:pPr>
        <w:pStyle w:val="ListParagraph"/>
        <w:numPr>
          <w:ilvl w:val="0"/>
          <w:numId w:val="2"/>
        </w:numPr>
        <w:spacing w:after="80" w:line="276"/>
      </w:pPr>
      <w:r>
        <w:rPr>
          <w:rFonts w:ascii="Calibri" w:cs="Calibri" w:eastAsia="Calibri" w:hAnsi="Calibri"/>
          <w:color w:val="3B3B3B"/>
          <w:sz w:val="22"/>
          <w:szCs w:val="22"/>
        </w:rPr>
        <w:t xml:space="preserve">Assurance must be continuous, not a once-off audit that is filed and forgotten</w:t>
      </w:r>
    </w:p>
    <w:p>
      <w:pPr>
        <w:pStyle w:val="ListParagraph"/>
        <w:numPr>
          <w:ilvl w:val="0"/>
          <w:numId w:val="2"/>
        </w:numPr>
        <w:spacing w:after="80" w:line="276"/>
      </w:pPr>
      <w:r>
        <w:rPr>
          <w:rFonts w:ascii="Calibri" w:cs="Calibri" w:eastAsia="Calibri" w:hAnsi="Calibri"/>
          <w:color w:val="3B3B3B"/>
          <w:sz w:val="22"/>
          <w:szCs w:val="22"/>
        </w:rPr>
        <w:t xml:space="preserve">Narrow, skills-based PPPs — focused on assurance rather than infrastructure — are demonstrably more effective and lower-risk than large infrastructure PPPs</w:t>
      </w:r>
    </w:p>
    <w:p>
      <w:pPr>
        <w:pStyle w:val="Heading1"/>
        <w:pBdr>
          <w:bottom w:val="single" w:color="B8860B" w:sz="6" w:space="4"/>
        </w:pBdr>
        <w:spacing w:after="200" w:before="420"/>
      </w:pPr>
      <w:r>
        <w:rPr>
          <w:rFonts w:ascii="Cambria" w:cs="Cambria" w:eastAsia="Cambria" w:hAnsi="Cambria"/>
          <w:b/>
          <w:bCs/>
          <w:color w:val="B8860B"/>
        </w:rPr>
        <w:t xml:space="preserve">7.  </w:t>
      </w:r>
      <w:r>
        <w:rPr>
          <w:rFonts w:ascii="Cambria" w:cs="Cambria" w:eastAsia="Cambria" w:hAnsi="Cambria"/>
          <w:b/>
          <w:bCs/>
          <w:color w:val="17324D"/>
        </w:rPr>
        <w:t xml:space="preserve">PROPOSED PPP MODEL (ZIMBABWE)</w:t>
      </w:r>
    </w:p>
    <w:p>
      <w:pPr>
        <w:pStyle w:val="Heading2"/>
        <w:spacing w:after="140" w:before="260"/>
      </w:pPr>
      <w:r>
        <w:rPr>
          <w:rFonts w:ascii="Cambria" w:cs="Cambria" w:eastAsia="Cambria" w:hAnsi="Cambria"/>
          <w:b/>
          <w:bCs/>
          <w:color w:val="17324D"/>
        </w:rPr>
        <w:t xml:space="preserve">Model Type</w:t>
      </w:r>
    </w:p>
    <w:p>
      <w:pPr>
        <w:spacing w:after="180" w:line="288"/>
        <w:jc w:val="both"/>
      </w:pPr>
      <w:r>
        <w:rPr>
          <w:rFonts w:ascii="Calibri" w:cs="Calibri" w:eastAsia="Calibri" w:hAnsi="Calibri"/>
          <w:b/>
          <w:bCs/>
          <w:color w:val="0E1F30"/>
          <w:sz w:val="22"/>
          <w:szCs w:val="22"/>
        </w:rPr>
        <w:t xml:space="preserve">Independent Digital Assurance PPP.</w:t>
      </w:r>
    </w:p>
    <w:p>
      <w:pPr>
        <w:pStyle w:val="Heading2"/>
        <w:spacing w:after="140" w:before="260"/>
      </w:pPr>
      <w:r>
        <w:rPr>
          <w:rFonts w:ascii="Cambria" w:cs="Cambria" w:eastAsia="Cambria" w:hAnsi="Cambria"/>
          <w:b/>
          <w:bCs/>
          <w:color w:val="17324D"/>
        </w:rPr>
        <w:t xml:space="preserve">Key Characteristics</w:t>
      </w:r>
    </w:p>
    <w:p>
      <w:pPr>
        <w:pStyle w:val="ListParagraph"/>
        <w:numPr>
          <w:ilvl w:val="0"/>
          <w:numId w:val="2"/>
        </w:numPr>
        <w:spacing w:after="80" w:line="276"/>
      </w:pPr>
      <w:r>
        <w:rPr>
          <w:rFonts w:ascii="Calibri" w:cs="Calibri" w:eastAsia="Calibri" w:hAnsi="Calibri"/>
          <w:color w:val="3B3B3B"/>
          <w:sz w:val="22"/>
          <w:szCs w:val="22"/>
        </w:rPr>
        <w:t xml:space="preserve">Skills-driven — built around specialist human expertise, not capital infrastructure</w:t>
      </w:r>
    </w:p>
    <w:p>
      <w:pPr>
        <w:pStyle w:val="ListParagraph"/>
        <w:numPr>
          <w:ilvl w:val="0"/>
          <w:numId w:val="2"/>
        </w:numPr>
        <w:spacing w:after="80" w:line="276"/>
      </w:pPr>
      <w:r>
        <w:rPr>
          <w:rFonts w:ascii="Calibri" w:cs="Calibri" w:eastAsia="Calibri" w:hAnsi="Calibri"/>
          <w:color w:val="3B3B3B"/>
          <w:sz w:val="22"/>
          <w:szCs w:val="22"/>
        </w:rPr>
        <w:t xml:space="preserve">Advisory-focused — Frampol Africa advises and certifies; government retains all operational and decision-making authority</w:t>
      </w:r>
    </w:p>
    <w:p>
      <w:pPr>
        <w:pStyle w:val="ListParagraph"/>
        <w:numPr>
          <w:ilvl w:val="0"/>
          <w:numId w:val="2"/>
        </w:numPr>
        <w:spacing w:after="80" w:line="276"/>
      </w:pPr>
      <w:r>
        <w:rPr>
          <w:rFonts w:ascii="Calibri" w:cs="Calibri" w:eastAsia="Calibri" w:hAnsi="Calibri"/>
          <w:color w:val="3B3B3B"/>
          <w:sz w:val="22"/>
          <w:szCs w:val="22"/>
        </w:rPr>
        <w:t xml:space="preserve">National in coverage — spans ministries, the regulator, and the judiciary under one coherent framework</w:t>
      </w:r>
    </w:p>
    <w:p>
      <w:pPr>
        <w:pStyle w:val="ListParagraph"/>
        <w:numPr>
          <w:ilvl w:val="0"/>
          <w:numId w:val="2"/>
        </w:numPr>
        <w:spacing w:after="80" w:line="276"/>
      </w:pPr>
      <w:r>
        <w:rPr>
          <w:rFonts w:ascii="Calibri" w:cs="Calibri" w:eastAsia="Calibri" w:hAnsi="Calibri"/>
          <w:color w:val="3B3B3B"/>
          <w:sz w:val="22"/>
          <w:szCs w:val="22"/>
        </w:rPr>
        <w:t xml:space="preserve">Regulator-integrated — works with, and strengthens, POTRAZ rather than operating in parallel to it</w:t>
      </w:r>
    </w:p>
    <w:p>
      <w:pPr>
        <w:pStyle w:val="Heading1"/>
        <w:pBdr>
          <w:bottom w:val="single" w:color="B8860B" w:sz="6" w:space="4"/>
        </w:pBdr>
        <w:spacing w:after="200" w:before="420"/>
      </w:pPr>
      <w:r>
        <w:rPr>
          <w:rFonts w:ascii="Cambria" w:cs="Cambria" w:eastAsia="Cambria" w:hAnsi="Cambria"/>
          <w:b/>
          <w:bCs/>
          <w:color w:val="B8860B"/>
        </w:rPr>
        <w:t xml:space="preserve">8.  </w:t>
      </w:r>
      <w:r>
        <w:rPr>
          <w:rFonts w:ascii="Cambria" w:cs="Cambria" w:eastAsia="Cambria" w:hAnsi="Cambria"/>
          <w:b/>
          <w:bCs/>
          <w:color w:val="17324D"/>
        </w:rPr>
        <w:t xml:space="preserve">INSTITUTIONAL FRAMEWORK</w:t>
      </w:r>
    </w:p>
    <w:p>
      <w:pPr>
        <w:pStyle w:val="Heading3"/>
        <w:spacing w:after="100" w:before="200"/>
      </w:pPr>
      <w:r>
        <w:rPr>
          <w:rFonts w:ascii="Cambria" w:cs="Cambria" w:eastAsia="Cambria" w:hAnsi="Cambria"/>
          <w:b/>
          <w:bCs/>
          <w:i/>
          <w:iCs/>
          <w:color w:val="0E1F30"/>
        </w:rPr>
        <w:t xml:space="preserve">Public Sector</w:t>
      </w:r>
    </w:p>
    <w:p>
      <w:pPr>
        <w:pStyle w:val="ListParagraph"/>
        <w:numPr>
          <w:ilvl w:val="0"/>
          <w:numId w:val="2"/>
        </w:numPr>
        <w:spacing w:after="80" w:line="276"/>
      </w:pPr>
      <w:r>
        <w:rPr>
          <w:rFonts w:ascii="Calibri" w:cs="Calibri" w:eastAsia="Calibri" w:hAnsi="Calibri"/>
          <w:color w:val="3B3B3B"/>
          <w:sz w:val="22"/>
          <w:szCs w:val="22"/>
        </w:rPr>
        <w:t xml:space="preserve">Government Ministries</w:t>
      </w:r>
    </w:p>
    <w:p>
      <w:pPr>
        <w:pStyle w:val="ListParagraph"/>
        <w:numPr>
          <w:ilvl w:val="0"/>
          <w:numId w:val="2"/>
        </w:numPr>
        <w:spacing w:after="80" w:line="276"/>
      </w:pPr>
      <w:r>
        <w:rPr>
          <w:rFonts w:ascii="Calibri" w:cs="Calibri" w:eastAsia="Calibri" w:hAnsi="Calibri"/>
          <w:color w:val="3B3B3B"/>
          <w:sz w:val="22"/>
          <w:szCs w:val="22"/>
        </w:rPr>
        <w:t xml:space="preserve">POTRAZ (Postal and Telecommunications Regulatory Authority of Zimbabwe)</w:t>
      </w:r>
    </w:p>
    <w:p>
      <w:pPr>
        <w:pStyle w:val="ListParagraph"/>
        <w:numPr>
          <w:ilvl w:val="0"/>
          <w:numId w:val="2"/>
        </w:numPr>
        <w:spacing w:after="80" w:line="276"/>
      </w:pPr>
      <w:r>
        <w:rPr>
          <w:rFonts w:ascii="Calibri" w:cs="Calibri" w:eastAsia="Calibri" w:hAnsi="Calibri"/>
          <w:color w:val="3B3B3B"/>
          <w:sz w:val="22"/>
          <w:szCs w:val="22"/>
        </w:rPr>
        <w:t xml:space="preserve">Judicial Service Commission</w:t>
      </w:r>
    </w:p>
    <w:p>
      <w:pPr>
        <w:pStyle w:val="Heading3"/>
        <w:spacing w:after="100" w:before="200"/>
      </w:pPr>
      <w:r>
        <w:rPr>
          <w:rFonts w:ascii="Cambria" w:cs="Cambria" w:eastAsia="Cambria" w:hAnsi="Cambria"/>
          <w:b/>
          <w:bCs/>
          <w:i/>
          <w:iCs/>
          <w:color w:val="0E1F30"/>
        </w:rPr>
        <w:t xml:space="preserve">Private Sector</w:t>
      </w:r>
    </w:p>
    <w:p>
      <w:pPr>
        <w:pStyle w:val="ListParagraph"/>
        <w:numPr>
          <w:ilvl w:val="0"/>
          <w:numId w:val="2"/>
        </w:numPr>
        <w:spacing w:after="80" w:line="276"/>
      </w:pPr>
      <w:r>
        <w:rPr>
          <w:rFonts w:ascii="Calibri" w:cs="Calibri" w:eastAsia="Calibri" w:hAnsi="Calibri"/>
          <w:color w:val="3B3B3B"/>
          <w:sz w:val="22"/>
          <w:szCs w:val="22"/>
        </w:rPr>
        <w:t xml:space="preserve">Frampol Africa — Independent Assurance Partner</w:t>
      </w:r>
    </w:p>
    <w:p>
      <w:pPr>
        <w:pStyle w:val="Heading1"/>
        <w:pBdr>
          <w:bottom w:val="single" w:color="B8860B" w:sz="6" w:space="4"/>
        </w:pBdr>
        <w:spacing w:after="200" w:before="420"/>
      </w:pPr>
      <w:r>
        <w:rPr>
          <w:rFonts w:ascii="Cambria" w:cs="Cambria" w:eastAsia="Cambria" w:hAnsi="Cambria"/>
          <w:b/>
          <w:bCs/>
          <w:color w:val="B8860B"/>
        </w:rPr>
        <w:t xml:space="preserve">9.  </w:t>
      </w:r>
      <w:r>
        <w:rPr>
          <w:rFonts w:ascii="Cambria" w:cs="Cambria" w:eastAsia="Cambria" w:hAnsi="Cambria"/>
          <w:b/>
          <w:bCs/>
          <w:color w:val="17324D"/>
        </w:rPr>
        <w:t xml:space="preserve">ROLE OF THE INDEPENDENT ASSURANCE PARTNER (FRAMPOL AFRICA)</w:t>
      </w:r>
    </w:p>
    <w:p>
      <w:pPr>
        <w:spacing w:after="160" w:line="288"/>
        <w:jc w:val="both"/>
      </w:pPr>
      <w:r>
        <w:rPr>
          <w:rFonts w:ascii="Calibri" w:cs="Calibri" w:eastAsia="Calibri" w:hAnsi="Calibri"/>
          <w:color w:val="3B3B3B"/>
          <w:sz w:val="22"/>
          <w:szCs w:val="22"/>
        </w:rPr>
        <w:t xml:space="preserve">Frampol Africa acts, across the life of the Partnership, as:</w:t>
      </w:r>
    </w:p>
    <w:p>
      <w:pPr>
        <w:pStyle w:val="ListParagraph"/>
        <w:numPr>
          <w:ilvl w:val="0"/>
          <w:numId w:val="2"/>
        </w:numPr>
        <w:spacing w:after="80" w:line="276"/>
      </w:pPr>
      <w:r>
        <w:rPr>
          <w:rFonts w:ascii="Calibri" w:cs="Calibri" w:eastAsia="Calibri" w:hAnsi="Calibri"/>
          <w:color w:val="3B3B3B"/>
          <w:sz w:val="22"/>
          <w:szCs w:val="22"/>
        </w:rPr>
        <w:t xml:space="preserve">Independent assessor</w:t>
      </w:r>
    </w:p>
    <w:p>
      <w:pPr>
        <w:pStyle w:val="ListParagraph"/>
        <w:numPr>
          <w:ilvl w:val="0"/>
          <w:numId w:val="2"/>
        </w:numPr>
        <w:spacing w:after="80" w:line="276"/>
      </w:pPr>
      <w:r>
        <w:rPr>
          <w:rFonts w:ascii="Calibri" w:cs="Calibri" w:eastAsia="Calibri" w:hAnsi="Calibri"/>
          <w:color w:val="3B3B3B"/>
          <w:sz w:val="22"/>
          <w:szCs w:val="22"/>
        </w:rPr>
        <w:t xml:space="preserve">Cybersecurity auditor</w:t>
      </w:r>
    </w:p>
    <w:p>
      <w:pPr>
        <w:pStyle w:val="ListParagraph"/>
        <w:numPr>
          <w:ilvl w:val="0"/>
          <w:numId w:val="2"/>
        </w:numPr>
        <w:spacing w:after="80" w:line="276"/>
      </w:pPr>
      <w:r>
        <w:rPr>
          <w:rFonts w:ascii="Calibri" w:cs="Calibri" w:eastAsia="Calibri" w:hAnsi="Calibri"/>
          <w:color w:val="3B3B3B"/>
          <w:sz w:val="22"/>
          <w:szCs w:val="22"/>
        </w:rPr>
        <w:t xml:space="preserve">AI risk advisor</w:t>
      </w:r>
    </w:p>
    <w:p>
      <w:pPr>
        <w:pStyle w:val="ListParagraph"/>
        <w:numPr>
          <w:ilvl w:val="0"/>
          <w:numId w:val="2"/>
        </w:numPr>
        <w:spacing w:after="80" w:line="276"/>
      </w:pPr>
      <w:r>
        <w:rPr>
          <w:rFonts w:ascii="Calibri" w:cs="Calibri" w:eastAsia="Calibri" w:hAnsi="Calibri"/>
          <w:color w:val="3B3B3B"/>
          <w:sz w:val="22"/>
          <w:szCs w:val="22"/>
        </w:rPr>
        <w:t xml:space="preserve">Data governance expert</w:t>
      </w:r>
    </w:p>
    <w:p>
      <w:pPr>
        <w:pBdr>
          <w:left w:val="single" w:color="B8860B" w:sz="24" w:space="8"/>
        </w:pBdr>
        <w:shd w:fill="F4E9D8" w:val="clear"/>
        <w:spacing w:after="220" w:before="120"/>
        <w:ind w:left="40"/>
      </w:pPr>
      <w:r>
        <w:rPr>
          <w:rFonts w:ascii="Calibri" w:cs="Calibri" w:eastAsia="Calibri" w:hAnsi="Calibri"/>
          <w:i/>
          <w:iCs/>
          <w:color w:val="0E1F30"/>
          <w:sz w:val="22"/>
          <w:szCs w:val="22"/>
        </w:rPr>
        <w:t xml:space="preserve">Frampol Africa does NOT host government systems, own or operate infrastructure, or process or store government data at any point. Its mandate is assurance and advisory only — a boundary that is contractually fixed and is the foundation of its independence.</w:t>
      </w:r>
    </w:p>
    <w:p>
      <w:pPr>
        <w:pStyle w:val="Heading1"/>
        <w:pBdr>
          <w:bottom w:val="single" w:color="B8860B" w:sz="6" w:space="4"/>
        </w:pBdr>
        <w:spacing w:after="200" w:before="420"/>
      </w:pPr>
      <w:r>
        <w:rPr>
          <w:rFonts w:ascii="Cambria" w:cs="Cambria" w:eastAsia="Cambria" w:hAnsi="Cambria"/>
          <w:b/>
          <w:bCs/>
          <w:color w:val="B8860B"/>
        </w:rPr>
        <w:t xml:space="preserve">10.  </w:t>
      </w:r>
      <w:r>
        <w:rPr>
          <w:rFonts w:ascii="Cambria" w:cs="Cambria" w:eastAsia="Cambria" w:hAnsi="Cambria"/>
          <w:b/>
          <w:bCs/>
          <w:color w:val="17324D"/>
        </w:rPr>
        <w:t xml:space="preserve">CORE SERVICE PILLARS</w:t>
      </w:r>
    </w:p>
    <w:p>
      <w:pPr>
        <w:pStyle w:val="ListParagraph"/>
        <w:numPr>
          <w:ilvl w:val="0"/>
          <w:numId w:val="2"/>
        </w:numPr>
        <w:spacing w:after="80" w:line="276"/>
      </w:pPr>
      <w:r>
        <w:rPr>
          <w:rFonts w:ascii="Calibri" w:cs="Calibri" w:eastAsia="Calibri" w:hAnsi="Calibri"/>
          <w:color w:val="3B3B3B"/>
          <w:sz w:val="22"/>
          <w:szCs w:val="22"/>
        </w:rPr>
        <w:t xml:space="preserve">Cybersecurity Assurance (VAPT)</w:t>
      </w:r>
    </w:p>
    <w:p>
      <w:pPr>
        <w:pStyle w:val="ListParagraph"/>
        <w:numPr>
          <w:ilvl w:val="0"/>
          <w:numId w:val="2"/>
        </w:numPr>
        <w:spacing w:after="80" w:line="276"/>
      </w:pPr>
      <w:r>
        <w:rPr>
          <w:rFonts w:ascii="Calibri" w:cs="Calibri" w:eastAsia="Calibri" w:hAnsi="Calibri"/>
          <w:color w:val="3B3B3B"/>
          <w:sz w:val="22"/>
          <w:szCs w:val="22"/>
        </w:rPr>
        <w:t xml:space="preserve">Digital System Certification</w:t>
      </w:r>
    </w:p>
    <w:p>
      <w:pPr>
        <w:pStyle w:val="ListParagraph"/>
        <w:numPr>
          <w:ilvl w:val="0"/>
          <w:numId w:val="2"/>
        </w:numPr>
        <w:spacing w:after="80" w:line="276"/>
      </w:pPr>
      <w:r>
        <w:rPr>
          <w:rFonts w:ascii="Calibri" w:cs="Calibri" w:eastAsia="Calibri" w:hAnsi="Calibri"/>
          <w:color w:val="3B3B3B"/>
          <w:sz w:val="22"/>
          <w:szCs w:val="22"/>
        </w:rPr>
        <w:t xml:space="preserve">AI Governance &amp; Risk Oversight</w:t>
      </w:r>
    </w:p>
    <w:p>
      <w:pPr>
        <w:pStyle w:val="ListParagraph"/>
        <w:numPr>
          <w:ilvl w:val="0"/>
          <w:numId w:val="2"/>
        </w:numPr>
        <w:spacing w:after="80" w:line="276"/>
      </w:pPr>
      <w:r>
        <w:rPr>
          <w:rFonts w:ascii="Calibri" w:cs="Calibri" w:eastAsia="Calibri" w:hAnsi="Calibri"/>
          <w:color w:val="3B3B3B"/>
          <w:sz w:val="22"/>
          <w:szCs w:val="22"/>
        </w:rPr>
        <w:t xml:space="preserve">Data Governance &amp; Audit</w:t>
      </w:r>
    </w:p>
    <w:p>
      <w:pPr>
        <w:pStyle w:val="ListParagraph"/>
        <w:numPr>
          <w:ilvl w:val="0"/>
          <w:numId w:val="2"/>
        </w:numPr>
        <w:spacing w:after="80" w:line="276"/>
      </w:pPr>
      <w:r>
        <w:rPr>
          <w:rFonts w:ascii="Calibri" w:cs="Calibri" w:eastAsia="Calibri" w:hAnsi="Calibri"/>
          <w:color w:val="3B3B3B"/>
          <w:sz w:val="22"/>
          <w:szCs w:val="22"/>
        </w:rPr>
        <w:t xml:space="preserve">IT Infrastructure Assessment</w:t>
      </w:r>
    </w:p>
    <w:p>
      <w:pPr>
        <w:pStyle w:val="ListParagraph"/>
        <w:numPr>
          <w:ilvl w:val="0"/>
          <w:numId w:val="2"/>
        </w:numPr>
        <w:spacing w:after="80" w:line="276"/>
      </w:pPr>
      <w:r>
        <w:rPr>
          <w:rFonts w:ascii="Calibri" w:cs="Calibri" w:eastAsia="Calibri" w:hAnsi="Calibri"/>
          <w:color w:val="3B3B3B"/>
          <w:sz w:val="22"/>
          <w:szCs w:val="22"/>
        </w:rPr>
        <w:t xml:space="preserve">Procurement Oversight</w:t>
      </w:r>
    </w:p>
    <w:p>
      <w:pPr>
        <w:pStyle w:val="ListParagraph"/>
        <w:numPr>
          <w:ilvl w:val="0"/>
          <w:numId w:val="2"/>
        </w:numPr>
        <w:spacing w:after="80" w:line="276"/>
      </w:pPr>
      <w:r>
        <w:rPr>
          <w:rFonts w:ascii="Calibri" w:cs="Calibri" w:eastAsia="Calibri" w:hAnsi="Calibri"/>
          <w:color w:val="3B3B3B"/>
          <w:sz w:val="22"/>
          <w:szCs w:val="22"/>
        </w:rPr>
        <w:t xml:space="preserve">Regulatory Support</w:t>
      </w:r>
    </w:p>
    <w:p>
      <w:pPr>
        <w:pStyle w:val="Heading1"/>
        <w:pBdr>
          <w:bottom w:val="single" w:color="B8860B" w:sz="6" w:space="4"/>
        </w:pBdr>
        <w:spacing w:after="200" w:before="420"/>
      </w:pPr>
      <w:r>
        <w:rPr>
          <w:rFonts w:ascii="Cambria" w:cs="Cambria" w:eastAsia="Cambria" w:hAnsi="Cambria"/>
          <w:b/>
          <w:bCs/>
          <w:color w:val="B8860B"/>
        </w:rPr>
        <w:t xml:space="preserve">11.  </w:t>
      </w:r>
      <w:r>
        <w:rPr>
          <w:rFonts w:ascii="Cambria" w:cs="Cambria" w:eastAsia="Cambria" w:hAnsi="Cambria"/>
          <w:b/>
          <w:bCs/>
          <w:color w:val="17324D"/>
        </w:rPr>
        <w:t xml:space="preserve">DETAILED SERVICE DEFINITIONS</w:t>
      </w:r>
    </w:p>
    <w:p>
      <w:pPr>
        <w:pStyle w:val="Heading2"/>
        <w:spacing w:after="140" w:before="260"/>
      </w:pPr>
      <w:r>
        <w:rPr>
          <w:rFonts w:ascii="Cambria" w:cs="Cambria" w:eastAsia="Cambria" w:hAnsi="Cambria"/>
          <w:b/>
          <w:bCs/>
          <w:color w:val="17324D"/>
        </w:rPr>
        <w:t xml:space="preserve">Vulnerability Assessment &amp; Penetration Testing (VAPT)</w:t>
      </w:r>
    </w:p>
    <w:p>
      <w:pPr>
        <w:pStyle w:val="ListParagraph"/>
        <w:numPr>
          <w:ilvl w:val="0"/>
          <w:numId w:val="2"/>
        </w:numPr>
        <w:spacing w:after="80" w:line="276"/>
      </w:pPr>
      <w:r>
        <w:rPr>
          <w:rFonts w:ascii="Calibri" w:cs="Calibri" w:eastAsia="Calibri" w:hAnsi="Calibri"/>
          <w:color w:val="3B3B3B"/>
          <w:sz w:val="22"/>
          <w:szCs w:val="22"/>
        </w:rPr>
        <w:t xml:space="preserve">Identify exploitable vulnerabilities across networks, applications, and endpoints</w:t>
      </w:r>
    </w:p>
    <w:p>
      <w:pPr>
        <w:pStyle w:val="ListParagraph"/>
        <w:numPr>
          <w:ilvl w:val="0"/>
          <w:numId w:val="2"/>
        </w:numPr>
        <w:spacing w:after="80" w:line="276"/>
      </w:pPr>
      <w:r>
        <w:rPr>
          <w:rFonts w:ascii="Calibri" w:cs="Calibri" w:eastAsia="Calibri" w:hAnsi="Calibri"/>
          <w:color w:val="3B3B3B"/>
          <w:sz w:val="22"/>
          <w:szCs w:val="22"/>
        </w:rPr>
        <w:t xml:space="preserve">Simulate real-world attack techniques under controlled, authorised conditions</w:t>
      </w:r>
    </w:p>
    <w:p>
      <w:pPr>
        <w:pStyle w:val="ListParagraph"/>
        <w:numPr>
          <w:ilvl w:val="0"/>
          <w:numId w:val="2"/>
        </w:numPr>
        <w:spacing w:after="80" w:line="276"/>
      </w:pPr>
      <w:r>
        <w:rPr>
          <w:rFonts w:ascii="Calibri" w:cs="Calibri" w:eastAsia="Calibri" w:hAnsi="Calibri"/>
          <w:color w:val="3B3B3B"/>
          <w:sz w:val="22"/>
          <w:szCs w:val="22"/>
        </w:rPr>
        <w:t xml:space="preserve">Provide prioritised, actionable remediation plans, not just a list of findings</w:t>
      </w:r>
    </w:p>
    <w:p>
      <w:pPr>
        <w:pStyle w:val="Heading2"/>
        <w:spacing w:after="140" w:before="260"/>
      </w:pPr>
      <w:r>
        <w:rPr>
          <w:rFonts w:ascii="Cambria" w:cs="Cambria" w:eastAsia="Cambria" w:hAnsi="Cambria"/>
          <w:b/>
          <w:bCs/>
          <w:color w:val="17324D"/>
        </w:rPr>
        <w:t xml:space="preserve">Certification</w:t>
      </w:r>
    </w:p>
    <w:p>
      <w:pPr>
        <w:pStyle w:val="ListParagraph"/>
        <w:numPr>
          <w:ilvl w:val="0"/>
          <w:numId w:val="2"/>
        </w:numPr>
        <w:spacing w:after="80" w:line="276"/>
      </w:pPr>
      <w:r>
        <w:rPr>
          <w:rFonts w:ascii="Calibri" w:cs="Calibri" w:eastAsia="Calibri" w:hAnsi="Calibri"/>
          <w:color w:val="3B3B3B"/>
          <w:sz w:val="22"/>
          <w:szCs w:val="22"/>
        </w:rPr>
        <w:t xml:space="preserve">Mandatory PASS/FAIL system approval against a defined national security baseline before go-live or renewal</w:t>
      </w:r>
    </w:p>
    <w:p>
      <w:pPr>
        <w:pStyle w:val="Heading2"/>
        <w:spacing w:after="140" w:before="260"/>
      </w:pPr>
      <w:r>
        <w:rPr>
          <w:rFonts w:ascii="Cambria" w:cs="Cambria" w:eastAsia="Cambria" w:hAnsi="Cambria"/>
          <w:b/>
          <w:bCs/>
          <w:color w:val="17324D"/>
        </w:rPr>
        <w:t xml:space="preserve">Advisory</w:t>
      </w:r>
    </w:p>
    <w:p>
      <w:pPr>
        <w:pStyle w:val="ListParagraph"/>
        <w:numPr>
          <w:ilvl w:val="0"/>
          <w:numId w:val="2"/>
        </w:numPr>
        <w:spacing w:after="80" w:line="276"/>
      </w:pPr>
      <w:r>
        <w:rPr>
          <w:rFonts w:ascii="Calibri" w:cs="Calibri" w:eastAsia="Calibri" w:hAnsi="Calibri"/>
          <w:color w:val="3B3B3B"/>
          <w:sz w:val="22"/>
          <w:szCs w:val="22"/>
        </w:rPr>
        <w:t xml:space="preserve">Secure architecture design review for new and existing systems</w:t>
      </w:r>
    </w:p>
    <w:p>
      <w:pPr>
        <w:pStyle w:val="ListParagraph"/>
        <w:numPr>
          <w:ilvl w:val="0"/>
          <w:numId w:val="2"/>
        </w:numPr>
        <w:spacing w:after="80" w:line="276"/>
      </w:pPr>
      <w:r>
        <w:rPr>
          <w:rFonts w:ascii="Calibri" w:cs="Calibri" w:eastAsia="Calibri" w:hAnsi="Calibri"/>
          <w:color w:val="3B3B3B"/>
          <w:sz w:val="22"/>
          <w:szCs w:val="22"/>
        </w:rPr>
        <w:t xml:space="preserve">Independent vendor and technology selection guidance during procurement</w:t>
      </w:r>
    </w:p>
    <w:p>
      <w:pPr>
        <w:pStyle w:val="Heading1"/>
        <w:pBdr>
          <w:bottom w:val="single" w:color="B8860B" w:sz="6" w:space="4"/>
        </w:pBdr>
        <w:spacing w:after="200" w:before="420"/>
      </w:pPr>
      <w:r>
        <w:rPr>
          <w:rFonts w:ascii="Cambria" w:cs="Cambria" w:eastAsia="Cambria" w:hAnsi="Cambria"/>
          <w:b/>
          <w:bCs/>
          <w:color w:val="B8860B"/>
        </w:rPr>
        <w:t xml:space="preserve">12.  </w:t>
      </w:r>
      <w:r>
        <w:rPr>
          <w:rFonts w:ascii="Cambria" w:cs="Cambria" w:eastAsia="Cambria" w:hAnsi="Cambria"/>
          <w:b/>
          <w:bCs/>
          <w:color w:val="17324D"/>
        </w:rPr>
        <w:t xml:space="preserve">ILLUSTRATIVE EXAMPLE: HOW THE PARTNERSHIP WORKS IN PRACTICE</w:t>
      </w:r>
    </w:p>
    <w:p>
      <w:pPr>
        <w:spacing w:after="160" w:line="288"/>
        <w:jc w:val="both"/>
      </w:pPr>
      <w:r>
        <w:rPr>
          <w:rFonts w:ascii="Calibri" w:cs="Calibri" w:eastAsia="Calibri" w:hAnsi="Calibri"/>
          <w:color w:val="3B3B3B"/>
          <w:sz w:val="22"/>
          <w:szCs w:val="22"/>
        </w:rPr>
        <w:t xml:space="preserve">To make the model concrete, consider a representative engagement with a mid-sized line Ministry that operates a citizen-facing e-services portal and an internal case-management system.</w:t>
      </w:r>
    </w:p>
    <w:p>
      <w:pPr>
        <w:pStyle w:val="Heading2"/>
        <w:spacing w:after="140" w:before="260"/>
      </w:pPr>
      <w:r>
        <w:rPr>
          <w:rFonts w:ascii="Cambria" w:cs="Cambria" w:eastAsia="Cambria" w:hAnsi="Cambria"/>
          <w:b/>
          <w:bCs/>
          <w:color w:val="17324D"/>
        </w:rPr>
        <w:t xml:space="preserve">Example: Ministry Digital Assurance Engagement</w:t>
      </w:r>
    </w:p>
    <w:p>
      <w:pPr>
        <w:pStyle w:val="ListParagraph"/>
        <w:numPr>
          <w:ilvl w:val="0"/>
          <w:numId w:val="3"/>
        </w:numPr>
        <w:spacing w:after="100" w:line="276"/>
      </w:pPr>
      <w:r>
        <w:rPr>
          <w:rFonts w:ascii="Calibri" w:cs="Calibri" w:eastAsia="Calibri" w:hAnsi="Calibri"/>
          <w:color w:val="3B3B3B"/>
          <w:sz w:val="22"/>
          <w:szCs w:val="22"/>
        </w:rPr>
        <w:t xml:space="preserve">Scoping &amp; Baseline — Frampol Africa and the Ministry’s ICT unit jointly agree the scope of in-scope systems, data classifications, and testing windows. No production data leaves government custody at any stage.</w:t>
      </w:r>
    </w:p>
    <w:p>
      <w:pPr>
        <w:pStyle w:val="ListParagraph"/>
        <w:numPr>
          <w:ilvl w:val="0"/>
          <w:numId w:val="3"/>
        </w:numPr>
        <w:spacing w:after="100" w:line="276"/>
      </w:pPr>
      <w:r>
        <w:rPr>
          <w:rFonts w:ascii="Calibri" w:cs="Calibri" w:eastAsia="Calibri" w:hAnsi="Calibri"/>
          <w:color w:val="3B3B3B"/>
          <w:sz w:val="22"/>
          <w:szCs w:val="22"/>
        </w:rPr>
        <w:t xml:space="preserve">Independent VAPT — Frampol Africa’s technical team conducts authorised penetration testing against the e-services portal and case-management system, simulating realistic attacker techniques (e.g. credential-stuffing, injection attacks, misconfigured access controls).</w:t>
      </w:r>
    </w:p>
    <w:p>
      <w:pPr>
        <w:pStyle w:val="ListParagraph"/>
        <w:numPr>
          <w:ilvl w:val="0"/>
          <w:numId w:val="3"/>
        </w:numPr>
        <w:spacing w:after="100" w:line="276"/>
      </w:pPr>
      <w:r>
        <w:rPr>
          <w:rFonts w:ascii="Calibri" w:cs="Calibri" w:eastAsia="Calibri" w:hAnsi="Calibri"/>
          <w:color w:val="3B3B3B"/>
          <w:sz w:val="22"/>
          <w:szCs w:val="22"/>
        </w:rPr>
        <w:t xml:space="preserve">Findings &amp; Risk Rating — Vulnerabilities are catalogued and risk-rated (Critical / High / Medium / Low) with clear technical evidence, so the Ministry’s own IT staff can validate each finding rather than take it on faith.</w:t>
      </w:r>
    </w:p>
    <w:p>
      <w:pPr>
        <w:pStyle w:val="ListParagraph"/>
        <w:numPr>
          <w:ilvl w:val="0"/>
          <w:numId w:val="3"/>
        </w:numPr>
        <w:spacing w:after="100" w:line="276"/>
      </w:pPr>
      <w:r>
        <w:rPr>
          <w:rFonts w:ascii="Calibri" w:cs="Calibri" w:eastAsia="Calibri" w:hAnsi="Calibri"/>
          <w:color w:val="3B3B3B"/>
          <w:sz w:val="22"/>
          <w:szCs w:val="22"/>
        </w:rPr>
        <w:t xml:space="preserve">Remediation Support — Frampol Africa provides a prioritised remediation roadmap and advisory support while the Ministry’s own teams (or their existing vendors) implement the fixes — Frampol Africa does not touch production systems.</w:t>
      </w:r>
    </w:p>
    <w:p>
      <w:pPr>
        <w:pStyle w:val="ListParagraph"/>
        <w:numPr>
          <w:ilvl w:val="0"/>
          <w:numId w:val="3"/>
        </w:numPr>
        <w:spacing w:after="100" w:line="276"/>
      </w:pPr>
      <w:r>
        <w:rPr>
          <w:rFonts w:ascii="Calibri" w:cs="Calibri" w:eastAsia="Calibri" w:hAnsi="Calibri"/>
          <w:color w:val="3B3B3B"/>
          <w:sz w:val="22"/>
          <w:szCs w:val="22"/>
        </w:rPr>
        <w:t xml:space="preserve">Re-test &amp; Certification — Once remediation is complete, Frampol Africa re-tests the affected systems and issues a PASS/FAIL certification against the national baseline, valid for a defined period subject to continuous monitoring triggers.</w:t>
      </w:r>
    </w:p>
    <w:p>
      <w:pPr>
        <w:pStyle w:val="ListParagraph"/>
        <w:numPr>
          <w:ilvl w:val="0"/>
          <w:numId w:val="3"/>
        </w:numPr>
        <w:spacing w:after="100" w:line="276"/>
      </w:pPr>
      <w:r>
        <w:rPr>
          <w:rFonts w:ascii="Calibri" w:cs="Calibri" w:eastAsia="Calibri" w:hAnsi="Calibri"/>
          <w:color w:val="3B3B3B"/>
          <w:sz w:val="22"/>
          <w:szCs w:val="22"/>
        </w:rPr>
        <w:t xml:space="preserve">Central Reporting — A summary risk report (not raw vulnerability detail, which stays with the Ministry for security reasons) is submitted to the central oversight committee, giving government a comparable, portfolio-wide view of risk — mirroring the UK GovAssure reporting model described in Section 6.</w:t>
      </w:r>
    </w:p>
    <w:p>
      <w:pPr>
        <w:spacing w:after="160" w:line="288"/>
        <w:jc w:val="both"/>
      </w:pPr>
      <w:r>
        <w:rPr>
          <w:rFonts w:ascii="Calibri" w:cs="Calibri" w:eastAsia="Calibri" w:hAnsi="Calibri"/>
          <w:color w:val="3B3B3B"/>
          <w:sz w:val="22"/>
          <w:szCs w:val="22"/>
        </w:rPr>
        <w:t xml:space="preserve">This same pattern — scope, test, report, remediate, certify, monitor — repeats across every ministry, POTRAZ, and the Judicial Service Commission, adapted to the sensitivity of each institution’s systems (for example, the Judicial Service Commission engagement places additional emphasis on digital evidence integrity, as set out in Section 16).</w:t>
      </w:r>
    </w:p>
    <w:p>
      <w:pPr>
        <w:pBdr>
          <w:left w:val="single" w:color="B8860B" w:sz="24" w:space="8"/>
        </w:pBdr>
        <w:shd w:fill="F4E9D8" w:val="clear"/>
        <w:spacing w:after="220" w:before="120"/>
        <w:ind w:left="40"/>
      </w:pPr>
      <w:r>
        <w:rPr>
          <w:rFonts w:ascii="Calibri" w:cs="Calibri" w:eastAsia="Calibri" w:hAnsi="Calibri"/>
          <w:i/>
          <w:iCs/>
          <w:color w:val="0E1F30"/>
          <w:sz w:val="22"/>
          <w:szCs w:val="22"/>
        </w:rPr>
        <w:t xml:space="preserve">At every step, the government entity retains full operational control of its systems and data. Frampol Africa’s output is evidence, risk ratings, and certification — never custody of infrastructure or data.</w:t>
      </w:r>
    </w:p>
    <w:p>
      <w:pPr>
        <w:pStyle w:val="Heading1"/>
        <w:pBdr>
          <w:bottom w:val="single" w:color="B8860B" w:sz="6" w:space="4"/>
        </w:pBdr>
        <w:spacing w:after="200" w:before="420"/>
      </w:pPr>
      <w:r>
        <w:rPr>
          <w:rFonts w:ascii="Cambria" w:cs="Cambria" w:eastAsia="Cambria" w:hAnsi="Cambria"/>
          <w:b/>
          <w:bCs/>
          <w:color w:val="B8860B"/>
        </w:rPr>
        <w:t xml:space="preserve">13.  </w:t>
      </w:r>
      <w:r>
        <w:rPr>
          <w:rFonts w:ascii="Cambria" w:cs="Cambria" w:eastAsia="Cambria" w:hAnsi="Cambria"/>
          <w:b/>
          <w:bCs/>
          <w:color w:val="17324D"/>
        </w:rPr>
        <w:t xml:space="preserve">AI RISK &amp; CYBERCRIME EVOLUTION</w:t>
      </w:r>
    </w:p>
    <w:p>
      <w:pPr>
        <w:spacing w:after="160" w:line="288"/>
        <w:jc w:val="both"/>
      </w:pPr>
      <w:r>
        <w:rPr>
          <w:rFonts w:ascii="Calibri" w:cs="Calibri" w:eastAsia="Calibri" w:hAnsi="Calibri"/>
          <w:color w:val="3B3B3B"/>
          <w:sz w:val="22"/>
          <w:szCs w:val="22"/>
        </w:rPr>
        <w:t xml:space="preserve">The proliferation of accessible generative AI tools introduces new categories of risk that traditional cybersecurity frameworks were not designed to address:</w:t>
      </w:r>
    </w:p>
    <w:p>
      <w:pPr>
        <w:pStyle w:val="ListParagraph"/>
        <w:numPr>
          <w:ilvl w:val="0"/>
          <w:numId w:val="2"/>
        </w:numPr>
        <w:spacing w:after="80" w:line="276"/>
      </w:pPr>
      <w:r>
        <w:rPr>
          <w:rFonts w:ascii="Calibri" w:cs="Calibri" w:eastAsia="Calibri" w:hAnsi="Calibri"/>
          <w:color w:val="3B3B3B"/>
          <w:sz w:val="22"/>
          <w:szCs w:val="22"/>
        </w:rPr>
        <w:t xml:space="preserve">Deepfake-enabled fraud, including impersonation of officials in voice and video</w:t>
      </w:r>
    </w:p>
    <w:p>
      <w:pPr>
        <w:pStyle w:val="ListParagraph"/>
        <w:numPr>
          <w:ilvl w:val="0"/>
          <w:numId w:val="2"/>
        </w:numPr>
        <w:spacing w:after="80" w:line="276"/>
      </w:pPr>
      <w:r>
        <w:rPr>
          <w:rFonts w:ascii="Calibri" w:cs="Calibri" w:eastAsia="Calibri" w:hAnsi="Calibri"/>
          <w:color w:val="3B3B3B"/>
          <w:sz w:val="22"/>
          <w:szCs w:val="22"/>
        </w:rPr>
        <w:t xml:space="preserve">Automated, AI-assisted cyberattacks that adapt faster than manual defences</w:t>
      </w:r>
    </w:p>
    <w:p>
      <w:pPr>
        <w:pStyle w:val="ListParagraph"/>
        <w:numPr>
          <w:ilvl w:val="0"/>
          <w:numId w:val="2"/>
        </w:numPr>
        <w:spacing w:after="80" w:line="276"/>
      </w:pPr>
      <w:r>
        <w:rPr>
          <w:rFonts w:ascii="Calibri" w:cs="Calibri" w:eastAsia="Calibri" w:hAnsi="Calibri"/>
          <w:color w:val="3B3B3B"/>
          <w:sz w:val="22"/>
          <w:szCs w:val="22"/>
        </w:rPr>
        <w:t xml:space="preserve">Data manipulation and integrity risks arising from AI systems trained or fine-tuned on government data</w:t>
      </w:r>
    </w:p>
    <w:p>
      <w:pPr>
        <w:spacing w:after="160" w:line="288"/>
        <w:jc w:val="both"/>
      </w:pPr>
      <w:r>
        <w:rPr>
          <w:rFonts w:ascii="Calibri" w:cs="Calibri" w:eastAsia="Calibri" w:hAnsi="Calibri"/>
          <w:color w:val="3B3B3B"/>
          <w:sz w:val="22"/>
          <w:szCs w:val="22"/>
        </w:rPr>
        <w:t xml:space="preserve">Government must respond by controlling how AI is procured and used across the public sector, and by establishing formal governance frameworks — covering approved use cases, data handling rules, and human-oversight requirements — before, not after, AI adoption scales.</w:t>
      </w:r>
    </w:p>
    <w:p>
      <w:pPr>
        <w:pStyle w:val="Heading1"/>
        <w:pBdr>
          <w:bottom w:val="single" w:color="B8860B" w:sz="6" w:space="4"/>
        </w:pBdr>
        <w:spacing w:after="200" w:before="420"/>
      </w:pPr>
      <w:r>
        <w:rPr>
          <w:rFonts w:ascii="Cambria" w:cs="Cambria" w:eastAsia="Cambria" w:hAnsi="Cambria"/>
          <w:b/>
          <w:bCs/>
          <w:color w:val="B8860B"/>
        </w:rPr>
        <w:t xml:space="preserve">14.  </w:t>
      </w:r>
      <w:r>
        <w:rPr>
          <w:rFonts w:ascii="Cambria" w:cs="Cambria" w:eastAsia="Cambria" w:hAnsi="Cambria"/>
          <w:b/>
          <w:bCs/>
          <w:color w:val="17324D"/>
        </w:rPr>
        <w:t xml:space="preserve">DATA GOVERNANCE &amp; SOVEREIGNTY</w:t>
      </w:r>
    </w:p>
    <w:p>
      <w:pPr>
        <w:spacing w:after="160" w:line="288"/>
        <w:jc w:val="both"/>
      </w:pPr>
      <w:r>
        <w:rPr>
          <w:rFonts w:ascii="Calibri" w:cs="Calibri" w:eastAsia="Calibri" w:hAnsi="Calibri"/>
          <w:color w:val="3B3B3B"/>
          <w:sz w:val="22"/>
          <w:szCs w:val="22"/>
        </w:rPr>
        <w:t xml:space="preserve">As part of its advisory mandate, Frampol Africa will:</w:t>
      </w:r>
    </w:p>
    <w:p>
      <w:pPr>
        <w:pStyle w:val="ListParagraph"/>
        <w:numPr>
          <w:ilvl w:val="0"/>
          <w:numId w:val="2"/>
        </w:numPr>
        <w:spacing w:after="80" w:line="276"/>
      </w:pPr>
      <w:r>
        <w:rPr>
          <w:rFonts w:ascii="Calibri" w:cs="Calibri" w:eastAsia="Calibri" w:hAnsi="Calibri"/>
          <w:color w:val="3B3B3B"/>
          <w:sz w:val="22"/>
          <w:szCs w:val="22"/>
        </w:rPr>
        <w:t xml:space="preserve">Map data flows across government systems to identify where sensitive data moves, and to whom</w:t>
      </w:r>
    </w:p>
    <w:p>
      <w:pPr>
        <w:pStyle w:val="ListParagraph"/>
        <w:numPr>
          <w:ilvl w:val="0"/>
          <w:numId w:val="2"/>
        </w:numPr>
        <w:spacing w:after="80" w:line="276"/>
      </w:pPr>
      <w:r>
        <w:rPr>
          <w:rFonts w:ascii="Calibri" w:cs="Calibri" w:eastAsia="Calibri" w:hAnsi="Calibri"/>
          <w:color w:val="3B3B3B"/>
          <w:sz w:val="22"/>
          <w:szCs w:val="22"/>
        </w:rPr>
        <w:t xml:space="preserve">Classify data sensitivity so that controls can be proportionate to risk</w:t>
      </w:r>
    </w:p>
    <w:p>
      <w:pPr>
        <w:pStyle w:val="ListParagraph"/>
        <w:numPr>
          <w:ilvl w:val="0"/>
          <w:numId w:val="2"/>
        </w:numPr>
        <w:spacing w:after="80" w:line="276"/>
      </w:pPr>
      <w:r>
        <w:rPr>
          <w:rFonts w:ascii="Calibri" w:cs="Calibri" w:eastAsia="Calibri" w:hAnsi="Calibri"/>
          <w:color w:val="3B3B3B"/>
          <w:sz w:val="22"/>
          <w:szCs w:val="22"/>
        </w:rPr>
        <w:t xml:space="preserve">Identify exposure risks arising from third-party integrations, legacy interfaces, and cross-border data transfer</w:t>
      </w:r>
    </w:p>
    <w:p>
      <w:pPr>
        <w:pBdr>
          <w:left w:val="single" w:color="B8860B" w:sz="24" w:space="8"/>
        </w:pBdr>
        <w:shd w:fill="F4E9D8" w:val="clear"/>
        <w:spacing w:after="220" w:before="120"/>
        <w:ind w:left="40"/>
      </w:pPr>
      <w:r>
        <w:rPr>
          <w:rFonts w:ascii="Calibri" w:cs="Calibri" w:eastAsia="Calibri" w:hAnsi="Calibri"/>
          <w:i/>
          <w:iCs/>
          <w:color w:val="0E1F30"/>
          <w:sz w:val="22"/>
          <w:szCs w:val="22"/>
        </w:rPr>
        <w:t xml:space="preserve">Important: at no point does Frampol Africa store government data or claim any ownership interest in it. Sovereignty and custody remain entirely with the Government of Zimbabwe.</w:t>
      </w:r>
    </w:p>
    <w:p>
      <w:pPr>
        <w:pStyle w:val="Heading1"/>
        <w:pBdr>
          <w:bottom w:val="single" w:color="B8860B" w:sz="6" w:space="4"/>
        </w:pBdr>
        <w:spacing w:after="200" w:before="420"/>
      </w:pPr>
      <w:r>
        <w:rPr>
          <w:rFonts w:ascii="Cambria" w:cs="Cambria" w:eastAsia="Cambria" w:hAnsi="Cambria"/>
          <w:b/>
          <w:bCs/>
          <w:color w:val="B8860B"/>
        </w:rPr>
        <w:t xml:space="preserve">15.  </w:t>
      </w:r>
      <w:r>
        <w:rPr>
          <w:rFonts w:ascii="Cambria" w:cs="Cambria" w:eastAsia="Cambria" w:hAnsi="Cambria"/>
          <w:b/>
          <w:bCs/>
          <w:color w:val="17324D"/>
        </w:rPr>
        <w:t xml:space="preserve">REGULATORY INTEGRATION (POTRAZ)</w:t>
      </w:r>
    </w:p>
    <w:p>
      <w:pPr>
        <w:spacing w:after="160" w:line="288"/>
        <w:jc w:val="both"/>
      </w:pPr>
      <w:r>
        <w:rPr>
          <w:rFonts w:ascii="Calibri" w:cs="Calibri" w:eastAsia="Calibri" w:hAnsi="Calibri"/>
          <w:color w:val="3B3B3B"/>
          <w:sz w:val="22"/>
          <w:szCs w:val="22"/>
        </w:rPr>
        <w:t xml:space="preserve">Frampol Africa supports POTRAZ’s regulatory mandate by:</w:t>
      </w:r>
    </w:p>
    <w:p>
      <w:pPr>
        <w:pStyle w:val="ListParagraph"/>
        <w:numPr>
          <w:ilvl w:val="0"/>
          <w:numId w:val="2"/>
        </w:numPr>
        <w:spacing w:after="80" w:line="276"/>
      </w:pPr>
      <w:r>
        <w:rPr>
          <w:rFonts w:ascii="Calibri" w:cs="Calibri" w:eastAsia="Calibri" w:hAnsi="Calibri"/>
          <w:color w:val="3B3B3B"/>
          <w:sz w:val="22"/>
          <w:szCs w:val="22"/>
        </w:rPr>
        <w:t xml:space="preserve">Developing and refining national cybersecurity standards in line with international best practice</w:t>
      </w:r>
    </w:p>
    <w:p>
      <w:pPr>
        <w:pStyle w:val="ListParagraph"/>
        <w:numPr>
          <w:ilvl w:val="0"/>
          <w:numId w:val="2"/>
        </w:numPr>
        <w:spacing w:after="80" w:line="276"/>
      </w:pPr>
      <w:r>
        <w:rPr>
          <w:rFonts w:ascii="Calibri" w:cs="Calibri" w:eastAsia="Calibri" w:hAnsi="Calibri"/>
          <w:color w:val="3B3B3B"/>
          <w:sz w:val="22"/>
          <w:szCs w:val="22"/>
        </w:rPr>
        <w:t xml:space="preserve">Conducting independent compliance audits against those standards</w:t>
      </w:r>
    </w:p>
    <w:p>
      <w:pPr>
        <w:pStyle w:val="ListParagraph"/>
        <w:numPr>
          <w:ilvl w:val="0"/>
          <w:numId w:val="2"/>
        </w:numPr>
        <w:spacing w:after="80" w:line="276"/>
      </w:pPr>
      <w:r>
        <w:rPr>
          <w:rFonts w:ascii="Calibri" w:cs="Calibri" w:eastAsia="Calibri" w:hAnsi="Calibri"/>
          <w:color w:val="3B3B3B"/>
          <w:sz w:val="22"/>
          <w:szCs w:val="22"/>
        </w:rPr>
        <w:t xml:space="preserve">Advising on policy frameworks that keep pace with the evolving threat and technology landscape</w:t>
      </w:r>
    </w:p>
    <w:p>
      <w:pPr>
        <w:spacing w:after="160" w:line="288"/>
        <w:jc w:val="both"/>
      </w:pPr>
      <w:r>
        <w:rPr>
          <w:rFonts w:ascii="Calibri" w:cs="Calibri" w:eastAsia="Calibri" w:hAnsi="Calibri"/>
          <w:color w:val="3B3B3B"/>
          <w:sz w:val="22"/>
          <w:szCs w:val="22"/>
        </w:rPr>
        <w:t xml:space="preserve">This integration strengthens POTRAZ’s own regulatory capacity rather than displacing it — Frampol Africa acts as a technical resource that scales the regulator’s reach, not a parallel authority.</w:t>
      </w:r>
    </w:p>
    <w:p>
      <w:pPr>
        <w:pStyle w:val="Heading1"/>
        <w:pBdr>
          <w:bottom w:val="single" w:color="B8860B" w:sz="6" w:space="4"/>
        </w:pBdr>
        <w:spacing w:after="200" w:before="420"/>
      </w:pPr>
      <w:r>
        <w:rPr>
          <w:rFonts w:ascii="Cambria" w:cs="Cambria" w:eastAsia="Cambria" w:hAnsi="Cambria"/>
          <w:b/>
          <w:bCs/>
          <w:color w:val="B8860B"/>
        </w:rPr>
        <w:t xml:space="preserve">16.  </w:t>
      </w:r>
      <w:r>
        <w:rPr>
          <w:rFonts w:ascii="Cambria" w:cs="Cambria" w:eastAsia="Cambria" w:hAnsi="Cambria"/>
          <w:b/>
          <w:bCs/>
          <w:color w:val="17324D"/>
        </w:rPr>
        <w:t xml:space="preserve">JUDICIAL SECTOR CYBERSECURITY NEEDS</w:t>
      </w:r>
    </w:p>
    <w:p>
      <w:pPr>
        <w:spacing w:after="160" w:line="288"/>
        <w:jc w:val="both"/>
      </w:pPr>
      <w:r>
        <w:rPr>
          <w:rFonts w:ascii="Calibri" w:cs="Calibri" w:eastAsia="Calibri" w:hAnsi="Calibri"/>
          <w:color w:val="3B3B3B"/>
          <w:sz w:val="22"/>
          <w:szCs w:val="22"/>
        </w:rPr>
        <w:t xml:space="preserve">The Judicial Service Commission has distinct and especially acute assurance needs, given the sensitivity and evidentiary weight of the systems it operates:</w:t>
      </w:r>
    </w:p>
    <w:p>
      <w:pPr>
        <w:pStyle w:val="ListParagraph"/>
        <w:numPr>
          <w:ilvl w:val="0"/>
          <w:numId w:val="2"/>
        </w:numPr>
        <w:spacing w:after="80" w:line="276"/>
      </w:pPr>
      <w:r>
        <w:rPr>
          <w:rFonts w:ascii="Calibri" w:cs="Calibri" w:eastAsia="Calibri" w:hAnsi="Calibri"/>
          <w:color w:val="3B3B3B"/>
          <w:sz w:val="22"/>
          <w:szCs w:val="22"/>
        </w:rPr>
        <w:t xml:space="preserve">Protection of legal data, including case files and personal information of litigants and witnesses</w:t>
      </w:r>
    </w:p>
    <w:p>
      <w:pPr>
        <w:pStyle w:val="ListParagraph"/>
        <w:numPr>
          <w:ilvl w:val="0"/>
          <w:numId w:val="2"/>
        </w:numPr>
        <w:spacing w:after="80" w:line="276"/>
      </w:pPr>
      <w:r>
        <w:rPr>
          <w:rFonts w:ascii="Calibri" w:cs="Calibri" w:eastAsia="Calibri" w:hAnsi="Calibri"/>
          <w:color w:val="3B3B3B"/>
          <w:sz w:val="22"/>
          <w:szCs w:val="22"/>
        </w:rPr>
        <w:t xml:space="preserve">Secure case-management systems that remain available and tamper-evident</w:t>
      </w:r>
    </w:p>
    <w:p>
      <w:pPr>
        <w:pStyle w:val="ListParagraph"/>
        <w:numPr>
          <w:ilvl w:val="0"/>
          <w:numId w:val="2"/>
        </w:numPr>
        <w:spacing w:after="80" w:line="276"/>
      </w:pPr>
      <w:r>
        <w:rPr>
          <w:rFonts w:ascii="Calibri" w:cs="Calibri" w:eastAsia="Calibri" w:hAnsi="Calibri"/>
          <w:color w:val="3B3B3B"/>
          <w:sz w:val="22"/>
          <w:szCs w:val="22"/>
        </w:rPr>
        <w:t xml:space="preserve">Digital evidence integrity — ensuring chain-of-custody controls hold up to legal scrutiny</w:t>
      </w:r>
    </w:p>
    <w:p>
      <w:pPr>
        <w:pStyle w:val="Heading1"/>
        <w:pBdr>
          <w:bottom w:val="single" w:color="B8860B" w:sz="6" w:space="4"/>
        </w:pBdr>
        <w:spacing w:after="200" w:before="420"/>
      </w:pPr>
      <w:r>
        <w:rPr>
          <w:rFonts w:ascii="Cambria" w:cs="Cambria" w:eastAsia="Cambria" w:hAnsi="Cambria"/>
          <w:b/>
          <w:bCs/>
          <w:color w:val="B8860B"/>
        </w:rPr>
        <w:t xml:space="preserve">17.  </w:t>
      </w:r>
      <w:r>
        <w:rPr>
          <w:rFonts w:ascii="Cambria" w:cs="Cambria" w:eastAsia="Cambria" w:hAnsi="Cambria"/>
          <w:b/>
          <w:bCs/>
          <w:color w:val="17324D"/>
        </w:rPr>
        <w:t xml:space="preserve">GOVERNMENT-WIDE IMPLEMENTATION STRATEGY</w:t>
      </w:r>
    </w:p>
    <w:p>
      <w:pPr>
        <w:pStyle w:val="Heading3"/>
        <w:spacing w:after="100" w:before="200"/>
      </w:pPr>
      <w:r>
        <w:rPr>
          <w:rFonts w:ascii="Cambria" w:cs="Cambria" w:eastAsia="Cambria" w:hAnsi="Cambria"/>
          <w:b/>
          <w:bCs/>
          <w:i/>
          <w:iCs/>
          <w:color w:val="0E1F30"/>
        </w:rPr>
        <w:t xml:space="preserve">Phase 1</w:t>
      </w:r>
    </w:p>
    <w:p>
      <w:pPr>
        <w:spacing w:after="180" w:line="288"/>
        <w:jc w:val="both"/>
      </w:pPr>
      <w:r>
        <w:rPr>
          <w:rFonts w:ascii="Calibri" w:cs="Calibri" w:eastAsia="Calibri" w:hAnsi="Calibri"/>
          <w:b/>
          <w:bCs/>
          <w:color w:val="0E1F30"/>
          <w:sz w:val="22"/>
          <w:szCs w:val="22"/>
        </w:rPr>
        <w:t xml:space="preserve">Pilot — POTRAZ, three ministries, and the Judicial Service Commission.</w:t>
      </w:r>
    </w:p>
    <w:p>
      <w:pPr>
        <w:pStyle w:val="Heading3"/>
        <w:spacing w:after="100" w:before="200"/>
      </w:pPr>
      <w:r>
        <w:rPr>
          <w:rFonts w:ascii="Cambria" w:cs="Cambria" w:eastAsia="Cambria" w:hAnsi="Cambria"/>
          <w:b/>
          <w:bCs/>
          <w:i/>
          <w:iCs/>
          <w:color w:val="0E1F30"/>
        </w:rPr>
        <w:t xml:space="preserve">Phase 2</w:t>
      </w:r>
    </w:p>
    <w:p>
      <w:pPr>
        <w:spacing w:after="180" w:line="288"/>
        <w:jc w:val="both"/>
      </w:pPr>
      <w:r>
        <w:rPr>
          <w:rFonts w:ascii="Calibri" w:cs="Calibri" w:eastAsia="Calibri" w:hAnsi="Calibri"/>
          <w:b/>
          <w:bCs/>
          <w:color w:val="0E1F30"/>
          <w:sz w:val="22"/>
          <w:szCs w:val="22"/>
        </w:rPr>
        <w:t xml:space="preserve">National rollout across all remaining ministries and agencies.</w:t>
      </w:r>
    </w:p>
    <w:p>
      <w:pPr>
        <w:pStyle w:val="Heading3"/>
        <w:spacing w:after="100" w:before="200"/>
      </w:pPr>
      <w:r>
        <w:rPr>
          <w:rFonts w:ascii="Cambria" w:cs="Cambria" w:eastAsia="Cambria" w:hAnsi="Cambria"/>
          <w:b/>
          <w:bCs/>
          <w:i/>
          <w:iCs/>
          <w:color w:val="0E1F30"/>
        </w:rPr>
        <w:t xml:space="preserve">Phase 3</w:t>
      </w:r>
    </w:p>
    <w:p>
      <w:pPr>
        <w:spacing w:after="180" w:line="288"/>
        <w:jc w:val="both"/>
      </w:pPr>
      <w:r>
        <w:rPr>
          <w:rFonts w:ascii="Calibri" w:cs="Calibri" w:eastAsia="Calibri" w:hAnsi="Calibri"/>
          <w:b/>
          <w:bCs/>
          <w:color w:val="0E1F30"/>
          <w:sz w:val="22"/>
          <w:szCs w:val="22"/>
        </w:rPr>
        <w:t xml:space="preserve">Continuous assurance — the programme transitions from periodic assessment to an ongoing monitoring and re-certification cycle.</w:t>
      </w:r>
    </w:p>
    <w:p>
      <w:pPr>
        <w:pStyle w:val="Heading1"/>
        <w:pBdr>
          <w:bottom w:val="single" w:color="B8860B" w:sz="6" w:space="4"/>
        </w:pBdr>
        <w:spacing w:after="200" w:before="420"/>
      </w:pPr>
      <w:r>
        <w:rPr>
          <w:rFonts w:ascii="Cambria" w:cs="Cambria" w:eastAsia="Cambria" w:hAnsi="Cambria"/>
          <w:b/>
          <w:bCs/>
          <w:color w:val="B8860B"/>
        </w:rPr>
        <w:t xml:space="preserve">18.  </w:t>
      </w:r>
      <w:r>
        <w:rPr>
          <w:rFonts w:ascii="Cambria" w:cs="Cambria" w:eastAsia="Cambria" w:hAnsi="Cambria"/>
          <w:b/>
          <w:bCs/>
          <w:color w:val="17324D"/>
        </w:rPr>
        <w:t xml:space="preserve">FINANCIAL MODEL (USD 1.7 MILLION FRAMEWORK)</w:t>
      </w:r>
    </w:p>
    <w:p>
      <w:pPr>
        <w:spacing w:after="160" w:line="288"/>
        <w:jc w:val="both"/>
      </w:pPr>
      <w:r>
        <w:rPr>
          <w:rFonts w:ascii="Calibri" w:cs="Calibri" w:eastAsia="Calibri" w:hAnsi="Calibri"/>
          <w:color w:val="3B3B3B"/>
          <w:sz w:val="22"/>
          <w:szCs w:val="22"/>
        </w:rPr>
        <w:t xml:space="preserve">The proposed annual programme value is structured as follows:</w:t>
      </w:r>
    </w:p>
    <w:tbl>
      <w:tblPr>
        <w:tblW w:type="dxa" w:w="940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2200"/>
        <w:gridCol w:w="4000"/>
      </w:tblGrid>
      <w:tr>
        <w:trPr>
          <w:tblHeader/>
        </w:trPr>
        <w:tc>
          <w:tcPr>
            <w:tcW w:type="dxa" w:w="3200"/>
            <w:shd w:fill="17324D"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Segment</w:t>
            </w:r>
          </w:p>
        </w:tc>
        <w:tc>
          <w:tcPr>
            <w:tcW w:type="dxa" w:w="2200"/>
            <w:shd w:fill="17324D"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Annual Value (USD)</w:t>
            </w:r>
          </w:p>
        </w:tc>
        <w:tc>
          <w:tcPr>
            <w:tcW w:type="dxa" w:w="4000"/>
            <w:shd w:fill="17324D"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Coverage</w:t>
            </w:r>
          </w:p>
        </w:tc>
      </w:tr>
      <w:tr>
        <w:tc>
          <w:tcPr>
            <w:tcW w:type="dxa" w:w="3200"/>
            <w:shd w:fill="F7F7F7" w:val="clear"/>
            <w:tcMar>
              <w:top w:type="dxa" w:w="90"/>
              <w:left w:type="dxa" w:w="120"/>
              <w:bottom w:type="dxa" w:w="90"/>
              <w:right w:type="dxa" w:w="120"/>
            </w:tcMar>
            <w:vAlign w:val="center"/>
          </w:tcPr>
          <w:p>
            <w:pPr>
              <w:jc w:val="left"/>
            </w:pPr>
            <w:r>
              <w:rPr>
                <w:rFonts w:ascii="Calibri" w:cs="Calibri" w:eastAsia="Calibri" w:hAnsi="Calibri"/>
                <w:b w:val="false"/>
                <w:bCs w:val="false"/>
                <w:color w:val="3B3B3B"/>
                <w:sz w:val="20"/>
                <w:szCs w:val="20"/>
              </w:rPr>
              <w:t xml:space="preserve">Government Ministries</w:t>
            </w:r>
          </w:p>
        </w:tc>
        <w:tc>
          <w:tcPr>
            <w:tcW w:type="dxa" w:w="2200"/>
            <w:shd w:fill="F7F7F7" w:val="clear"/>
            <w:tcMar>
              <w:top w:type="dxa" w:w="90"/>
              <w:left w:type="dxa" w:w="120"/>
              <w:bottom w:type="dxa" w:w="90"/>
              <w:right w:type="dxa" w:w="120"/>
            </w:tcMar>
            <w:vAlign w:val="center"/>
          </w:tcPr>
          <w:p>
            <w:pPr>
              <w:jc w:val="left"/>
            </w:pPr>
            <w:r>
              <w:rPr>
                <w:rFonts w:ascii="Calibri" w:cs="Calibri" w:eastAsia="Calibri" w:hAnsi="Calibri"/>
                <w:b w:val="false"/>
                <w:bCs w:val="false"/>
                <w:color w:val="3B3B3B"/>
                <w:sz w:val="20"/>
                <w:szCs w:val="20"/>
              </w:rPr>
              <w:t xml:space="preserve">1,000,000</w:t>
            </w:r>
          </w:p>
        </w:tc>
        <w:tc>
          <w:tcPr>
            <w:tcW w:type="dxa" w:w="4000"/>
            <w:shd w:fill="F7F7F7" w:val="clear"/>
            <w:tcMar>
              <w:top w:type="dxa" w:w="90"/>
              <w:left w:type="dxa" w:w="120"/>
              <w:bottom w:type="dxa" w:w="90"/>
              <w:right w:type="dxa" w:w="120"/>
            </w:tcMar>
            <w:vAlign w:val="center"/>
          </w:tcPr>
          <w:p>
            <w:pPr>
              <w:jc w:val="left"/>
            </w:pPr>
            <w:r>
              <w:rPr>
                <w:rFonts w:ascii="Calibri" w:cs="Calibri" w:eastAsia="Calibri" w:hAnsi="Calibri"/>
                <w:b w:val="false"/>
                <w:bCs w:val="false"/>
                <w:color w:val="3B3B3B"/>
                <w:sz w:val="20"/>
                <w:szCs w:val="20"/>
              </w:rPr>
              <w:t xml:space="preserve">VAPT, certification, and advisory across all ministries</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B3B3B"/>
                <w:sz w:val="20"/>
                <w:szCs w:val="20"/>
              </w:rPr>
              <w:t xml:space="preserve">POTRAZ</w:t>
            </w:r>
          </w:p>
        </w:tc>
        <w:tc>
          <w:tcPr>
            <w:tcW w:type="dxa" w:w="2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B3B3B"/>
                <w:sz w:val="20"/>
                <w:szCs w:val="20"/>
              </w:rPr>
              <w:t xml:space="preserve">300,000</w:t>
            </w:r>
          </w:p>
        </w:tc>
        <w:tc>
          <w:tcPr>
            <w:tcW w:type="dxa" w:w="4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B3B3B"/>
                <w:sz w:val="20"/>
                <w:szCs w:val="20"/>
              </w:rPr>
              <w:t xml:space="preserve">Regulatory standards support, compliance audits, policy advisory</w:t>
            </w:r>
          </w:p>
        </w:tc>
      </w:tr>
      <w:tr>
        <w:tc>
          <w:tcPr>
            <w:tcW w:type="dxa" w:w="3200"/>
            <w:shd w:fill="F7F7F7" w:val="clear"/>
            <w:tcMar>
              <w:top w:type="dxa" w:w="90"/>
              <w:left w:type="dxa" w:w="120"/>
              <w:bottom w:type="dxa" w:w="90"/>
              <w:right w:type="dxa" w:w="120"/>
            </w:tcMar>
            <w:vAlign w:val="center"/>
          </w:tcPr>
          <w:p>
            <w:pPr>
              <w:jc w:val="left"/>
            </w:pPr>
            <w:r>
              <w:rPr>
                <w:rFonts w:ascii="Calibri" w:cs="Calibri" w:eastAsia="Calibri" w:hAnsi="Calibri"/>
                <w:b w:val="false"/>
                <w:bCs w:val="false"/>
                <w:color w:val="3B3B3B"/>
                <w:sz w:val="20"/>
                <w:szCs w:val="20"/>
              </w:rPr>
              <w:t xml:space="preserve">Judicial Service Commission</w:t>
            </w:r>
          </w:p>
        </w:tc>
        <w:tc>
          <w:tcPr>
            <w:tcW w:type="dxa" w:w="2200"/>
            <w:shd w:fill="F7F7F7" w:val="clear"/>
            <w:tcMar>
              <w:top w:type="dxa" w:w="90"/>
              <w:left w:type="dxa" w:w="120"/>
              <w:bottom w:type="dxa" w:w="90"/>
              <w:right w:type="dxa" w:w="120"/>
            </w:tcMar>
            <w:vAlign w:val="center"/>
          </w:tcPr>
          <w:p>
            <w:pPr>
              <w:jc w:val="left"/>
            </w:pPr>
            <w:r>
              <w:rPr>
                <w:rFonts w:ascii="Calibri" w:cs="Calibri" w:eastAsia="Calibri" w:hAnsi="Calibri"/>
                <w:b w:val="false"/>
                <w:bCs w:val="false"/>
                <w:color w:val="3B3B3B"/>
                <w:sz w:val="20"/>
                <w:szCs w:val="20"/>
              </w:rPr>
              <w:t xml:space="preserve">170,000</w:t>
            </w:r>
          </w:p>
        </w:tc>
        <w:tc>
          <w:tcPr>
            <w:tcW w:type="dxa" w:w="4000"/>
            <w:shd w:fill="F7F7F7" w:val="clear"/>
            <w:tcMar>
              <w:top w:type="dxa" w:w="90"/>
              <w:left w:type="dxa" w:w="120"/>
              <w:bottom w:type="dxa" w:w="90"/>
              <w:right w:type="dxa" w:w="120"/>
            </w:tcMar>
            <w:vAlign w:val="center"/>
          </w:tcPr>
          <w:p>
            <w:pPr>
              <w:jc w:val="left"/>
            </w:pPr>
            <w:r>
              <w:rPr>
                <w:rFonts w:ascii="Calibri" w:cs="Calibri" w:eastAsia="Calibri" w:hAnsi="Calibri"/>
                <w:b w:val="false"/>
                <w:bCs w:val="false"/>
                <w:color w:val="3B3B3B"/>
                <w:sz w:val="20"/>
                <w:szCs w:val="20"/>
              </w:rPr>
              <w:t xml:space="preserve">Case-management and digital-evidence assurance</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B3B3B"/>
                <w:sz w:val="20"/>
                <w:szCs w:val="20"/>
              </w:rPr>
              <w:t xml:space="preserve">Additional Services</w:t>
            </w:r>
          </w:p>
        </w:tc>
        <w:tc>
          <w:tcPr>
            <w:tcW w:type="dxa" w:w="2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B3B3B"/>
                <w:sz w:val="20"/>
                <w:szCs w:val="20"/>
              </w:rPr>
              <w:t xml:space="preserve">200,000</w:t>
            </w:r>
          </w:p>
        </w:tc>
        <w:tc>
          <w:tcPr>
            <w:tcW w:type="dxa" w:w="4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3B3B3B"/>
                <w:sz w:val="20"/>
                <w:szCs w:val="20"/>
              </w:rPr>
              <w:t xml:space="preserve">AI governance advisory, incident-response retainer, capacity building</w:t>
            </w:r>
          </w:p>
        </w:tc>
      </w:tr>
      <w:tr>
        <w:tc>
          <w:tcPr>
            <w:tcW w:type="dxa" w:w="3200"/>
            <w:shd w:fill="F4E9D8" w:val="clear"/>
            <w:tcMar>
              <w:top w:type="dxa" w:w="90"/>
              <w:left w:type="dxa" w:w="120"/>
              <w:bottom w:type="dxa" w:w="90"/>
              <w:right w:type="dxa" w:w="120"/>
            </w:tcMar>
            <w:vAlign w:val="center"/>
          </w:tcPr>
          <w:p>
            <w:pPr>
              <w:jc w:val="left"/>
            </w:pPr>
            <w:r>
              <w:rPr>
                <w:rFonts w:ascii="Calibri" w:cs="Calibri" w:eastAsia="Calibri" w:hAnsi="Calibri"/>
                <w:b/>
                <w:bCs/>
                <w:color w:val="3B3B3B"/>
                <w:sz w:val="20"/>
                <w:szCs w:val="20"/>
              </w:rPr>
              <w:t xml:space="preserve">Total</w:t>
            </w:r>
          </w:p>
        </w:tc>
        <w:tc>
          <w:tcPr>
            <w:tcW w:type="dxa" w:w="2200"/>
            <w:shd w:fill="F4E9D8" w:val="clear"/>
            <w:tcMar>
              <w:top w:type="dxa" w:w="90"/>
              <w:left w:type="dxa" w:w="120"/>
              <w:bottom w:type="dxa" w:w="90"/>
              <w:right w:type="dxa" w:w="120"/>
            </w:tcMar>
            <w:vAlign w:val="center"/>
          </w:tcPr>
          <w:p>
            <w:pPr>
              <w:jc w:val="left"/>
            </w:pPr>
            <w:r>
              <w:rPr>
                <w:rFonts w:ascii="Calibri" w:cs="Calibri" w:eastAsia="Calibri" w:hAnsi="Calibri"/>
                <w:b/>
                <w:bCs/>
                <w:color w:val="3B3B3B"/>
                <w:sz w:val="20"/>
                <w:szCs w:val="20"/>
              </w:rPr>
              <w:t xml:space="preserve">1,700,000</w:t>
            </w:r>
          </w:p>
        </w:tc>
        <w:tc>
          <w:tcPr>
            <w:tcW w:type="dxa" w:w="4000"/>
            <w:shd w:fill="F4E9D8" w:val="clear"/>
            <w:tcMar>
              <w:top w:type="dxa" w:w="90"/>
              <w:left w:type="dxa" w:w="120"/>
              <w:bottom w:type="dxa" w:w="90"/>
              <w:right w:type="dxa" w:w="120"/>
            </w:tcMar>
            <w:vAlign w:val="center"/>
          </w:tcPr>
          <w:p>
            <w:pPr>
              <w:jc w:val="left"/>
            </w:pPr>
            <w:r>
              <w:rPr>
                <w:rFonts w:ascii="Calibri" w:cs="Calibri" w:eastAsia="Calibri" w:hAnsi="Calibri"/>
                <w:b/>
                <w:bCs/>
                <w:color w:val="3B3B3B"/>
                <w:sz w:val="20"/>
                <w:szCs w:val="20"/>
              </w:rPr>
              <w:t xml:space="preserve">National programme</w:t>
            </w:r>
          </w:p>
        </w:tc>
      </w:tr>
    </w:tbl>
    <w:p>
      <w:pPr>
        <w:spacing w:after="160"/>
      </w:pPr>
    </w:p>
    <w:p>
      <w:pPr>
        <w:pStyle w:val="Heading1"/>
        <w:pBdr>
          <w:bottom w:val="single" w:color="B8860B" w:sz="6" w:space="4"/>
        </w:pBdr>
        <w:spacing w:after="200" w:before="420"/>
      </w:pPr>
      <w:r>
        <w:rPr>
          <w:rFonts w:ascii="Cambria" w:cs="Cambria" w:eastAsia="Cambria" w:hAnsi="Cambria"/>
          <w:b/>
          <w:bCs/>
          <w:color w:val="B8860B"/>
        </w:rPr>
        <w:t xml:space="preserve">19.  </w:t>
      </w:r>
      <w:r>
        <w:rPr>
          <w:rFonts w:ascii="Cambria" w:cs="Cambria" w:eastAsia="Cambria" w:hAnsi="Cambria"/>
          <w:b/>
          <w:bCs/>
          <w:color w:val="17324D"/>
        </w:rPr>
        <w:t xml:space="preserve">ECONOMIC JUSTIFICATION</w:t>
      </w:r>
    </w:p>
    <w:p>
      <w:pPr>
        <w:spacing w:after="160" w:line="288"/>
        <w:jc w:val="both"/>
      </w:pPr>
      <w:r>
        <w:rPr>
          <w:rFonts w:ascii="Calibri" w:cs="Calibri" w:eastAsia="Calibri" w:hAnsi="Calibri"/>
          <w:color w:val="3B3B3B"/>
          <w:sz w:val="22"/>
          <w:szCs w:val="22"/>
        </w:rPr>
        <w:t xml:space="preserve">Cyber incidents cost governments millions of dollars in direct remediation costs, service downtime, and reputational damage — costs that are typically far higher than the price of the assurance that would have prevented them.</w:t>
      </w:r>
    </w:p>
    <w:p>
      <w:pPr>
        <w:spacing w:after="160" w:line="288"/>
        <w:jc w:val="both"/>
      </w:pPr>
      <w:r>
        <w:rPr>
          <w:rFonts w:ascii="Calibri" w:cs="Calibri" w:eastAsia="Calibri" w:hAnsi="Calibri"/>
          <w:color w:val="3B3B3B"/>
          <w:sz w:val="22"/>
          <w:szCs w:val="22"/>
        </w:rPr>
        <w:t xml:space="preserve">Investment in independent assurance:</w:t>
      </w:r>
    </w:p>
    <w:p>
      <w:pPr>
        <w:pStyle w:val="ListParagraph"/>
        <w:numPr>
          <w:ilvl w:val="0"/>
          <w:numId w:val="2"/>
        </w:numPr>
        <w:spacing w:after="80" w:line="276"/>
      </w:pPr>
      <w:r>
        <w:rPr>
          <w:rFonts w:ascii="Calibri" w:cs="Calibri" w:eastAsia="Calibri" w:hAnsi="Calibri"/>
          <w:color w:val="3B3B3B"/>
          <w:sz w:val="22"/>
          <w:szCs w:val="22"/>
        </w:rPr>
        <w:t xml:space="preserve">Prevents losses by catching exploitable vulnerabilities before attackers do</w:t>
      </w:r>
    </w:p>
    <w:p>
      <w:pPr>
        <w:pStyle w:val="ListParagraph"/>
        <w:numPr>
          <w:ilvl w:val="0"/>
          <w:numId w:val="2"/>
        </w:numPr>
        <w:spacing w:after="80" w:line="276"/>
      </w:pPr>
      <w:r>
        <w:rPr>
          <w:rFonts w:ascii="Calibri" w:cs="Calibri" w:eastAsia="Calibri" w:hAnsi="Calibri"/>
          <w:color w:val="3B3B3B"/>
          <w:sz w:val="22"/>
          <w:szCs w:val="22"/>
        </w:rPr>
        <w:t xml:space="preserve">Improves efficiency by injecting independent technical scrutiny into ICT procurement, reducing wasted spend on insecure or unsuitable systems</w:t>
      </w:r>
    </w:p>
    <w:p>
      <w:pPr>
        <w:pStyle w:val="ListParagraph"/>
        <w:numPr>
          <w:ilvl w:val="0"/>
          <w:numId w:val="2"/>
        </w:numPr>
        <w:spacing w:after="80" w:line="276"/>
      </w:pPr>
      <w:r>
        <w:rPr>
          <w:rFonts w:ascii="Calibri" w:cs="Calibri" w:eastAsia="Calibri" w:hAnsi="Calibri"/>
          <w:color w:val="3B3B3B"/>
          <w:sz w:val="22"/>
          <w:szCs w:val="22"/>
        </w:rPr>
        <w:t xml:space="preserve">Enhances trust among citizens, investors, and international partners in the integrity of Zimbabwe’s digital government services</w:t>
      </w:r>
    </w:p>
    <w:p>
      <w:pPr>
        <w:pStyle w:val="Heading1"/>
        <w:pBdr>
          <w:bottom w:val="single" w:color="B8860B" w:sz="6" w:space="4"/>
        </w:pBdr>
        <w:spacing w:after="200" w:before="420"/>
      </w:pPr>
      <w:r>
        <w:rPr>
          <w:rFonts w:ascii="Cambria" w:cs="Cambria" w:eastAsia="Cambria" w:hAnsi="Cambria"/>
          <w:b/>
          <w:bCs/>
          <w:color w:val="B8860B"/>
        </w:rPr>
        <w:t xml:space="preserve">20.  </w:t>
      </w:r>
      <w:r>
        <w:rPr>
          <w:rFonts w:ascii="Cambria" w:cs="Cambria" w:eastAsia="Cambria" w:hAnsi="Cambria"/>
          <w:b/>
          <w:bCs/>
          <w:color w:val="17324D"/>
        </w:rPr>
        <w:t xml:space="preserve">KEY BENEFITS OF THE PARTNERSHIP</w:t>
      </w:r>
    </w:p>
    <w:p>
      <w:pPr>
        <w:spacing w:after="160" w:line="288"/>
        <w:jc w:val="both"/>
      </w:pPr>
      <w:r>
        <w:rPr>
          <w:rFonts w:ascii="Calibri" w:cs="Calibri" w:eastAsia="Calibri" w:hAnsi="Calibri"/>
          <w:color w:val="3B3B3B"/>
          <w:sz w:val="22"/>
          <w:szCs w:val="22"/>
        </w:rPr>
        <w:t xml:space="preserve">The Partnership generates distinct, tangible benefits for each stakeholder group. These are summarised below.</w:t>
      </w:r>
    </w:p>
    <w:p>
      <w:pPr>
        <w:pStyle w:val="Heading2"/>
        <w:spacing w:after="140" w:before="260"/>
      </w:pPr>
      <w:r>
        <w:rPr>
          <w:rFonts w:ascii="Cambria" w:cs="Cambria" w:eastAsia="Cambria" w:hAnsi="Cambria"/>
          <w:b/>
          <w:bCs/>
          <w:color w:val="17324D"/>
        </w:rPr>
        <w:t xml:space="preserve">Benefits to Government &amp; Ministries</w:t>
      </w:r>
    </w:p>
    <w:p>
      <w:pPr>
        <w:pStyle w:val="ListParagraph"/>
        <w:numPr>
          <w:ilvl w:val="0"/>
          <w:numId w:val="2"/>
        </w:numPr>
        <w:spacing w:after="80" w:line="276"/>
      </w:pPr>
      <w:r>
        <w:rPr>
          <w:rFonts w:ascii="Calibri" w:cs="Calibri" w:eastAsia="Calibri" w:hAnsi="Calibri"/>
          <w:color w:val="3B3B3B"/>
          <w:sz w:val="22"/>
          <w:szCs w:val="22"/>
        </w:rPr>
        <w:t xml:space="preserve">Access to specialist cybersecurity and AI-governance expertise without the cost, delay, and retention risk of building it in-house</w:t>
      </w:r>
    </w:p>
    <w:p>
      <w:pPr>
        <w:pStyle w:val="ListParagraph"/>
        <w:numPr>
          <w:ilvl w:val="0"/>
          <w:numId w:val="2"/>
        </w:numPr>
        <w:spacing w:after="80" w:line="276"/>
      </w:pPr>
      <w:r>
        <w:rPr>
          <w:rFonts w:ascii="Calibri" w:cs="Calibri" w:eastAsia="Calibri" w:hAnsi="Calibri"/>
          <w:color w:val="3B3B3B"/>
          <w:sz w:val="22"/>
          <w:szCs w:val="22"/>
        </w:rPr>
        <w:t xml:space="preserve">A defined, testable security baseline (PASS/FAIL certification) that gives ministerial leadership a clear, non-technical signal of risk</w:t>
      </w:r>
    </w:p>
    <w:p>
      <w:pPr>
        <w:pStyle w:val="ListParagraph"/>
        <w:numPr>
          <w:ilvl w:val="0"/>
          <w:numId w:val="2"/>
        </w:numPr>
        <w:spacing w:after="80" w:line="276"/>
      </w:pPr>
      <w:r>
        <w:rPr>
          <w:rFonts w:ascii="Calibri" w:cs="Calibri" w:eastAsia="Calibri" w:hAnsi="Calibri"/>
          <w:color w:val="3B3B3B"/>
          <w:sz w:val="22"/>
          <w:szCs w:val="22"/>
        </w:rPr>
        <w:t xml:space="preserve">Reduced exposure to costly breaches, service outages, and the reputational damage that follows them</w:t>
      </w:r>
    </w:p>
    <w:p>
      <w:pPr>
        <w:pStyle w:val="ListParagraph"/>
        <w:numPr>
          <w:ilvl w:val="0"/>
          <w:numId w:val="2"/>
        </w:numPr>
        <w:spacing w:after="80" w:line="276"/>
      </w:pPr>
      <w:r>
        <w:rPr>
          <w:rFonts w:ascii="Calibri" w:cs="Calibri" w:eastAsia="Calibri" w:hAnsi="Calibri"/>
          <w:color w:val="3B3B3B"/>
          <w:sz w:val="22"/>
          <w:szCs w:val="22"/>
        </w:rPr>
        <w:t xml:space="preserve">More disciplined, better-scrutinised ICT procurement, reducing wasted spend on insecure or unsuitable systems</w:t>
      </w:r>
    </w:p>
    <w:p>
      <w:pPr>
        <w:pStyle w:val="Heading2"/>
        <w:spacing w:after="140" w:before="260"/>
      </w:pPr>
      <w:r>
        <w:rPr>
          <w:rFonts w:ascii="Cambria" w:cs="Cambria" w:eastAsia="Cambria" w:hAnsi="Cambria"/>
          <w:b/>
          <w:bCs/>
          <w:color w:val="17324D"/>
        </w:rPr>
        <w:t xml:space="preserve">Benefits to POTRAZ</w:t>
      </w:r>
    </w:p>
    <w:p>
      <w:pPr>
        <w:pStyle w:val="ListParagraph"/>
        <w:numPr>
          <w:ilvl w:val="0"/>
          <w:numId w:val="2"/>
        </w:numPr>
        <w:spacing w:after="80" w:line="276"/>
      </w:pPr>
      <w:r>
        <w:rPr>
          <w:rFonts w:ascii="Calibri" w:cs="Calibri" w:eastAsia="Calibri" w:hAnsi="Calibri"/>
          <w:color w:val="3B3B3B"/>
          <w:sz w:val="22"/>
          <w:szCs w:val="22"/>
        </w:rPr>
        <w:t xml:space="preserve">Expanded technical capacity to develop and enforce national cybersecurity standards</w:t>
      </w:r>
    </w:p>
    <w:p>
      <w:pPr>
        <w:pStyle w:val="ListParagraph"/>
        <w:numPr>
          <w:ilvl w:val="0"/>
          <w:numId w:val="2"/>
        </w:numPr>
        <w:spacing w:after="80" w:line="276"/>
      </w:pPr>
      <w:r>
        <w:rPr>
          <w:rFonts w:ascii="Calibri" w:cs="Calibri" w:eastAsia="Calibri" w:hAnsi="Calibri"/>
          <w:color w:val="3B3B3B"/>
          <w:sz w:val="22"/>
          <w:szCs w:val="22"/>
        </w:rPr>
        <w:t xml:space="preserve">Independent audit evidence that strengthens its regulatory credibility domestically and internationally</w:t>
      </w:r>
    </w:p>
    <w:p>
      <w:pPr>
        <w:pStyle w:val="ListParagraph"/>
        <w:numPr>
          <w:ilvl w:val="0"/>
          <w:numId w:val="2"/>
        </w:numPr>
        <w:spacing w:after="80" w:line="276"/>
      </w:pPr>
      <w:r>
        <w:rPr>
          <w:rFonts w:ascii="Calibri" w:cs="Calibri" w:eastAsia="Calibri" w:hAnsi="Calibri"/>
          <w:color w:val="3B3B3B"/>
          <w:sz w:val="22"/>
          <w:szCs w:val="22"/>
        </w:rPr>
        <w:t xml:space="preserve">A ready technical partner for policy development as the threat and technology landscape evolves</w:t>
      </w:r>
    </w:p>
    <w:p>
      <w:pPr>
        <w:pStyle w:val="Heading2"/>
        <w:spacing w:after="140" w:before="260"/>
      </w:pPr>
      <w:r>
        <w:rPr>
          <w:rFonts w:ascii="Cambria" w:cs="Cambria" w:eastAsia="Cambria" w:hAnsi="Cambria"/>
          <w:b/>
          <w:bCs/>
          <w:color w:val="17324D"/>
        </w:rPr>
        <w:t xml:space="preserve">Benefits to the Judicial Service Commission</w:t>
      </w:r>
    </w:p>
    <w:p>
      <w:pPr>
        <w:pStyle w:val="ListParagraph"/>
        <w:numPr>
          <w:ilvl w:val="0"/>
          <w:numId w:val="2"/>
        </w:numPr>
        <w:spacing w:after="80" w:line="276"/>
      </w:pPr>
      <w:r>
        <w:rPr>
          <w:rFonts w:ascii="Calibri" w:cs="Calibri" w:eastAsia="Calibri" w:hAnsi="Calibri"/>
          <w:color w:val="3B3B3B"/>
          <w:sz w:val="22"/>
          <w:szCs w:val="22"/>
        </w:rPr>
        <w:t xml:space="preserve">Stronger assurance over the integrity of digital evidence and case-management systems, protecting the credibility of judicial outcomes</w:t>
      </w:r>
    </w:p>
    <w:p>
      <w:pPr>
        <w:pStyle w:val="ListParagraph"/>
        <w:numPr>
          <w:ilvl w:val="0"/>
          <w:numId w:val="2"/>
        </w:numPr>
        <w:spacing w:after="80" w:line="276"/>
      </w:pPr>
      <w:r>
        <w:rPr>
          <w:rFonts w:ascii="Calibri" w:cs="Calibri" w:eastAsia="Calibri" w:hAnsi="Calibri"/>
          <w:color w:val="3B3B3B"/>
          <w:sz w:val="22"/>
          <w:szCs w:val="22"/>
        </w:rPr>
        <w:t xml:space="preserve">Reduced risk of data breaches involving sensitive litigant and witness information</w:t>
      </w:r>
    </w:p>
    <w:p>
      <w:pPr>
        <w:pStyle w:val="Heading2"/>
        <w:spacing w:after="140" w:before="260"/>
      </w:pPr>
      <w:r>
        <w:rPr>
          <w:rFonts w:ascii="Cambria" w:cs="Cambria" w:eastAsia="Cambria" w:hAnsi="Cambria"/>
          <w:b/>
          <w:bCs/>
          <w:color w:val="17324D"/>
        </w:rPr>
        <w:t xml:space="preserve">Benefits to Citizens, Businesses &amp; Investors</w:t>
      </w:r>
    </w:p>
    <w:p>
      <w:pPr>
        <w:pStyle w:val="ListParagraph"/>
        <w:numPr>
          <w:ilvl w:val="0"/>
          <w:numId w:val="2"/>
        </w:numPr>
        <w:spacing w:after="80" w:line="276"/>
      </w:pPr>
      <w:r>
        <w:rPr>
          <w:rFonts w:ascii="Calibri" w:cs="Calibri" w:eastAsia="Calibri" w:hAnsi="Calibri"/>
          <w:color w:val="3B3B3B"/>
          <w:sz w:val="22"/>
          <w:szCs w:val="22"/>
        </w:rPr>
        <w:t xml:space="preserve">Greater confidence that government digital services protect personal and financial data</w:t>
      </w:r>
    </w:p>
    <w:p>
      <w:pPr>
        <w:pStyle w:val="ListParagraph"/>
        <w:numPr>
          <w:ilvl w:val="0"/>
          <w:numId w:val="2"/>
        </w:numPr>
        <w:spacing w:after="80" w:line="276"/>
      </w:pPr>
      <w:r>
        <w:rPr>
          <w:rFonts w:ascii="Calibri" w:cs="Calibri" w:eastAsia="Calibri" w:hAnsi="Calibri"/>
          <w:color w:val="3B3B3B"/>
          <w:sz w:val="22"/>
          <w:szCs w:val="22"/>
        </w:rPr>
        <w:t xml:space="preserve">A stronger national reputation for digital trust, supporting inward investment and cross-border digital trade</w:t>
      </w:r>
    </w:p>
    <w:p>
      <w:pPr>
        <w:pStyle w:val="ListParagraph"/>
        <w:numPr>
          <w:ilvl w:val="0"/>
          <w:numId w:val="2"/>
        </w:numPr>
        <w:spacing w:after="80" w:line="276"/>
      </w:pPr>
      <w:r>
        <w:rPr>
          <w:rFonts w:ascii="Calibri" w:cs="Calibri" w:eastAsia="Calibri" w:hAnsi="Calibri"/>
          <w:color w:val="3B3B3B"/>
          <w:sz w:val="22"/>
          <w:szCs w:val="22"/>
        </w:rPr>
        <w:t xml:space="preserve">Improved reliability of e-government services that citizens increasingly depend on</w:t>
      </w:r>
    </w:p>
    <w:p>
      <w:pPr>
        <w:pStyle w:val="Heading2"/>
        <w:spacing w:after="140" w:before="260"/>
      </w:pPr>
      <w:r>
        <w:rPr>
          <w:rFonts w:ascii="Cambria" w:cs="Cambria" w:eastAsia="Cambria" w:hAnsi="Cambria"/>
          <w:b/>
          <w:bCs/>
          <w:color w:val="17324D"/>
        </w:rPr>
        <w:t xml:space="preserve">Benefits to the National Economy</w:t>
      </w:r>
    </w:p>
    <w:p>
      <w:pPr>
        <w:pStyle w:val="ListParagraph"/>
        <w:numPr>
          <w:ilvl w:val="0"/>
          <w:numId w:val="2"/>
        </w:numPr>
        <w:spacing w:after="80" w:line="276"/>
      </w:pPr>
      <w:r>
        <w:rPr>
          <w:rFonts w:ascii="Calibri" w:cs="Calibri" w:eastAsia="Calibri" w:hAnsi="Calibri"/>
          <w:color w:val="3B3B3B"/>
          <w:sz w:val="22"/>
          <w:szCs w:val="22"/>
        </w:rPr>
        <w:t xml:space="preserve">Avoided costs from prevented cyber incidents, which are consistently far larger than the cost of prevention</w:t>
      </w:r>
    </w:p>
    <w:p>
      <w:pPr>
        <w:pStyle w:val="ListParagraph"/>
        <w:numPr>
          <w:ilvl w:val="0"/>
          <w:numId w:val="2"/>
        </w:numPr>
        <w:spacing w:after="80" w:line="276"/>
      </w:pPr>
      <w:r>
        <w:rPr>
          <w:rFonts w:ascii="Calibri" w:cs="Calibri" w:eastAsia="Calibri" w:hAnsi="Calibri"/>
          <w:color w:val="3B3B3B"/>
          <w:sz w:val="22"/>
          <w:szCs w:val="22"/>
        </w:rPr>
        <w:t xml:space="preserve">Positions Zimbabwe competitively against regional peers on digital governance and cybersecurity maturity — an increasingly scrutinised factor in investment decisions</w:t>
      </w:r>
    </w:p>
    <w:p>
      <w:pPr>
        <w:pStyle w:val="ListParagraph"/>
        <w:numPr>
          <w:ilvl w:val="0"/>
          <w:numId w:val="2"/>
        </w:numPr>
        <w:spacing w:after="80" w:line="276"/>
      </w:pPr>
      <w:r>
        <w:rPr>
          <w:rFonts w:ascii="Calibri" w:cs="Calibri" w:eastAsia="Calibri" w:hAnsi="Calibri"/>
          <w:color w:val="3B3B3B"/>
          <w:sz w:val="22"/>
          <w:szCs w:val="22"/>
        </w:rPr>
        <w:t xml:space="preserve">Builds local cybersecurity skills and capacity through the knowledge-transfer components described in Section 25</w:t>
      </w:r>
    </w:p>
    <w:p>
      <w:pPr>
        <w:pStyle w:val="Heading2"/>
        <w:spacing w:after="140" w:before="260"/>
      </w:pPr>
      <w:r>
        <w:rPr>
          <w:rFonts w:ascii="Cambria" w:cs="Cambria" w:eastAsia="Cambria" w:hAnsi="Cambria"/>
          <w:b/>
          <w:bCs/>
          <w:color w:val="17324D"/>
        </w:rPr>
        <w:t xml:space="preserve">Benefits Specific to This Model (vs. Alternatives)</w:t>
      </w:r>
    </w:p>
    <w:p>
      <w:pPr>
        <w:pStyle w:val="ListParagraph"/>
        <w:numPr>
          <w:ilvl w:val="0"/>
          <w:numId w:val="2"/>
        </w:numPr>
        <w:spacing w:after="80" w:line="276"/>
      </w:pPr>
      <w:r>
        <w:rPr>
          <w:rFonts w:ascii="Calibri" w:cs="Calibri" w:eastAsia="Calibri" w:hAnsi="Calibri"/>
          <w:color w:val="3B3B3B"/>
          <w:sz w:val="22"/>
          <w:szCs w:val="22"/>
        </w:rPr>
        <w:t xml:space="preserve">Lower cost and faster mobilisation than engaging a large international assurance firm, while retaining comparable technical rigour</w:t>
      </w:r>
    </w:p>
    <w:p>
      <w:pPr>
        <w:pStyle w:val="ListParagraph"/>
        <w:numPr>
          <w:ilvl w:val="0"/>
          <w:numId w:val="2"/>
        </w:numPr>
        <w:spacing w:after="80" w:line="276"/>
      </w:pPr>
      <w:r>
        <w:rPr>
          <w:rFonts w:ascii="Calibri" w:cs="Calibri" w:eastAsia="Calibri" w:hAnsi="Calibri"/>
          <w:color w:val="3B3B3B"/>
          <w:sz w:val="22"/>
          <w:szCs w:val="22"/>
        </w:rPr>
        <w:t xml:space="preserve">No infrastructure lock-in or vendor dependency, because Frampol Africa never owns or hosts government systems</w:t>
      </w:r>
    </w:p>
    <w:p>
      <w:pPr>
        <w:pStyle w:val="ListParagraph"/>
        <w:numPr>
          <w:ilvl w:val="0"/>
          <w:numId w:val="2"/>
        </w:numPr>
        <w:spacing w:after="80" w:line="276"/>
      </w:pPr>
      <w:r>
        <w:rPr>
          <w:rFonts w:ascii="Calibri" w:cs="Calibri" w:eastAsia="Calibri" w:hAnsi="Calibri"/>
          <w:color w:val="3B3B3B"/>
          <w:sz w:val="22"/>
          <w:szCs w:val="22"/>
        </w:rPr>
        <w:t xml:space="preserve">Local market and regulatory context reduces the learning curve typically associated with international assurance providers</w:t>
      </w:r>
    </w:p>
    <w:p>
      <w:pPr>
        <w:pStyle w:val="Heading1"/>
        <w:pBdr>
          <w:bottom w:val="single" w:color="B8860B" w:sz="6" w:space="4"/>
        </w:pBdr>
        <w:spacing w:after="200" w:before="420"/>
      </w:pPr>
      <w:r>
        <w:rPr>
          <w:rFonts w:ascii="Cambria" w:cs="Cambria" w:eastAsia="Cambria" w:hAnsi="Cambria"/>
          <w:b/>
          <w:bCs/>
          <w:color w:val="B8860B"/>
        </w:rPr>
        <w:t xml:space="preserve">21.  </w:t>
      </w:r>
      <w:r>
        <w:rPr>
          <w:rFonts w:ascii="Cambria" w:cs="Cambria" w:eastAsia="Cambria" w:hAnsi="Cambria"/>
          <w:b/>
          <w:bCs/>
          <w:color w:val="17324D"/>
        </w:rPr>
        <w:t xml:space="preserve">RISK ANALYSIS &amp; MITIGATION</w:t>
      </w:r>
    </w:p>
    <w:p>
      <w:pPr>
        <w:spacing w:after="160" w:line="288"/>
        <w:jc w:val="both"/>
      </w:pPr>
      <w:r>
        <w:rPr>
          <w:rFonts w:ascii="Calibri" w:cs="Calibri" w:eastAsia="Calibri" w:hAnsi="Calibri"/>
          <w:color w:val="3B3B3B"/>
          <w:sz w:val="22"/>
          <w:szCs w:val="22"/>
        </w:rPr>
        <w:t xml:space="preserve">Risks:</w:t>
      </w:r>
    </w:p>
    <w:p>
      <w:pPr>
        <w:pStyle w:val="ListParagraph"/>
        <w:numPr>
          <w:ilvl w:val="0"/>
          <w:numId w:val="2"/>
        </w:numPr>
        <w:spacing w:after="80" w:line="276"/>
      </w:pPr>
      <w:r>
        <w:rPr>
          <w:rFonts w:ascii="Calibri" w:cs="Calibri" w:eastAsia="Calibri" w:hAnsi="Calibri"/>
          <w:color w:val="3B3B3B"/>
          <w:sz w:val="22"/>
          <w:szCs w:val="22"/>
        </w:rPr>
        <w:t xml:space="preserve">Institutional resistance to external oversight</w:t>
      </w:r>
    </w:p>
    <w:p>
      <w:pPr>
        <w:pStyle w:val="ListParagraph"/>
        <w:numPr>
          <w:ilvl w:val="0"/>
          <w:numId w:val="2"/>
        </w:numPr>
        <w:spacing w:after="80" w:line="276"/>
      </w:pPr>
      <w:r>
        <w:rPr>
          <w:rFonts w:ascii="Calibri" w:cs="Calibri" w:eastAsia="Calibri" w:hAnsi="Calibri"/>
          <w:color w:val="3B3B3B"/>
          <w:sz w:val="22"/>
          <w:szCs w:val="22"/>
        </w:rPr>
        <w:t xml:space="preserve">Budget constraints limiting the pace of rollout</w:t>
      </w:r>
    </w:p>
    <w:p>
      <w:pPr>
        <w:pStyle w:val="ListParagraph"/>
        <w:numPr>
          <w:ilvl w:val="0"/>
          <w:numId w:val="2"/>
        </w:numPr>
        <w:spacing w:after="80" w:line="276"/>
      </w:pPr>
      <w:r>
        <w:rPr>
          <w:rFonts w:ascii="Calibri" w:cs="Calibri" w:eastAsia="Calibri" w:hAnsi="Calibri"/>
          <w:color w:val="3B3B3B"/>
          <w:sz w:val="22"/>
          <w:szCs w:val="22"/>
        </w:rPr>
        <w:t xml:space="preserve">Domestic skills shortages slowing knowledge transfer</w:t>
      </w:r>
    </w:p>
    <w:p>
      <w:pPr>
        <w:spacing w:after="160" w:line="288"/>
        <w:jc w:val="both"/>
      </w:pPr>
      <w:r>
        <w:rPr>
          <w:rFonts w:ascii="Calibri" w:cs="Calibri" w:eastAsia="Calibri" w:hAnsi="Calibri"/>
          <w:color w:val="3B3B3B"/>
          <w:sz w:val="22"/>
          <w:szCs w:val="22"/>
        </w:rPr>
        <w:t xml:space="preserve">Mitigation:</w:t>
      </w:r>
    </w:p>
    <w:p>
      <w:pPr>
        <w:pStyle w:val="ListParagraph"/>
        <w:numPr>
          <w:ilvl w:val="0"/>
          <w:numId w:val="2"/>
        </w:numPr>
        <w:spacing w:after="80" w:line="276"/>
      </w:pPr>
      <w:r>
        <w:rPr>
          <w:rFonts w:ascii="Calibri" w:cs="Calibri" w:eastAsia="Calibri" w:hAnsi="Calibri"/>
          <w:color w:val="3B3B3B"/>
          <w:sz w:val="22"/>
          <w:szCs w:val="22"/>
        </w:rPr>
        <w:t xml:space="preserve">A phased rollout (Section 17) that builds credibility and evidence of value before scaling nationally</w:t>
      </w:r>
    </w:p>
    <w:p>
      <w:pPr>
        <w:pStyle w:val="ListParagraph"/>
        <w:numPr>
          <w:ilvl w:val="0"/>
          <w:numId w:val="2"/>
        </w:numPr>
        <w:spacing w:after="80" w:line="276"/>
      </w:pPr>
      <w:r>
        <w:rPr>
          <w:rFonts w:ascii="Calibri" w:cs="Calibri" w:eastAsia="Calibri" w:hAnsi="Calibri"/>
          <w:color w:val="3B3B3B"/>
          <w:sz w:val="22"/>
          <w:szCs w:val="22"/>
        </w:rPr>
        <w:t xml:space="preserve">Strong policy backing and an executive mandate that removes ambiguity about the programme’s authority</w:t>
      </w:r>
    </w:p>
    <w:p>
      <w:pPr>
        <w:pStyle w:val="ListParagraph"/>
        <w:numPr>
          <w:ilvl w:val="0"/>
          <w:numId w:val="2"/>
        </w:numPr>
        <w:spacing w:after="80" w:line="276"/>
      </w:pPr>
      <w:r>
        <w:rPr>
          <w:rFonts w:ascii="Calibri" w:cs="Calibri" w:eastAsia="Calibri" w:hAnsi="Calibri"/>
          <w:color w:val="3B3B3B"/>
          <w:sz w:val="22"/>
          <w:szCs w:val="22"/>
        </w:rPr>
        <w:t xml:space="preserve">Embedded capacity-building (Section 25) that reduces long-term dependency on external expertise</w:t>
      </w:r>
    </w:p>
    <w:p>
      <w:pPr>
        <w:pStyle w:val="Heading1"/>
        <w:pBdr>
          <w:bottom w:val="single" w:color="B8860B" w:sz="6" w:space="4"/>
        </w:pBdr>
        <w:spacing w:after="200" w:before="420"/>
      </w:pPr>
      <w:r>
        <w:rPr>
          <w:rFonts w:ascii="Cambria" w:cs="Cambria" w:eastAsia="Cambria" w:hAnsi="Cambria"/>
          <w:b/>
          <w:bCs/>
          <w:color w:val="B8860B"/>
        </w:rPr>
        <w:t xml:space="preserve">22.  </w:t>
      </w:r>
      <w:r>
        <w:rPr>
          <w:rFonts w:ascii="Cambria" w:cs="Cambria" w:eastAsia="Cambria" w:hAnsi="Cambria"/>
          <w:b/>
          <w:bCs/>
          <w:color w:val="17324D"/>
        </w:rPr>
        <w:t xml:space="preserve">GOVERNANCE &amp; OVERSIGHT MODEL</w:t>
      </w:r>
    </w:p>
    <w:p>
      <w:pPr>
        <w:pStyle w:val="ListParagraph"/>
        <w:numPr>
          <w:ilvl w:val="0"/>
          <w:numId w:val="2"/>
        </w:numPr>
        <w:spacing w:after="80" w:line="276"/>
      </w:pPr>
      <w:r>
        <w:rPr>
          <w:rFonts w:ascii="Calibri" w:cs="Calibri" w:eastAsia="Calibri" w:hAnsi="Calibri"/>
          <w:color w:val="3B3B3B"/>
          <w:sz w:val="22"/>
          <w:szCs w:val="22"/>
        </w:rPr>
        <w:t xml:space="preserve">A national oversight committee with cross-ministerial representation</w:t>
      </w:r>
    </w:p>
    <w:p>
      <w:pPr>
        <w:pStyle w:val="ListParagraph"/>
        <w:numPr>
          <w:ilvl w:val="0"/>
          <w:numId w:val="2"/>
        </w:numPr>
        <w:spacing w:after="80" w:line="276"/>
      </w:pPr>
      <w:r>
        <w:rPr>
          <w:rFonts w:ascii="Calibri" w:cs="Calibri" w:eastAsia="Calibri" w:hAnsi="Calibri"/>
          <w:color w:val="3B3B3B"/>
          <w:sz w:val="22"/>
          <w:szCs w:val="22"/>
        </w:rPr>
        <w:t xml:space="preserve">Independent reporting lines that bypass the entities being assessed</w:t>
      </w:r>
    </w:p>
    <w:p>
      <w:pPr>
        <w:pStyle w:val="ListParagraph"/>
        <w:numPr>
          <w:ilvl w:val="0"/>
          <w:numId w:val="2"/>
        </w:numPr>
        <w:spacing w:after="80" w:line="276"/>
      </w:pPr>
      <w:r>
        <w:rPr>
          <w:rFonts w:ascii="Calibri" w:cs="Calibri" w:eastAsia="Calibri" w:hAnsi="Calibri"/>
          <w:color w:val="3B3B3B"/>
          <w:sz w:val="22"/>
          <w:szCs w:val="22"/>
        </w:rPr>
        <w:t xml:space="preserve">Annual programme reviews to test whether the model is delivering its intended outcomes</w:t>
      </w:r>
    </w:p>
    <w:p>
      <w:pPr>
        <w:pStyle w:val="Heading1"/>
        <w:pBdr>
          <w:bottom w:val="single" w:color="B8860B" w:sz="6" w:space="4"/>
        </w:pBdr>
        <w:spacing w:after="200" w:before="420"/>
      </w:pPr>
      <w:r>
        <w:rPr>
          <w:rFonts w:ascii="Cambria" w:cs="Cambria" w:eastAsia="Cambria" w:hAnsi="Cambria"/>
          <w:b/>
          <w:bCs/>
          <w:color w:val="B8860B"/>
        </w:rPr>
        <w:t xml:space="preserve">23.  </w:t>
      </w:r>
      <w:r>
        <w:rPr>
          <w:rFonts w:ascii="Cambria" w:cs="Cambria" w:eastAsia="Cambria" w:hAnsi="Cambria"/>
          <w:b/>
          <w:bCs/>
          <w:color w:val="17324D"/>
        </w:rPr>
        <w:t xml:space="preserve">COMPLIANCE &amp; STANDARDS ALIGNMENT</w:t>
      </w:r>
    </w:p>
    <w:p>
      <w:pPr>
        <w:spacing w:after="160" w:line="288"/>
        <w:jc w:val="both"/>
      </w:pPr>
      <w:r>
        <w:rPr>
          <w:rFonts w:ascii="Calibri" w:cs="Calibri" w:eastAsia="Calibri" w:hAnsi="Calibri"/>
          <w:color w:val="3B3B3B"/>
          <w:sz w:val="22"/>
          <w:szCs w:val="22"/>
        </w:rPr>
        <w:t xml:space="preserve">The Partnership’s methodology and certification baseline are aligned with:</w:t>
      </w:r>
    </w:p>
    <w:p>
      <w:pPr>
        <w:pStyle w:val="ListParagraph"/>
        <w:numPr>
          <w:ilvl w:val="0"/>
          <w:numId w:val="2"/>
        </w:numPr>
        <w:spacing w:after="80" w:line="276"/>
      </w:pPr>
      <w:r>
        <w:rPr>
          <w:rFonts w:ascii="Calibri" w:cs="Calibri" w:eastAsia="Calibri" w:hAnsi="Calibri"/>
          <w:color w:val="3B3B3B"/>
          <w:sz w:val="22"/>
          <w:szCs w:val="22"/>
        </w:rPr>
        <w:t xml:space="preserve">ISO/IEC 27001 information security management principles</w:t>
      </w:r>
    </w:p>
    <w:p>
      <w:pPr>
        <w:pStyle w:val="ListParagraph"/>
        <w:numPr>
          <w:ilvl w:val="0"/>
          <w:numId w:val="2"/>
        </w:numPr>
        <w:spacing w:after="80" w:line="276"/>
      </w:pPr>
      <w:r>
        <w:rPr>
          <w:rFonts w:ascii="Calibri" w:cs="Calibri" w:eastAsia="Calibri" w:hAnsi="Calibri"/>
          <w:color w:val="3B3B3B"/>
          <w:sz w:val="22"/>
          <w:szCs w:val="22"/>
        </w:rPr>
        <w:t xml:space="preserve">GDPR-aligned data protection principles, adapted to Zimbabwe’s data protection legislation</w:t>
      </w:r>
    </w:p>
    <w:p>
      <w:pPr>
        <w:pStyle w:val="ListParagraph"/>
        <w:numPr>
          <w:ilvl w:val="0"/>
          <w:numId w:val="2"/>
        </w:numPr>
        <w:spacing w:after="80" w:line="276"/>
      </w:pPr>
      <w:r>
        <w:rPr>
          <w:rFonts w:ascii="Calibri" w:cs="Calibri" w:eastAsia="Calibri" w:hAnsi="Calibri"/>
          <w:color w:val="3B3B3B"/>
          <w:sz w:val="22"/>
          <w:szCs w:val="22"/>
        </w:rPr>
        <w:t xml:space="preserve">EU cybersecurity principles as embodied in the ENISA and NIS2 frameworks referenced in Section 6</w:t>
      </w:r>
    </w:p>
    <w:p>
      <w:pPr>
        <w:pStyle w:val="Heading1"/>
        <w:pBdr>
          <w:bottom w:val="single" w:color="B8860B" w:sz="6" w:space="4"/>
        </w:pBdr>
        <w:spacing w:after="200" w:before="420"/>
      </w:pPr>
      <w:r>
        <w:rPr>
          <w:rFonts w:ascii="Cambria" w:cs="Cambria" w:eastAsia="Cambria" w:hAnsi="Cambria"/>
          <w:b/>
          <w:bCs/>
          <w:color w:val="B8860B"/>
        </w:rPr>
        <w:t xml:space="preserve">24.  </w:t>
      </w:r>
      <w:r>
        <w:rPr>
          <w:rFonts w:ascii="Cambria" w:cs="Cambria" w:eastAsia="Cambria" w:hAnsi="Cambria"/>
          <w:b/>
          <w:bCs/>
          <w:color w:val="17324D"/>
        </w:rPr>
        <w:t xml:space="preserve">PPP CASE STUDIES — EUROPE &amp; GLOBAL PRECEDENTS</w:t>
      </w:r>
    </w:p>
    <w:p>
      <w:pPr>
        <w:pStyle w:val="Heading2"/>
        <w:spacing w:after="140" w:before="260"/>
      </w:pPr>
      <w:r>
        <w:rPr>
          <w:rFonts w:ascii="Cambria" w:cs="Cambria" w:eastAsia="Cambria" w:hAnsi="Cambria"/>
          <w:b/>
          <w:bCs/>
          <w:color w:val="17324D"/>
        </w:rPr>
        <w:t xml:space="preserve">UK GovAssure</w:t>
      </w:r>
    </w:p>
    <w:p>
      <w:pPr>
        <w:spacing w:after="160" w:line="288"/>
        <w:jc w:val="both"/>
      </w:pPr>
      <w:r>
        <w:rPr>
          <w:rFonts w:ascii="Calibri" w:cs="Calibri" w:eastAsia="Calibri" w:hAnsi="Calibri"/>
          <w:color w:val="3B3B3B"/>
          <w:sz w:val="22"/>
          <w:szCs w:val="22"/>
        </w:rPr>
        <w:t xml:space="preserve">Since its introduction, GovAssure has given the UK government a standardised, comparable view of cyber risk across departments for the first time — replacing self-reported assurance with independently verified assessment. The key transferable lesson is that mandatory, independently-delivered, centrally-reported assessment produces a step-change in visibility that voluntary or self-assessed models cannot match.</w:t>
      </w:r>
    </w:p>
    <w:p>
      <w:pPr>
        <w:pStyle w:val="Heading2"/>
        <w:spacing w:after="140" w:before="260"/>
      </w:pPr>
      <w:r>
        <w:rPr>
          <w:rFonts w:ascii="Cambria" w:cs="Cambria" w:eastAsia="Cambria" w:hAnsi="Cambria"/>
          <w:b/>
          <w:bCs/>
          <w:color w:val="17324D"/>
        </w:rPr>
        <w:t xml:space="preserve">EU ENISA PPP</w:t>
      </w:r>
    </w:p>
    <w:p>
      <w:pPr>
        <w:spacing w:after="160" w:line="288"/>
        <w:jc w:val="both"/>
      </w:pPr>
      <w:r>
        <w:rPr>
          <w:rFonts w:ascii="Calibri" w:cs="Calibri" w:eastAsia="Calibri" w:hAnsi="Calibri"/>
          <w:color w:val="3B3B3B"/>
          <w:sz w:val="22"/>
          <w:szCs w:val="22"/>
        </w:rPr>
        <w:t xml:space="preserve">ENISA’s public-private cooperation model demonstrates that structured, ongoing collaboration — rather than one-off procurement of services — builds the kind of sustained trust and shared threat intelligence that materially improves resilience across a large, multi-jurisdiction bloc.</w:t>
      </w:r>
    </w:p>
    <w:p>
      <w:pPr>
        <w:pStyle w:val="Heading2"/>
        <w:spacing w:after="140" w:before="260"/>
      </w:pPr>
      <w:r>
        <w:rPr>
          <w:rFonts w:ascii="Cambria" w:cs="Cambria" w:eastAsia="Cambria" w:hAnsi="Cambria"/>
          <w:b/>
          <w:bCs/>
          <w:color w:val="17324D"/>
        </w:rPr>
        <w:t xml:space="preserve">Estonia — Digital Governance</w:t>
      </w:r>
    </w:p>
    <w:p>
      <w:pPr>
        <w:spacing w:after="160" w:line="288"/>
        <w:jc w:val="both"/>
      </w:pPr>
      <w:r>
        <w:rPr>
          <w:rFonts w:ascii="Calibri" w:cs="Calibri" w:eastAsia="Calibri" w:hAnsi="Calibri"/>
          <w:color w:val="3B3B3B"/>
          <w:sz w:val="22"/>
          <w:szCs w:val="22"/>
        </w:rPr>
        <w:t xml:space="preserve">Estonia’s digital government programme is frequently cited internationally as a model of cybersecurity oversight embedded from the outset of digitisation, rather than retrofitted afterward. Its experience underscores the value of building assurance mechanisms alongside digital services, not years after they are already in production — directly relevant to Zimbabwe’s current, ongoing e-government expansion.</w:t>
      </w:r>
    </w:p>
    <w:p>
      <w:pPr>
        <w:pStyle w:val="Heading1"/>
        <w:pBdr>
          <w:bottom w:val="single" w:color="B8860B" w:sz="6" w:space="4"/>
        </w:pBdr>
        <w:spacing w:after="200" w:before="420"/>
      </w:pPr>
      <w:r>
        <w:rPr>
          <w:rFonts w:ascii="Cambria" w:cs="Cambria" w:eastAsia="Cambria" w:hAnsi="Cambria"/>
          <w:b/>
          <w:bCs/>
          <w:color w:val="B8860B"/>
        </w:rPr>
        <w:t xml:space="preserve">25.  </w:t>
      </w:r>
      <w:r>
        <w:rPr>
          <w:rFonts w:ascii="Cambria" w:cs="Cambria" w:eastAsia="Cambria" w:hAnsi="Cambria"/>
          <w:b/>
          <w:bCs/>
          <w:color w:val="17324D"/>
        </w:rPr>
        <w:t xml:space="preserve">CAPACITY BUILDING &amp; SKILLS TRANSFER</w:t>
      </w:r>
    </w:p>
    <w:p>
      <w:pPr>
        <w:pStyle w:val="ListParagraph"/>
        <w:numPr>
          <w:ilvl w:val="0"/>
          <w:numId w:val="2"/>
        </w:numPr>
        <w:spacing w:after="80" w:line="276"/>
      </w:pPr>
      <w:r>
        <w:rPr>
          <w:rFonts w:ascii="Calibri" w:cs="Calibri" w:eastAsia="Calibri" w:hAnsi="Calibri"/>
          <w:color w:val="3B3B3B"/>
          <w:sz w:val="22"/>
          <w:szCs w:val="22"/>
        </w:rPr>
        <w:t xml:space="preserve">Structured training for government ICT staff alongside every engagement, not as a separate add-on</w:t>
      </w:r>
    </w:p>
    <w:p>
      <w:pPr>
        <w:pStyle w:val="ListParagraph"/>
        <w:numPr>
          <w:ilvl w:val="0"/>
          <w:numId w:val="2"/>
        </w:numPr>
        <w:spacing w:after="80" w:line="276"/>
      </w:pPr>
      <w:r>
        <w:rPr>
          <w:rFonts w:ascii="Calibri" w:cs="Calibri" w:eastAsia="Calibri" w:hAnsi="Calibri"/>
          <w:color w:val="3B3B3B"/>
          <w:sz w:val="22"/>
          <w:szCs w:val="22"/>
        </w:rPr>
        <w:t xml:space="preserve">AI awareness programmes for policy and technical staff</w:t>
      </w:r>
    </w:p>
    <w:p>
      <w:pPr>
        <w:pStyle w:val="ListParagraph"/>
        <w:numPr>
          <w:ilvl w:val="0"/>
          <w:numId w:val="2"/>
        </w:numPr>
        <w:spacing w:after="80" w:line="276"/>
      </w:pPr>
      <w:r>
        <w:rPr>
          <w:rFonts w:ascii="Calibri" w:cs="Calibri" w:eastAsia="Calibri" w:hAnsi="Calibri"/>
          <w:color w:val="3B3B3B"/>
          <w:sz w:val="22"/>
          <w:szCs w:val="22"/>
        </w:rPr>
        <w:t xml:space="preserve">Cybersecurity skills development aimed at gradually building sovereign in-house capacity over the life of the Partnership</w:t>
      </w:r>
    </w:p>
    <w:p>
      <w:pPr>
        <w:pStyle w:val="Heading1"/>
        <w:pBdr>
          <w:bottom w:val="single" w:color="B8860B" w:sz="6" w:space="4"/>
        </w:pBdr>
        <w:spacing w:after="200" w:before="420"/>
      </w:pPr>
      <w:r>
        <w:rPr>
          <w:rFonts w:ascii="Cambria" w:cs="Cambria" w:eastAsia="Cambria" w:hAnsi="Cambria"/>
          <w:b/>
          <w:bCs/>
          <w:color w:val="B8860B"/>
        </w:rPr>
        <w:t xml:space="preserve">26.  </w:t>
      </w:r>
      <w:r>
        <w:rPr>
          <w:rFonts w:ascii="Cambria" w:cs="Cambria" w:eastAsia="Cambria" w:hAnsi="Cambria"/>
          <w:b/>
          <w:bCs/>
          <w:color w:val="17324D"/>
        </w:rPr>
        <w:t xml:space="preserve">IMPLEMENTATION ROADMAP</w:t>
      </w:r>
    </w:p>
    <w:p>
      <w:pPr>
        <w:spacing w:after="160" w:line="288"/>
        <w:jc w:val="both"/>
      </w:pPr>
      <w:r>
        <w:rPr>
          <w:rFonts w:ascii="Calibri" w:cs="Calibri" w:eastAsia="Calibri" w:hAnsi="Calibri"/>
          <w:color w:val="3B3B3B"/>
          <w:sz w:val="22"/>
          <w:szCs w:val="22"/>
        </w:rPr>
        <w:t xml:space="preserve">Year 1:</w:t>
      </w:r>
    </w:p>
    <w:p>
      <w:pPr>
        <w:pStyle w:val="ListParagraph"/>
        <w:numPr>
          <w:ilvl w:val="0"/>
          <w:numId w:val="2"/>
        </w:numPr>
        <w:spacing w:after="80" w:line="276"/>
      </w:pPr>
      <w:r>
        <w:rPr>
          <w:rFonts w:ascii="Calibri" w:cs="Calibri" w:eastAsia="Calibri" w:hAnsi="Calibri"/>
          <w:color w:val="3B3B3B"/>
          <w:sz w:val="22"/>
          <w:szCs w:val="22"/>
        </w:rPr>
        <w:t xml:space="preserve">Pilot programme and framework establishment (POTRAZ, three ministries, Judicial Service Commission)</w:t>
      </w:r>
    </w:p>
    <w:p>
      <w:pPr>
        <w:spacing w:after="160" w:line="288"/>
        <w:jc w:val="both"/>
      </w:pPr>
      <w:r>
        <w:rPr>
          <w:rFonts w:ascii="Calibri" w:cs="Calibri" w:eastAsia="Calibri" w:hAnsi="Calibri"/>
          <w:color w:val="3B3B3B"/>
          <w:sz w:val="22"/>
          <w:szCs w:val="22"/>
        </w:rPr>
        <w:t xml:space="preserve">Year 2:</w:t>
      </w:r>
    </w:p>
    <w:p>
      <w:pPr>
        <w:pStyle w:val="ListParagraph"/>
        <w:numPr>
          <w:ilvl w:val="0"/>
          <w:numId w:val="2"/>
        </w:numPr>
        <w:spacing w:after="80" w:line="276"/>
      </w:pPr>
      <w:r>
        <w:rPr>
          <w:rFonts w:ascii="Calibri" w:cs="Calibri" w:eastAsia="Calibri" w:hAnsi="Calibri"/>
          <w:color w:val="3B3B3B"/>
          <w:sz w:val="22"/>
          <w:szCs w:val="22"/>
        </w:rPr>
        <w:t xml:space="preserve">National rollout across all remaining ministries and agencies</w:t>
      </w:r>
    </w:p>
    <w:p>
      <w:pPr>
        <w:spacing w:after="160" w:line="288"/>
        <w:jc w:val="both"/>
      </w:pPr>
      <w:r>
        <w:rPr>
          <w:rFonts w:ascii="Calibri" w:cs="Calibri" w:eastAsia="Calibri" w:hAnsi="Calibri"/>
          <w:color w:val="3B3B3B"/>
          <w:sz w:val="22"/>
          <w:szCs w:val="22"/>
        </w:rPr>
        <w:t xml:space="preserve">Year 3:</w:t>
      </w:r>
    </w:p>
    <w:p>
      <w:pPr>
        <w:pStyle w:val="ListParagraph"/>
        <w:numPr>
          <w:ilvl w:val="0"/>
          <w:numId w:val="2"/>
        </w:numPr>
        <w:spacing w:after="80" w:line="276"/>
      </w:pPr>
      <w:r>
        <w:rPr>
          <w:rFonts w:ascii="Calibri" w:cs="Calibri" w:eastAsia="Calibri" w:hAnsi="Calibri"/>
          <w:color w:val="3B3B3B"/>
          <w:sz w:val="22"/>
          <w:szCs w:val="22"/>
        </w:rPr>
        <w:t xml:space="preserve">Optimisation — transition to continuous assurance and refinement based on Year 1–2 evidence</w:t>
      </w:r>
    </w:p>
    <w:p>
      <w:pPr>
        <w:pStyle w:val="Heading1"/>
        <w:pBdr>
          <w:bottom w:val="single" w:color="B8860B" w:sz="6" w:space="4"/>
        </w:pBdr>
        <w:spacing w:after="200" w:before="420"/>
      </w:pPr>
      <w:r>
        <w:rPr>
          <w:rFonts w:ascii="Cambria" w:cs="Cambria" w:eastAsia="Cambria" w:hAnsi="Cambria"/>
          <w:b/>
          <w:bCs/>
          <w:color w:val="B8860B"/>
        </w:rPr>
        <w:t xml:space="preserve">27.  </w:t>
      </w:r>
      <w:r>
        <w:rPr>
          <w:rFonts w:ascii="Cambria" w:cs="Cambria" w:eastAsia="Cambria" w:hAnsi="Cambria"/>
          <w:b/>
          <w:bCs/>
          <w:color w:val="17324D"/>
        </w:rPr>
        <w:t xml:space="preserve">MONITORING &amp; EVALUATION FRAMEWORK</w:t>
      </w:r>
    </w:p>
    <w:p>
      <w:pPr>
        <w:spacing w:after="160" w:line="288"/>
        <w:jc w:val="both"/>
      </w:pPr>
      <w:r>
        <w:rPr>
          <w:rFonts w:ascii="Calibri" w:cs="Calibri" w:eastAsia="Calibri" w:hAnsi="Calibri"/>
          <w:color w:val="3B3B3B"/>
          <w:sz w:val="22"/>
          <w:szCs w:val="22"/>
        </w:rPr>
        <w:t xml:space="preserve">Key performance indicators:</w:t>
      </w:r>
    </w:p>
    <w:p>
      <w:pPr>
        <w:pStyle w:val="ListParagraph"/>
        <w:numPr>
          <w:ilvl w:val="0"/>
          <w:numId w:val="2"/>
        </w:numPr>
        <w:spacing w:after="80" w:line="276"/>
      </w:pPr>
      <w:r>
        <w:rPr>
          <w:rFonts w:ascii="Calibri" w:cs="Calibri" w:eastAsia="Calibri" w:hAnsi="Calibri"/>
          <w:color w:val="3B3B3B"/>
          <w:sz w:val="22"/>
          <w:szCs w:val="22"/>
        </w:rPr>
        <w:t xml:space="preserve">Number of systems tested and certified</w:t>
      </w:r>
    </w:p>
    <w:p>
      <w:pPr>
        <w:pStyle w:val="ListParagraph"/>
        <w:numPr>
          <w:ilvl w:val="0"/>
          <w:numId w:val="2"/>
        </w:numPr>
        <w:spacing w:after="80" w:line="276"/>
      </w:pPr>
      <w:r>
        <w:rPr>
          <w:rFonts w:ascii="Calibri" w:cs="Calibri" w:eastAsia="Calibri" w:hAnsi="Calibri"/>
          <w:color w:val="3B3B3B"/>
          <w:sz w:val="22"/>
          <w:szCs w:val="22"/>
        </w:rPr>
        <w:t xml:space="preserve">Reduction in identified vulnerabilities over successive testing cycles</w:t>
      </w:r>
    </w:p>
    <w:p>
      <w:pPr>
        <w:pStyle w:val="ListParagraph"/>
        <w:numPr>
          <w:ilvl w:val="0"/>
          <w:numId w:val="2"/>
        </w:numPr>
        <w:spacing w:after="80" w:line="276"/>
      </w:pPr>
      <w:r>
        <w:rPr>
          <w:rFonts w:ascii="Calibri" w:cs="Calibri" w:eastAsia="Calibri" w:hAnsi="Calibri"/>
          <w:color w:val="3B3B3B"/>
          <w:sz w:val="22"/>
          <w:szCs w:val="22"/>
        </w:rPr>
        <w:t xml:space="preserve">Compliance levels against the national security baseline</w:t>
      </w:r>
    </w:p>
    <w:p>
      <w:pPr>
        <w:pStyle w:val="Heading1"/>
        <w:pBdr>
          <w:bottom w:val="single" w:color="B8860B" w:sz="6" w:space="4"/>
        </w:pBdr>
        <w:spacing w:after="200" w:before="420"/>
      </w:pPr>
      <w:r>
        <w:rPr>
          <w:rFonts w:ascii="Cambria" w:cs="Cambria" w:eastAsia="Cambria" w:hAnsi="Cambria"/>
          <w:b/>
          <w:bCs/>
          <w:color w:val="B8860B"/>
        </w:rPr>
        <w:t xml:space="preserve">28.  </w:t>
      </w:r>
      <w:r>
        <w:rPr>
          <w:rFonts w:ascii="Cambria" w:cs="Cambria" w:eastAsia="Cambria" w:hAnsi="Cambria"/>
          <w:b/>
          <w:bCs/>
          <w:color w:val="17324D"/>
        </w:rPr>
        <w:t xml:space="preserve">EXPECTED OUTCOMES</w:t>
      </w:r>
    </w:p>
    <w:p>
      <w:pPr>
        <w:pStyle w:val="ListParagraph"/>
        <w:numPr>
          <w:ilvl w:val="0"/>
          <w:numId w:val="2"/>
        </w:numPr>
        <w:spacing w:after="80" w:line="276"/>
      </w:pPr>
      <w:r>
        <w:rPr>
          <w:rFonts w:ascii="Calibri" w:cs="Calibri" w:eastAsia="Calibri" w:hAnsi="Calibri"/>
          <w:color w:val="3B3B3B"/>
          <w:sz w:val="22"/>
          <w:szCs w:val="22"/>
        </w:rPr>
        <w:t xml:space="preserve">Secure, independently certified government systems</w:t>
      </w:r>
    </w:p>
    <w:p>
      <w:pPr>
        <w:pStyle w:val="ListParagraph"/>
        <w:numPr>
          <w:ilvl w:val="0"/>
          <w:numId w:val="2"/>
        </w:numPr>
        <w:spacing w:after="80" w:line="276"/>
      </w:pPr>
      <w:r>
        <w:rPr>
          <w:rFonts w:ascii="Calibri" w:cs="Calibri" w:eastAsia="Calibri" w:hAnsi="Calibri"/>
          <w:color w:val="3B3B3B"/>
          <w:sz w:val="22"/>
          <w:szCs w:val="22"/>
        </w:rPr>
        <w:t xml:space="preserve">Measurably reduced cyber incidents across the public sector</w:t>
      </w:r>
    </w:p>
    <w:p>
      <w:pPr>
        <w:pStyle w:val="ListParagraph"/>
        <w:numPr>
          <w:ilvl w:val="0"/>
          <w:numId w:val="2"/>
        </w:numPr>
        <w:spacing w:after="80" w:line="276"/>
      </w:pPr>
      <w:r>
        <w:rPr>
          <w:rFonts w:ascii="Calibri" w:cs="Calibri" w:eastAsia="Calibri" w:hAnsi="Calibri"/>
          <w:color w:val="3B3B3B"/>
          <w:sz w:val="22"/>
          <w:szCs w:val="22"/>
        </w:rPr>
        <w:t xml:space="preserve">A stronger, better-resourced national regulatory environment</w:t>
      </w:r>
    </w:p>
    <w:p>
      <w:pPr>
        <w:pStyle w:val="Heading1"/>
        <w:pBdr>
          <w:bottom w:val="single" w:color="B8860B" w:sz="6" w:space="4"/>
        </w:pBdr>
        <w:spacing w:after="200" w:before="420"/>
      </w:pPr>
      <w:r>
        <w:rPr>
          <w:rFonts w:ascii="Cambria" w:cs="Cambria" w:eastAsia="Cambria" w:hAnsi="Cambria"/>
          <w:b/>
          <w:bCs/>
          <w:color w:val="B8860B"/>
        </w:rPr>
        <w:t xml:space="preserve">29.  </w:t>
      </w:r>
      <w:r>
        <w:rPr>
          <w:rFonts w:ascii="Cambria" w:cs="Cambria" w:eastAsia="Cambria" w:hAnsi="Cambria"/>
          <w:b/>
          <w:bCs/>
          <w:color w:val="17324D"/>
        </w:rPr>
        <w:t xml:space="preserve">STRATEGIC NATIONAL IMPACT</w:t>
      </w:r>
    </w:p>
    <w:p>
      <w:pPr>
        <w:pStyle w:val="ListParagraph"/>
        <w:numPr>
          <w:ilvl w:val="0"/>
          <w:numId w:val="2"/>
        </w:numPr>
        <w:spacing w:after="80" w:line="276"/>
      </w:pPr>
      <w:r>
        <w:rPr>
          <w:rFonts w:ascii="Calibri" w:cs="Calibri" w:eastAsia="Calibri" w:hAnsi="Calibri"/>
          <w:color w:val="3B3B3B"/>
          <w:sz w:val="22"/>
          <w:szCs w:val="22"/>
        </w:rPr>
        <w:t xml:space="preserve">Increased investor confidence in Zimbabwe’s digital and institutional infrastructure</w:t>
      </w:r>
    </w:p>
    <w:p>
      <w:pPr>
        <w:pStyle w:val="ListParagraph"/>
        <w:numPr>
          <w:ilvl w:val="0"/>
          <w:numId w:val="2"/>
        </w:numPr>
        <w:spacing w:after="80" w:line="276"/>
      </w:pPr>
      <w:r>
        <w:rPr>
          <w:rFonts w:ascii="Calibri" w:cs="Calibri" w:eastAsia="Calibri" w:hAnsi="Calibri"/>
          <w:color w:val="3B3B3B"/>
          <w:sz w:val="22"/>
          <w:szCs w:val="22"/>
        </w:rPr>
        <w:t xml:space="preserve">Improved reliability and trust in digital government services</w:t>
      </w:r>
    </w:p>
    <w:p>
      <w:pPr>
        <w:pStyle w:val="ListParagraph"/>
        <w:numPr>
          <w:ilvl w:val="0"/>
          <w:numId w:val="2"/>
        </w:numPr>
        <w:spacing w:after="80" w:line="276"/>
      </w:pPr>
      <w:r>
        <w:rPr>
          <w:rFonts w:ascii="Calibri" w:cs="Calibri" w:eastAsia="Calibri" w:hAnsi="Calibri"/>
          <w:color w:val="3B3B3B"/>
          <w:sz w:val="22"/>
          <w:szCs w:val="22"/>
        </w:rPr>
        <w:t xml:space="preserve">Enhanced global competitiveness on digital governance and cybersecurity maturity</w:t>
      </w:r>
    </w:p>
    <w:p>
      <w:pPr>
        <w:pStyle w:val="Heading1"/>
        <w:pBdr>
          <w:bottom w:val="single" w:color="B8860B" w:sz="6" w:space="4"/>
        </w:pBdr>
        <w:spacing w:after="200" w:before="420"/>
      </w:pPr>
      <w:r>
        <w:rPr>
          <w:rFonts w:ascii="Cambria" w:cs="Cambria" w:eastAsia="Cambria" w:hAnsi="Cambria"/>
          <w:b/>
          <w:bCs/>
          <w:color w:val="B8860B"/>
        </w:rPr>
        <w:t xml:space="preserve">30.  </w:t>
      </w:r>
      <w:r>
        <w:rPr>
          <w:rFonts w:ascii="Cambria" w:cs="Cambria" w:eastAsia="Cambria" w:hAnsi="Cambria"/>
          <w:b/>
          <w:bCs/>
          <w:color w:val="17324D"/>
        </w:rPr>
        <w:t xml:space="preserve">WHY FRAMPOL AFRICA</w:t>
      </w:r>
    </w:p>
    <w:p>
      <w:pPr>
        <w:spacing w:after="160" w:line="288"/>
        <w:jc w:val="both"/>
      </w:pPr>
      <w:r>
        <w:rPr>
          <w:rFonts w:ascii="Calibri" w:cs="Calibri" w:eastAsia="Calibri" w:hAnsi="Calibri"/>
          <w:color w:val="3B3B3B"/>
          <w:sz w:val="22"/>
          <w:szCs w:val="22"/>
        </w:rPr>
        <w:t xml:space="preserve">Frampol Africa is uniquely positioned to deliver this Partnership, due to:</w:t>
      </w:r>
    </w:p>
    <w:p>
      <w:pPr>
        <w:pStyle w:val="ListParagraph"/>
        <w:numPr>
          <w:ilvl w:val="0"/>
          <w:numId w:val="2"/>
        </w:numPr>
        <w:spacing w:after="80" w:line="276"/>
      </w:pPr>
      <w:r>
        <w:rPr>
          <w:rFonts w:ascii="Calibri" w:cs="Calibri" w:eastAsia="Calibri" w:hAnsi="Calibri"/>
          <w:color w:val="3B3B3B"/>
          <w:sz w:val="22"/>
          <w:szCs w:val="22"/>
        </w:rPr>
        <w:t xml:space="preserve">Deep local market and institutional understanding</w:t>
      </w:r>
    </w:p>
    <w:p>
      <w:pPr>
        <w:pStyle w:val="ListParagraph"/>
        <w:numPr>
          <w:ilvl w:val="0"/>
          <w:numId w:val="2"/>
        </w:numPr>
        <w:spacing w:after="80" w:line="276"/>
      </w:pPr>
      <w:r>
        <w:rPr>
          <w:rFonts w:ascii="Calibri" w:cs="Calibri" w:eastAsia="Calibri" w:hAnsi="Calibri"/>
          <w:color w:val="3B3B3B"/>
          <w:sz w:val="22"/>
          <w:szCs w:val="22"/>
        </w:rPr>
        <w:t xml:space="preserve">Strong ICT and cybersecurity technical expertise</w:t>
      </w:r>
    </w:p>
    <w:p>
      <w:pPr>
        <w:pStyle w:val="ListParagraph"/>
        <w:numPr>
          <w:ilvl w:val="0"/>
          <w:numId w:val="2"/>
        </w:numPr>
        <w:spacing w:after="80" w:line="276"/>
      </w:pPr>
      <w:r>
        <w:rPr>
          <w:rFonts w:ascii="Calibri" w:cs="Calibri" w:eastAsia="Calibri" w:hAnsi="Calibri"/>
          <w:color w:val="3B3B3B"/>
          <w:sz w:val="22"/>
          <w:szCs w:val="22"/>
        </w:rPr>
        <w:t xml:space="preserve">The ability to operate genuinely independently of the systems it assesses</w:t>
      </w:r>
    </w:p>
    <w:p>
      <w:pPr>
        <w:pStyle w:val="ListParagraph"/>
        <w:numPr>
          <w:ilvl w:val="0"/>
          <w:numId w:val="2"/>
        </w:numPr>
        <w:spacing w:after="80" w:line="276"/>
      </w:pPr>
      <w:r>
        <w:rPr>
          <w:rFonts w:ascii="Calibri" w:cs="Calibri" w:eastAsia="Calibri" w:hAnsi="Calibri"/>
          <w:color w:val="3B3B3B"/>
          <w:sz w:val="22"/>
          <w:szCs w:val="22"/>
        </w:rPr>
        <w:t xml:space="preserve">Flexibility and cost efficiency relative to alternative providers</w:t>
      </w:r>
    </w:p>
    <w:p>
      <w:pPr>
        <w:spacing w:after="160" w:line="288"/>
        <w:jc w:val="both"/>
      </w:pPr>
      <w:r>
        <w:rPr>
          <w:rFonts w:ascii="Calibri" w:cs="Calibri" w:eastAsia="Calibri" w:hAnsi="Calibri"/>
          <w:color w:val="3B3B3B"/>
          <w:sz w:val="22"/>
          <w:szCs w:val="22"/>
        </w:rPr>
        <w:t xml:space="preserve">Unlike large global assurance firms, Frampol Africa is:</w:t>
      </w:r>
    </w:p>
    <w:p>
      <w:pPr>
        <w:pStyle w:val="ListParagraph"/>
        <w:numPr>
          <w:ilvl w:val="0"/>
          <w:numId w:val="2"/>
        </w:numPr>
        <w:spacing w:after="80" w:line="276"/>
      </w:pPr>
      <w:r>
        <w:rPr>
          <w:rFonts w:ascii="Calibri" w:cs="Calibri" w:eastAsia="Calibri" w:hAnsi="Calibri"/>
          <w:color w:val="3B3B3B"/>
          <w:sz w:val="22"/>
          <w:szCs w:val="22"/>
        </w:rPr>
        <w:t xml:space="preserve">More adaptable to Zimbabwe’s specific institutional and regulatory context</w:t>
      </w:r>
    </w:p>
    <w:p>
      <w:pPr>
        <w:pStyle w:val="ListParagraph"/>
        <w:numPr>
          <w:ilvl w:val="0"/>
          <w:numId w:val="2"/>
        </w:numPr>
        <w:spacing w:after="80" w:line="276"/>
      </w:pPr>
      <w:r>
        <w:rPr>
          <w:rFonts w:ascii="Calibri" w:cs="Calibri" w:eastAsia="Calibri" w:hAnsi="Calibri"/>
          <w:color w:val="3B3B3B"/>
          <w:sz w:val="22"/>
          <w:szCs w:val="22"/>
        </w:rPr>
        <w:t xml:space="preserve">More affordable, without a compromise on technical rigour</w:t>
      </w:r>
    </w:p>
    <w:p>
      <w:pPr>
        <w:pStyle w:val="ListParagraph"/>
        <w:numPr>
          <w:ilvl w:val="0"/>
          <w:numId w:val="2"/>
        </w:numPr>
        <w:spacing w:after="80" w:line="276"/>
      </w:pPr>
      <w:r>
        <w:rPr>
          <w:rFonts w:ascii="Calibri" w:cs="Calibri" w:eastAsia="Calibri" w:hAnsi="Calibri"/>
          <w:color w:val="3B3B3B"/>
          <w:sz w:val="22"/>
          <w:szCs w:val="22"/>
        </w:rPr>
        <w:t xml:space="preserve">Better aligned with local needs, priorities, and ways of working</w:t>
      </w:r>
    </w:p>
    <w:p>
      <w:pPr>
        <w:pStyle w:val="Heading1"/>
        <w:pBdr>
          <w:bottom w:val="single" w:color="B8860B" w:sz="6" w:space="4"/>
        </w:pBdr>
        <w:spacing w:after="200" w:before="420"/>
      </w:pPr>
      <w:r>
        <w:rPr>
          <w:rFonts w:ascii="Cambria" w:cs="Cambria" w:eastAsia="Cambria" w:hAnsi="Cambria"/>
          <w:b/>
          <w:bCs/>
          <w:color w:val="B8860B"/>
        </w:rPr>
        <w:t xml:space="preserve">31.  </w:t>
      </w:r>
      <w:r>
        <w:rPr>
          <w:rFonts w:ascii="Cambria" w:cs="Cambria" w:eastAsia="Cambria" w:hAnsi="Cambria"/>
          <w:b/>
          <w:bCs/>
          <w:color w:val="17324D"/>
        </w:rPr>
        <w:t xml:space="preserve">CONCLUSION</w:t>
      </w:r>
    </w:p>
    <w:p>
      <w:pPr>
        <w:spacing w:after="160" w:line="288"/>
        <w:jc w:val="both"/>
      </w:pPr>
      <w:r>
        <w:rPr>
          <w:rFonts w:ascii="Calibri" w:cs="Calibri" w:eastAsia="Calibri" w:hAnsi="Calibri"/>
          <w:color w:val="3B3B3B"/>
          <w:sz w:val="22"/>
          <w:szCs w:val="22"/>
        </w:rPr>
        <w:t xml:space="preserve">This Partnership provides a modern, scalable, and cost-effective solution to secure Zimbabwe’s digital transformation — built on proven international precedent, adapted to local realities, and structured to build sovereign capacity over time rather than create long-term dependency.</w:t>
      </w:r>
    </w:p>
    <w:p>
      <w:pPr>
        <w:pStyle w:val="Heading1"/>
        <w:pBdr>
          <w:bottom w:val="single" w:color="B8860B" w:sz="6" w:space="4"/>
        </w:pBdr>
        <w:spacing w:after="200" w:before="420"/>
      </w:pPr>
      <w:r>
        <w:rPr>
          <w:rFonts w:ascii="Cambria" w:cs="Cambria" w:eastAsia="Cambria" w:hAnsi="Cambria"/>
          <w:b/>
          <w:bCs/>
          <w:color w:val="B8860B"/>
        </w:rPr>
        <w:t xml:space="preserve">32.  </w:t>
      </w:r>
      <w:r>
        <w:rPr>
          <w:rFonts w:ascii="Cambria" w:cs="Cambria" w:eastAsia="Cambria" w:hAnsi="Cambria"/>
          <w:b/>
          <w:bCs/>
          <w:color w:val="17324D"/>
        </w:rPr>
        <w:t xml:space="preserve">POLICY RECOMMENDATION</w:t>
      </w:r>
    </w:p>
    <w:p>
      <w:pPr>
        <w:spacing w:after="160" w:line="288"/>
        <w:jc w:val="both"/>
      </w:pPr>
      <w:r>
        <w:rPr>
          <w:rFonts w:ascii="Calibri" w:cs="Calibri" w:eastAsia="Calibri" w:hAnsi="Calibri"/>
          <w:color w:val="3B3B3B"/>
          <w:sz w:val="22"/>
          <w:szCs w:val="22"/>
        </w:rPr>
        <w:t xml:space="preserve">The Government of Zimbabwe should:</w:t>
      </w:r>
    </w:p>
    <w:p>
      <w:pPr>
        <w:pStyle w:val="ListParagraph"/>
        <w:numPr>
          <w:ilvl w:val="0"/>
          <w:numId w:val="2"/>
        </w:numPr>
        <w:spacing w:after="80" w:line="276"/>
      </w:pPr>
      <w:r>
        <w:rPr>
          <w:rFonts w:ascii="Calibri" w:cs="Calibri" w:eastAsia="Calibri" w:hAnsi="Calibri"/>
          <w:color w:val="3B3B3B"/>
          <w:sz w:val="22"/>
          <w:szCs w:val="22"/>
        </w:rPr>
        <w:t xml:space="preserve">Approve the PPP framework set out in this proposal</w:t>
      </w:r>
    </w:p>
    <w:p>
      <w:pPr>
        <w:pStyle w:val="ListParagraph"/>
        <w:numPr>
          <w:ilvl w:val="0"/>
          <w:numId w:val="2"/>
        </w:numPr>
        <w:spacing w:after="80" w:line="276"/>
      </w:pPr>
      <w:r>
        <w:rPr>
          <w:rFonts w:ascii="Calibri" w:cs="Calibri" w:eastAsia="Calibri" w:hAnsi="Calibri"/>
          <w:color w:val="3B3B3B"/>
          <w:sz w:val="22"/>
          <w:szCs w:val="22"/>
        </w:rPr>
        <w:t xml:space="preserve">Mandate independent cybersecurity assurance across government systems</w:t>
      </w:r>
    </w:p>
    <w:p>
      <w:pPr>
        <w:pStyle w:val="ListParagraph"/>
        <w:numPr>
          <w:ilvl w:val="0"/>
          <w:numId w:val="2"/>
        </w:numPr>
        <w:spacing w:after="80" w:line="276"/>
      </w:pPr>
      <w:r>
        <w:rPr>
          <w:rFonts w:ascii="Calibri" w:cs="Calibri" w:eastAsia="Calibri" w:hAnsi="Calibri"/>
          <w:color w:val="3B3B3B"/>
          <w:sz w:val="22"/>
          <w:szCs w:val="22"/>
        </w:rPr>
        <w:t xml:space="preserve">Initiate the Phase 1 pilot implementation described in Section 17</w:t>
      </w:r>
    </w:p>
    <w:p>
      <w:pPr>
        <w:pStyle w:val="ListParagraph"/>
        <w:numPr>
          <w:ilvl w:val="0"/>
          <w:numId w:val="2"/>
        </w:numPr>
        <w:spacing w:after="80" w:line="276"/>
      </w:pPr>
      <w:r>
        <w:rPr>
          <w:rFonts w:ascii="Calibri" w:cs="Calibri" w:eastAsia="Calibri" w:hAnsi="Calibri"/>
          <w:color w:val="3B3B3B"/>
          <w:sz w:val="22"/>
          <w:szCs w:val="22"/>
        </w:rPr>
        <w:t xml:space="preserve">Scale the Partnership nationally following a successful pilot</w:t>
      </w:r>
    </w:p>
    <w:p>
      <w:pPr>
        <w:pStyle w:val="Heading2"/>
        <w:spacing w:after="140" w:before="260"/>
      </w:pPr>
      <w:r>
        <w:rPr>
          <w:rFonts w:ascii="Cambria" w:cs="Cambria" w:eastAsia="Cambria" w:hAnsi="Cambria"/>
          <w:b/>
          <w:bCs/>
          <w:color w:val="17324D"/>
        </w:rPr>
        <w:t xml:space="preserve">Final Positioning</w:t>
      </w:r>
    </w:p>
    <w:p>
      <w:pPr>
        <w:pBdr>
          <w:left w:val="single" w:color="B8860B" w:sz="24" w:space="8"/>
        </w:pBdr>
        <w:shd w:fill="F4E9D8" w:val="clear"/>
        <w:spacing w:after="220" w:before="120"/>
        <w:ind w:left="40"/>
      </w:pPr>
      <w:r>
        <w:rPr>
          <w:rFonts w:ascii="Calibri" w:cs="Calibri" w:eastAsia="Calibri" w:hAnsi="Calibri"/>
          <w:i/>
          <w:iCs/>
          <w:color w:val="0E1F30"/>
          <w:sz w:val="22"/>
          <w:szCs w:val="22"/>
        </w:rPr>
        <w:t xml:space="preserve">Through this Partnership, Zimbabwe becomes a leader in Independent Digital Assurance Governance in Africa.</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center"/>
    </w:pPr>
    <w:r>
      <w:rPr>
        <w:rFonts w:ascii="Calibri" w:cs="Calibri" w:eastAsia="Calibri" w:hAnsi="Calibri"/>
        <w:color w:val="808080"/>
        <w:sz w:val="16"/>
        <w:szCs w:val="16"/>
      </w:rPr>
      <w:t xml:space="preserve">Frampol Africa — Independent Digital Assurance Partnership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B8860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000" w:hanging="283"/>
      </w:pPr>
    </w:lvl>
  </w:abstractNum>
  <w:abstractNum w:abstractNumId="3" w15:restartNumberingAfterBreak="0">
    <w:multiLevelType w:val="hybridMultilevel"/>
    <w:lvl w:ilvl="0" w15:tentative="1">
      <w:start w:val="1"/>
      <w:numFmt w:val="decimal"/>
      <w:lvlText w:val="%1."/>
      <w:lvlJc w:val="left"/>
      <w:pPr>
        <w:ind w:left="567" w:hanging="283"/>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3B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2026-08-06T09:56:00.360Z</dcterms:created>
  <dcterms:modified xsi:type="dcterms:W3CDTF">2026-08-06T09:56:00.360Z</dcterms:modified>
</cp:coreProperties>
</file>

<file path=docProps/custom.xml><?xml version="1.0" encoding="utf-8"?>
<Properties xmlns="http://schemas.openxmlformats.org/officeDocument/2006/custom-properties" xmlns:vt="http://schemas.openxmlformats.org/officeDocument/2006/docPropsVTypes"/>
</file>