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Salesforce External Client App Setup Guide</w:t>
      </w:r>
    </w:p>
    <w:p>
      <w:pPr/>
      <w:r>
        <w:rPr>
          <w:i/>
        </w:rPr>
        <w:t xml:space="preserve">Step-by-step guide to create the OAuth app used by a .NET application to subscribe to Salesforce Platform Events</w:t>
      </w:r>
    </w:p>
    <w:p>
      <w:pPr>
        <w:pStyle w:val="Heading2"/>
      </w:pPr>
      <w:r>
        <w:t xml:space="preserve">1. Overview</w:t>
      </w:r>
    </w:p>
    <w:p>
      <w:pPr/>
      <w:r>
        <w:t xml:space="preserve">A .NET application needs a secure way to log in to Salesforce before it can subscribe to a Platform Event through the Pub/Sub API. This guide creates that login identity using the </w:t>
      </w:r>
      <w:r>
        <w:rPr>
          <w:b/>
        </w:rPr>
        <w:t xml:space="preserve">OAuth 2.0 Client Credentials flow</w:t>
      </w:r>
      <w:r>
        <w:t xml:space="preserve">, where the app authenticates with a Consumer Key and Consumer Secret and all calls run as one dedicated Salesforce user.</w:t>
      </w:r>
    </w:p>
    <w:p>
      <w:pPr/>
      <w:r>
        <w:rPr>
          <w:b/>
        </w:rPr>
        <w:t xml:space="preserve">Important note:</w:t>
      </w:r>
      <w:r>
        <w:t xml:space="preserve"> Since the Spring '26 release (February 2026), Salesforce disables creation of new </w:t>
      </w:r>
      <w:r>
        <w:rPr>
          <w:i/>
        </w:rPr>
        <w:t xml:space="preserve">Connected Apps</w:t>
      </w:r>
      <w:r>
        <w:t xml:space="preserve"> by default. New integrations should use an </w:t>
      </w:r>
      <w:r>
        <w:rPr>
          <w:b/>
        </w:rPr>
        <w:t xml:space="preserve">External Client App (ECA)</w:t>
      </w:r>
      <w:r>
        <w:t xml:space="preserve">. Existing Connected Apps keep working. If the "New Connected App" option is greyed out in your org, this is the reason, so follow the ECA steps below.</w:t>
      </w:r>
    </w:p>
    <w:p>
      <w:pPr>
        <w:pStyle w:val="Heading2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</w:pPr>
      <w:r>
        <w:t xml:space="preserve">Salesforce System Administrator access (or equivalent permissions to manage External Client Apps)</w:t>
      </w:r>
    </w:p>
    <w:p>
      <w:pPr>
        <w:pStyle w:val="ListParagraph"/>
        <w:numPr>
          <w:ilvl w:val="0"/>
          <w:numId w:val="2"/>
        </w:numPr>
      </w:pPr>
      <w:r>
        <w:t xml:space="preserve">The Platform Event already created in the org (for example </w:t>
      </w:r>
      <w:r>
        <w:rPr>
          <w:rStyle w:val="CodeChar"/>
        </w:rPr>
        <w:t xml:space="preserve">Order_Event__e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A dedicated integration user (recommended), or permission to create one</w:t>
      </w:r>
    </w:p>
    <w:p>
      <w:pPr>
        <w:pStyle w:val="ListParagraph"/>
        <w:numPr>
          <w:ilvl w:val="0"/>
          <w:numId w:val="2"/>
        </w:numPr>
      </w:pPr>
      <w:r>
        <w:t xml:space="preserve">Your org's </w:t>
      </w:r>
      <w:r>
        <w:rPr>
          <w:b/>
        </w:rPr>
        <w:t xml:space="preserve">My Domain</w:t>
      </w:r>
      <w:r>
        <w:t xml:space="preserve"> URL</w:t>
      </w:r>
    </w:p>
    <w:p>
      <w:pPr>
        <w:pStyle w:val="ListParagraph"/>
        <w:numPr>
          <w:ilvl w:val="0"/>
          <w:numId w:val="2"/>
        </w:numPr>
      </w:pPr>
      <w:r>
        <w:t xml:space="preserve">.NET 8 SDK installed on the development machine</w:t>
      </w:r>
    </w:p>
    <w:p>
      <w:pPr>
        <w:pStyle w:val="Heading2"/>
      </w:pPr>
      <w:r>
        <w:t xml:space="preserve">3. Step 1: Prepare the Integration User</w:t>
      </w:r>
    </w:p>
    <w:p>
      <w:pPr/>
      <w:r>
        <w:t xml:space="preserve">The Client Credentials flow runs every API call as a single "Run As" user, so prepare this user first.</w:t>
      </w:r>
    </w:p>
    <w:p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</w:rPr>
        <w:t xml:space="preserve">Setup &gt; Users &gt; Users</w:t>
      </w:r>
      <w:r>
        <w:t xml:space="preserve"> and create (or pick) a user, for example </w:t>
      </w:r>
      <w:r>
        <w:rPr>
          <w:i/>
        </w:rPr>
        <w:t xml:space="preserve">Integration User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Create a </w:t>
      </w:r>
      <w:r>
        <w:rPr>
          <w:b/>
        </w:rPr>
        <w:t xml:space="preserve">Permission Set</w:t>
      </w:r>
      <w:r>
        <w:t xml:space="preserve">, for example </w:t>
      </w:r>
      <w:r>
        <w:rPr>
          <w:rStyle w:val="CodeChar"/>
        </w:rPr>
        <w:t xml:space="preserve">PlatformEvent_Subscriber</w:t>
      </w:r>
      <w:r>
        <w:t xml:space="preserve">, with: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System Permission:</w:t>
      </w:r>
      <w:r>
        <w:t xml:space="preserve"> API Enabled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Object Settings:</w:t>
      </w:r>
      <w:r>
        <w:t xml:space="preserve"> Read access on the Platform Event object (for example </w:t>
      </w:r>
      <w:r>
        <w:rPr>
          <w:rStyle w:val="CodeChar"/>
        </w:rPr>
        <w:t xml:space="preserve">Order_Event__e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Assign the permission set to the integration user.</w:t>
      </w:r>
    </w:p>
    <w:p>
      <w:pPr>
        <w:pStyle w:val="Heading2"/>
      </w:pPr>
      <w:r>
        <w:t xml:space="preserve">4. Step 2: Create the External Client App</w:t>
      </w:r>
    </w:p>
    <w:p>
      <w:pPr>
        <w:pStyle w:val="ListParagraph"/>
        <w:numPr>
          <w:ilvl w:val="0"/>
          <w:numId w:val="5"/>
        </w:numPr>
      </w:pPr>
      <w:r>
        <w:t xml:space="preserve">In </w:t>
      </w:r>
      <w:r>
        <w:rPr>
          <w:b/>
        </w:rPr>
        <w:t xml:space="preserve">Setup</w:t>
      </w:r>
      <w:r>
        <w:t xml:space="preserve">, search for </w:t>
      </w:r>
      <w:r>
        <w:rPr>
          <w:b/>
        </w:rPr>
        <w:t xml:space="preserve">External Client App Manager</w:t>
      </w:r>
      <w:r>
        <w:t xml:space="preserve"> (Platform Tools &gt; Apps &gt; External Client Apps).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New External Client App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Fill in the </w:t>
      </w:r>
      <w:r>
        <w:rPr>
          <w:b/>
        </w:rPr>
        <w:t xml:space="preserve">Basic Information</w:t>
      </w:r>
      <w:r>
        <w:t xml:space="preserve">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External Client App Name:</w:t>
      </w:r>
      <w:r>
        <w:t xml:space="preserve"> </w:t>
      </w:r>
      <w:r>
        <w:rPr>
          <w:rStyle w:val="CodeChar"/>
        </w:rPr>
        <w:t xml:space="preserve">DotNet Platform Event Subscriber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API Name:</w:t>
      </w:r>
      <w:r>
        <w:t xml:space="preserve"> auto-filled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Contact Email:</w:t>
      </w:r>
      <w:r>
        <w:t xml:space="preserve"> your email address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Distribution State:</w:t>
      </w:r>
      <w:r>
        <w:t xml:space="preserve"> Local (the app is used only inside this org)</w:t>
      </w:r>
    </w:p>
    <w:p>
      <w:pPr>
        <w:pStyle w:val="ListParagraph"/>
        <w:numPr>
          <w:ilvl w:val="0"/>
          <w:numId w:val="5"/>
        </w:numPr>
      </w:pPr>
      <w:r>
        <w:t xml:space="preserve">Under </w:t>
      </w:r>
      <w:r>
        <w:rPr>
          <w:b/>
        </w:rPr>
        <w:t xml:space="preserve">API (Enable OAuth Settings)</w:t>
      </w:r>
      <w:r>
        <w:t xml:space="preserve">, tick </w:t>
      </w:r>
      <w:r>
        <w:rPr>
          <w:b/>
        </w:rPr>
        <w:t xml:space="preserve">Enable OAuth</w:t>
      </w:r>
      <w:r>
        <w:t xml:space="preserve">.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Callback URL:</w:t>
      </w:r>
      <w:r>
        <w:t xml:space="preserve"> any valid URL, for example </w:t>
      </w:r>
      <w:r>
        <w:rPr>
          <w:rStyle w:val="CodeChar"/>
        </w:rPr>
        <w:t xml:space="preserve">https://login.salesforce.com/services/oauth2/success</w:t>
      </w:r>
      <w:r>
        <w:t xml:space="preserve">. It is not called in the Client Credentials flow.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Selected OAuth Scopes:</w:t>
      </w:r>
      <w:r>
        <w:t xml:space="preserve"> add </w:t>
      </w:r>
      <w:r>
        <w:rPr>
          <w:b/>
        </w:rPr>
        <w:t xml:space="preserve">Manage user data via APIs (api)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Under </w:t>
      </w:r>
      <w:r>
        <w:rPr>
          <w:b/>
        </w:rPr>
        <w:t xml:space="preserve">Flow Enablement</w:t>
      </w:r>
      <w:r>
        <w:t xml:space="preserve">, tick </w:t>
      </w:r>
      <w:r>
        <w:rPr>
          <w:b/>
        </w:rPr>
        <w:t xml:space="preserve">Enable Client Credentials Flow</w:t>
      </w:r>
      <w:r>
        <w:t xml:space="preserve"> and acknowledge the security warning.</w:t>
      </w:r>
    </w:p>
    <w:p>
      <w:pPr>
        <w:pStyle w:val="ListParagraph"/>
        <w:numPr>
          <w:ilvl w:val="0"/>
          <w:numId w:val="5"/>
        </w:numPr>
      </w:pPr>
      <w:r>
        <w:t xml:space="preserve">Keep the default security options ("Require Secret for Web Server Flow" and "Require Secret for Refresh Token Flow" stay ticked).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Create</w:t>
      </w:r>
      <w:r>
        <w:t xml:space="preserve">.</w:t>
      </w:r>
    </w:p>
    <w:p>
      <w:pPr>
        <w:pStyle w:val="Heading2"/>
      </w:pPr>
      <w:r>
        <w:t xml:space="preserve">5. Step 3: Set the Run As User (Policies)</w:t>
      </w:r>
    </w:p>
    <w:p>
      <w:pPr/>
      <w:r>
        <w:t xml:space="preserve">Without this step, token requests fail.</w:t>
      </w:r>
    </w:p>
    <w:p>
      <w:pPr>
        <w:pStyle w:val="ListParagraph"/>
        <w:numPr>
          <w:ilvl w:val="0"/>
          <w:numId w:val="8"/>
        </w:numPr>
      </w:pPr>
      <w:r>
        <w:t xml:space="preserve">Open the new app in External Client App Manager and go to the </w:t>
      </w:r>
      <w:r>
        <w:rPr>
          <w:b/>
        </w:rPr>
        <w:t xml:space="preserve">Policies</w:t>
      </w:r>
      <w:r>
        <w:t xml:space="preserve"> tab.</w:t>
      </w:r>
    </w:p>
    <w:p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Under </w:t>
      </w:r>
      <w:r>
        <w:rPr>
          <w:b/>
        </w:rPr>
        <w:t xml:space="preserve">OAuth Policies</w:t>
      </w:r>
      <w:r>
        <w:t xml:space="preserve">, tick </w:t>
      </w:r>
      <w:r>
        <w:rPr>
          <w:b/>
        </w:rPr>
        <w:t xml:space="preserve">Enable Client Credentials Flow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In </w:t>
      </w:r>
      <w:r>
        <w:rPr>
          <w:b/>
        </w:rPr>
        <w:t xml:space="preserve">Run As (Username)</w:t>
      </w:r>
      <w:r>
        <w:t xml:space="preserve">, select the integration user from Step 1.</w:t>
      </w:r>
    </w:p>
    <w:p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</w:rPr>
        <w:t xml:space="preserve">Save</w:t>
      </w:r>
      <w:r>
        <w:t xml:space="preserve">.</w:t>
      </w:r>
    </w:p>
    <w:p>
      <w:pPr>
        <w:pStyle w:val="Heading2"/>
      </w:pPr>
      <w:r>
        <w:t xml:space="preserve">6. Step 4: Get the Consumer Key and Secret</w:t>
      </w:r>
    </w:p>
    <w:p>
      <w:pPr>
        <w:pStyle w:val="ListParagraph"/>
        <w:numPr>
          <w:ilvl w:val="0"/>
          <w:numId w:val="9"/>
        </w:numPr>
      </w:pPr>
      <w:r>
        <w:t xml:space="preserve">Open the app and go to the </w:t>
      </w:r>
      <w:r>
        <w:rPr>
          <w:b/>
        </w:rPr>
        <w:t xml:space="preserve">Settings</w:t>
      </w:r>
      <w:r>
        <w:t xml:space="preserve"> tab.</w:t>
      </w:r>
    </w:p>
    <w:p>
      <w:pPr>
        <w:pStyle w:val="ListParagraph"/>
        <w:numPr>
          <w:ilvl w:val="0"/>
          <w:numId w:val="9"/>
        </w:numPr>
      </w:pPr>
      <w:r>
        <w:t xml:space="preserve">Expand </w:t>
      </w:r>
      <w:r>
        <w:rPr>
          <w:b/>
        </w:rPr>
        <w:t xml:space="preserve">OAuth Settings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Click </w:t>
      </w:r>
      <w:r>
        <w:rPr>
          <w:b/>
        </w:rPr>
        <w:t xml:space="preserve">Consumer Key and Secret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Verify your identity using the verification code Salesforce emails to you.</w:t>
      </w:r>
    </w:p>
    <w:p>
      <w:pPr>
        <w:pStyle w:val="ListParagraph"/>
        <w:numPr>
          <w:ilvl w:val="0"/>
          <w:numId w:val="9"/>
        </w:numPr>
      </w:pPr>
      <w:r>
        <w:t xml:space="preserve">Copy both values and store them securely (for example in a password manager or Azure Key Vault).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737"/>
        <w:gridCol w:w="4622"/>
      </w:tblGrid>
      <w:tr>
        <w:trPr>
          <w:tblHeader/>
        </w:trPr>
        <w:tc>
          <w:tcPr>
            <w:tcW w:w="4737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4622" w:type="dxa"/>
            <w:shd w:val="clear" w:color="auto" w:fill="F2F2F2"/>
          </w:tcPr>
          <w:p>
            <w:pPr/>
            <w:r>
              <w:t xml:space="preserve">Used in .NET as</w:t>
            </w:r>
          </w:p>
        </w:tc>
      </w:tr>
      <w:tr>
        <w:tc>
          <w:tcPr>
            <w:tcW w:w="4737" w:type="dxa"/>
          </w:tcPr>
          <w:p>
            <w:pPr/>
            <w:r>
              <w:t xml:space="preserve">Consumer Key</w:t>
            </w:r>
          </w:p>
        </w:tc>
        <w:tc>
          <w:tcPr>
            <w:tcW w:w="4622" w:type="dxa"/>
          </w:tcPr>
          <w:p>
            <w:pPr/>
            <w:r>
              <w:rPr>
                <w:rStyle w:val="CodeChar"/>
              </w:rPr>
              <w:t xml:space="preserve">ClientId</w:t>
            </w:r>
          </w:p>
        </w:tc>
      </w:tr>
      <w:tr>
        <w:tc>
          <w:tcPr>
            <w:tcW w:w="4737" w:type="dxa"/>
          </w:tcPr>
          <w:p>
            <w:pPr/>
            <w:r>
              <w:t xml:space="preserve">Consumer Secret</w:t>
            </w:r>
          </w:p>
        </w:tc>
        <w:tc>
          <w:tcPr>
            <w:tcW w:w="4622" w:type="dxa"/>
          </w:tcPr>
          <w:p>
            <w:pPr/>
            <w:r>
              <w:rPr>
                <w:rStyle w:val="CodeChar"/>
              </w:rPr>
              <w:t xml:space="preserve">ClientSecret</w:t>
            </w:r>
          </w:p>
        </w:tc>
      </w:tr>
    </w:tbl>
    <w:p>
      <w:pPr>
        <w:pStyle w:val="Heading2"/>
      </w:pPr>
      <w:r>
        <w:t xml:space="preserve">7. Step 5: Find Your My Domain URL</w:t>
      </w:r>
    </w:p>
    <w:p>
      <w:pPr>
        <w:pStyle w:val="ListParagraph"/>
        <w:numPr>
          <w:ilvl w:val="0"/>
          <w:numId w:val="10"/>
        </w:numPr>
      </w:pPr>
      <w:r>
        <w:t xml:space="preserve">In </w:t>
      </w:r>
      <w:r>
        <w:rPr>
          <w:b/>
        </w:rPr>
        <w:t xml:space="preserve">Setup</w:t>
      </w:r>
      <w:r>
        <w:t xml:space="preserve">, search for </w:t>
      </w:r>
      <w:r>
        <w:rPr>
          <w:b/>
        </w:rPr>
        <w:t xml:space="preserve">My Domain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Copy the </w:t>
      </w:r>
      <w:r>
        <w:rPr>
          <w:b/>
        </w:rPr>
        <w:t xml:space="preserve">Current My Domain URL</w:t>
      </w:r>
      <w:r>
        <w:t xml:space="preserve">, for example </w:t>
      </w:r>
      <w:r>
        <w:rPr>
          <w:rStyle w:val="CodeChar"/>
        </w:rPr>
        <w:t xml:space="preserve">https://yourcompany.my.salesforce.com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For a sandbox, the URL looks like </w:t>
      </w:r>
      <w:r>
        <w:rPr>
          <w:rStyle w:val="CodeChar"/>
        </w:rPr>
        <w:t xml:space="preserve">https://yourcompany--sandboxname.sandbox.my.salesforce.com</w:t>
      </w:r>
      <w:r>
        <w:t xml:space="preserve">.</w:t>
      </w:r>
    </w:p>
    <w:p>
      <w:pPr/>
      <w:r>
        <w:t xml:space="preserve">This value is used as </w:t>
      </w:r>
      <w:r>
        <w:rPr>
          <w:rStyle w:val="CodeChar"/>
        </w:rPr>
        <w:t xml:space="preserve">LoginUrl</w:t>
      </w:r>
      <w:r>
        <w:t xml:space="preserve"> in the .NET configuration. The Client Credentials flow must call your My Domain URL, not </w:t>
      </w:r>
      <w:r>
        <w:rPr>
          <w:rStyle w:val="CodeChar"/>
        </w:rPr>
        <w:t xml:space="preserve">login.salesforce.com</w:t>
      </w:r>
      <w:r>
        <w:t xml:space="preserve">.</w:t>
      </w:r>
    </w:p>
    <w:p>
      <w:pPr>
        <w:pStyle w:val="Heading2"/>
      </w:pPr>
      <w:r>
        <w:t xml:space="preserve">8. Step 6: Test the Token Request</w:t>
      </w:r>
    </w:p>
    <w:p>
      <w:pPr/>
      <w:r>
        <w:t xml:space="preserve">Before running the .NET application, confirm the app works with a simple request.</w:t>
      </w:r>
    </w:p>
    <w:p>
      <w:pPr>
        <w:pStyle w:val="Code"/>
      </w:pPr>
      <w:bookmarkStart w:id="1" w:name="bongo_lang_bash_1"/>
      <w:bookmarkEnd w:id="1"/>
      <w:r>
        <w:t xml:space="preserve">curl -X POST "https://yourcompany.my.salesforce.com/services/oauth2/token" \</w:t>
        <w:br/>
        <w:t xml:space="preserve">  -d "grant_type=client_credentials" \</w:t>
        <w:br/>
        <w:t xml:space="preserve">  -d "client_id=YOUR_CONSUMER_KEY" \</w:t>
        <w:br/>
        <w:t xml:space="preserve">  -d "client_secret=YOUR_CONSUMER_SECRET"</w:t>
      </w:r>
    </w:p>
    <w:p>
      <w:pPr/>
      <w:r>
        <w:rPr>
          <w:b/>
        </w:rPr>
        <w:t xml:space="preserve">Expected result:</w:t>
      </w:r>
      <w:r>
        <w:t xml:space="preserve"> a JSON response containing </w:t>
      </w:r>
      <w:r>
        <w:rPr>
          <w:rStyle w:val="CodeChar"/>
        </w:rPr>
        <w:t xml:space="preserve">access_token</w:t>
      </w:r>
      <w:r>
        <w:t xml:space="preserve">, </w:t>
      </w:r>
      <w:r>
        <w:rPr>
          <w:rStyle w:val="CodeChar"/>
        </w:rPr>
        <w:t xml:space="preserve">instance_url</w:t>
      </w:r>
      <w:r>
        <w:t xml:space="preserve">, </w:t>
      </w:r>
      <w:r>
        <w:rPr>
          <w:rStyle w:val="CodeChar"/>
        </w:rPr>
        <w:t xml:space="preserve">id</w:t>
      </w:r>
      <w:r>
        <w:t xml:space="preserve">, and </w:t>
      </w:r>
      <w:r>
        <w:rPr>
          <w:rStyle w:val="CodeChar"/>
        </w:rPr>
        <w:t xml:space="preserve">token_type</w:t>
      </w:r>
      <w:r>
        <w:t xml:space="preserve">. If you receive this, the setup is correct.</w:t>
      </w:r>
    </w:p>
    <w:p>
      <w:pPr>
        <w:pStyle w:val="Heading2"/>
      </w:pPr>
      <w:r>
        <w:t xml:space="preserve">9. Step 7: Configure the .NET Application</w:t>
      </w:r>
    </w:p>
    <w:p>
      <w:pPr/>
      <w:r>
        <w:t xml:space="preserve">Place the values in </w:t>
      </w:r>
      <w:r>
        <w:rPr>
          <w:rStyle w:val="CodeChar"/>
        </w:rPr>
        <w:t xml:space="preserve">appsettings.json</w:t>
      </w:r>
      <w:r>
        <w:t xml:space="preserve">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"Salesforce": {</w:t>
        <w:br/>
        <w:t xml:space="preserve">    "LoginUrl": "https://yourcompany.my.salesforce.com",</w:t>
        <w:br/>
        <w:t xml:space="preserve">    "ClientId": "YOUR_CONSUMER_KEY",</w:t>
        <w:br/>
        <w:t xml:space="preserve">    "ClientSecret": "YOUR_CONSUMER_SECRET",</w:t>
        <w:br/>
        <w:t xml:space="preserve">    "TopicName": "/event/Order_Event__e",</w:t>
        <w:br/>
        <w:t xml:space="preserve">    "PubSubEndpoint": "https://api.pubsub.salesforce.com:443"</w:t>
        <w:br/>
        <w:t xml:space="preserve">  }</w:t>
        <w:br/>
        <w:t xml:space="preserve">}</w:t>
      </w:r>
    </w:p>
    <w:p>
      <w:pPr/>
      <w:r>
        <w:t xml:space="preserve">The application then requests a token from </w:t>
      </w:r>
      <w:r>
        <w:rPr>
          <w:rStyle w:val="CodeChar"/>
        </w:rPr>
        <w:t xml:space="preserve">{LoginUrl}/services/oauth2/token</w:t>
      </w:r>
      <w:r>
        <w:t xml:space="preserve"> using </w:t>
      </w:r>
      <w:r>
        <w:rPr>
          <w:rStyle w:val="CodeChar"/>
        </w:rPr>
        <w:t xml:space="preserve">grant_type=client_credentials</w:t>
      </w:r>
      <w:r>
        <w:t xml:space="preserve">, and uses the returned </w:t>
      </w:r>
      <w:r>
        <w:rPr>
          <w:rStyle w:val="CodeChar"/>
        </w:rPr>
        <w:t xml:space="preserve">access_token</w:t>
      </w:r>
      <w:r>
        <w:t xml:space="preserve">, </w:t>
      </w:r>
      <w:r>
        <w:rPr>
          <w:rStyle w:val="CodeChar"/>
        </w:rPr>
        <w:t xml:space="preserve">instance_url</w:t>
      </w:r>
      <w:r>
        <w:t xml:space="preserve">, and org ID (taken from the </w:t>
      </w:r>
      <w:r>
        <w:rPr>
          <w:rStyle w:val="CodeChar"/>
        </w:rPr>
        <w:t xml:space="preserve">id</w:t>
      </w:r>
      <w:r>
        <w:t xml:space="preserve"> field) as gRPC headers when subscribing to the topic.</w:t>
      </w:r>
    </w:p>
    <w:p>
      <w:pPr>
        <w:pStyle w:val="Heading2"/>
      </w:pPr>
      <w:r>
        <w:t xml:space="preserve">10.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19"/>
        <w:gridCol w:w="3055"/>
        <w:gridCol w:w="2686"/>
      </w:tblGrid>
      <w:tr>
        <w:trPr>
          <w:tblHeader/>
        </w:trPr>
        <w:tc>
          <w:tcPr>
            <w:tcW w:w="3619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3055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2686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619" w:type="dxa"/>
          </w:tcPr>
          <w:p>
            <w:pPr/>
            <w:r>
              <w:rPr>
                <w:rStyle w:val="CodeChar"/>
              </w:rPr>
              <w:t xml:space="preserve">invalid_client_id</w:t>
            </w:r>
            <w:r>
              <w:t xml:space="preserve"> or </w:t>
            </w:r>
            <w:r>
              <w:rPr>
                <w:rStyle w:val="CodeChar"/>
              </w:rPr>
              <w:t xml:space="preserve">invalid_grant</w:t>
            </w:r>
            <w:r>
              <w:t xml:space="preserve"> right after creation</w:t>
            </w:r>
          </w:p>
        </w:tc>
        <w:tc>
          <w:tcPr>
            <w:tcW w:w="3055" w:type="dxa"/>
          </w:tcPr>
          <w:p>
            <w:pPr/>
            <w:r>
              <w:t xml:space="preserve">New app not yet active</w:t>
            </w:r>
          </w:p>
        </w:tc>
        <w:tc>
          <w:tcPr>
            <w:tcW w:w="2686" w:type="dxa"/>
          </w:tcPr>
          <w:p>
            <w:pPr/>
            <w:r>
              <w:t xml:space="preserve">Wait up to 10 minutes and retry</w:t>
            </w:r>
          </w:p>
        </w:tc>
      </w:tr>
      <w:tr>
        <w:tc>
          <w:tcPr>
            <w:tcW w:w="3619" w:type="dxa"/>
          </w:tcPr>
          <w:p>
            <w:pPr/>
            <w:r>
              <w:rPr>
                <w:rStyle w:val="CodeChar"/>
              </w:rPr>
              <w:t xml:space="preserve">invalid_client</w:t>
            </w:r>
            <w:r>
              <w:t xml:space="preserve"> or </w:t>
            </w:r>
            <w:r>
              <w:rPr>
                <w:rStyle w:val="CodeChar"/>
              </w:rPr>
              <w:t xml:space="preserve">unsupported_grant_type</w:t>
            </w:r>
          </w:p>
        </w:tc>
        <w:tc>
          <w:tcPr>
            <w:tcW w:w="3055" w:type="dxa"/>
          </w:tcPr>
          <w:p>
            <w:pPr/>
            <w:r>
              <w:t xml:space="preserve">Client Credentials not enabled in both Flow Enablement and Policies</w:t>
            </w:r>
          </w:p>
        </w:tc>
        <w:tc>
          <w:tcPr>
            <w:tcW w:w="2686" w:type="dxa"/>
          </w:tcPr>
          <w:p>
            <w:pPr/>
            <w:r>
              <w:t xml:space="preserve">Re-check Step 2 (item 5) and Step 3 (item 3)</w:t>
            </w:r>
          </w:p>
        </w:tc>
      </w:tr>
      <w:tr>
        <w:tc>
          <w:tcPr>
            <w:tcW w:w="3619" w:type="dxa"/>
          </w:tcPr>
          <w:p>
            <w:pPr/>
            <w:r>
              <w:t xml:space="preserve">Error mentioning no Run As user</w:t>
            </w:r>
          </w:p>
        </w:tc>
        <w:tc>
          <w:tcPr>
            <w:tcW w:w="3055" w:type="dxa"/>
          </w:tcPr>
          <w:p>
            <w:pPr/>
            <w:r>
              <w:t xml:space="preserve">Run As user not set</w:t>
            </w:r>
          </w:p>
        </w:tc>
        <w:tc>
          <w:tcPr>
            <w:tcW w:w="2686" w:type="dxa"/>
          </w:tcPr>
          <w:p>
            <w:pPr/>
            <w:r>
              <w:t xml:space="preserve">Complete Step 3</w:t>
            </w:r>
          </w:p>
        </w:tc>
      </w:tr>
      <w:tr>
        <w:tc>
          <w:tcPr>
            <w:tcW w:w="3619" w:type="dxa"/>
          </w:tcPr>
          <w:p>
            <w:pPr/>
            <w:r>
              <w:t xml:space="preserve">Token works but subscribe returns permission error</w:t>
            </w:r>
          </w:p>
        </w:tc>
        <w:tc>
          <w:tcPr>
            <w:tcW w:w="3055" w:type="dxa"/>
          </w:tcPr>
          <w:p>
            <w:pPr/>
            <w:r>
              <w:t xml:space="preserve">Integration user lacks Read access on the event</w:t>
            </w:r>
          </w:p>
        </w:tc>
        <w:tc>
          <w:tcPr>
            <w:tcW w:w="2686" w:type="dxa"/>
          </w:tcPr>
          <w:p>
            <w:pPr/>
            <w:r>
              <w:t xml:space="preserve">Update the permission set in Step 1</w:t>
            </w:r>
          </w:p>
        </w:tc>
      </w:tr>
      <w:tr>
        <w:tc>
          <w:tcPr>
            <w:tcW w:w="3619" w:type="dxa"/>
          </w:tcPr>
          <w:p>
            <w:pPr/>
            <w:r>
              <w:t xml:space="preserve">"New Connected App" is greyed out</w:t>
            </w:r>
          </w:p>
        </w:tc>
        <w:tc>
          <w:tcPr>
            <w:tcW w:w="3055" w:type="dxa"/>
          </w:tcPr>
          <w:p>
            <w:pPr/>
            <w:r>
              <w:t xml:space="preserve">Spring '26 default restriction</w:t>
            </w:r>
          </w:p>
        </w:tc>
        <w:tc>
          <w:tcPr>
            <w:tcW w:w="2686" w:type="dxa"/>
          </w:tcPr>
          <w:p>
            <w:pPr/>
            <w:r>
              <w:t xml:space="preserve">Use External Client App as described here</w:t>
            </w:r>
          </w:p>
        </w:tc>
      </w:tr>
      <w:tr>
        <w:tc>
          <w:tcPr>
            <w:tcW w:w="3619" w:type="dxa"/>
          </w:tcPr>
          <w:p>
            <w:pPr/>
            <w:r>
              <w:t xml:space="preserve">Token request fails on </w:t>
            </w:r>
            <w:r>
              <w:rPr>
                <w:rStyle w:val="CodeChar"/>
              </w:rPr>
              <w:t xml:space="preserve">login.salesforce.com</w:t>
            </w:r>
          </w:p>
        </w:tc>
        <w:tc>
          <w:tcPr>
            <w:tcW w:w="3055" w:type="dxa"/>
          </w:tcPr>
          <w:p>
            <w:pPr/>
            <w:r>
              <w:t xml:space="preserve">Wrong endpoint for this flow</w:t>
            </w:r>
          </w:p>
        </w:tc>
        <w:tc>
          <w:tcPr>
            <w:tcW w:w="2686" w:type="dxa"/>
          </w:tcPr>
          <w:p>
            <w:pPr/>
            <w:r>
              <w:t xml:space="preserve">Use the My Domain URL</w:t>
            </w:r>
          </w:p>
        </w:tc>
      </w:tr>
    </w:tbl>
    <w:p>
      <w:pPr>
        <w:pStyle w:val="Heading2"/>
      </w:pPr>
      <w:r>
        <w:t xml:space="preserve">11. Security Best Practices</w:t>
      </w:r>
    </w:p>
    <w:p>
      <w:pPr>
        <w:pStyle w:val="ListParagraph"/>
        <w:numPr>
          <w:ilvl w:val="0"/>
          <w:numId w:val="11"/>
        </w:numPr>
      </w:pPr>
      <w:r>
        <w:t xml:space="preserve">Use a </w:t>
      </w:r>
      <w:r>
        <w:rPr>
          <w:b/>
        </w:rPr>
        <w:t xml:space="preserve">dedicated integration user</w:t>
      </w:r>
      <w:r>
        <w:t xml:space="preserve"> with only the permissions it needs.</w:t>
      </w:r>
    </w:p>
    <w:p>
      <w:pPr>
        <w:pStyle w:val="ListParagraph"/>
        <w:numPr>
          <w:ilvl w:val="0"/>
          <w:numId w:val="11"/>
        </w:numPr>
      </w:pPr>
      <w:r>
        <w:t xml:space="preserve">Never commit the Consumer Secret to source control. Use environment variables, .NET User Secrets (development), or Azure Key Vault (production).</w:t>
      </w:r>
    </w:p>
    <w:p>
      <w:pPr>
        <w:pStyle w:val="ListParagraph"/>
        <w:numPr>
          <w:ilvl w:val="0"/>
          <w:numId w:val="11"/>
        </w:numPr>
      </w:pPr>
      <w:r>
        <w:t xml:space="preserve">Rotate the Consumer Secret periodically.</w:t>
      </w:r>
    </w:p>
    <w:p>
      <w:pPr>
        <w:pStyle w:val="ListParagraph"/>
        <w:numPr>
          <w:ilvl w:val="0"/>
          <w:numId w:val="11"/>
        </w:numPr>
      </w:pPr>
      <w:r>
        <w:t xml:space="preserve">For production, consider the </w:t>
      </w:r>
      <w:r>
        <w:rPr>
          <w:b/>
        </w:rPr>
        <w:t xml:space="preserve">JWT Bearer flow</w:t>
      </w:r>
      <w:r>
        <w:t xml:space="preserve"> (certificate-based) instead of a shared secret.</w:t>
      </w:r>
    </w:p>
    <w:p>
      <w:pPr>
        <w:pStyle w:val="ListParagraph"/>
        <w:numPr>
          <w:ilvl w:val="0"/>
          <w:numId w:val="11"/>
        </w:numPr>
      </w:pPr>
      <w:r>
        <w:t xml:space="preserve">Restrict access by IP ranges in the app's policies if your hosting environment has fixed IPs.</w:t>
      </w:r>
    </w:p>
    <w:p>
      <w:pPr>
        <w:pStyle w:val="Heading2"/>
      </w:pPr>
      <w:r>
        <w:t xml:space="preserve">12. Quick Checklist</w:t>
      </w:r>
    </w:p>
    <w:p>
      <w:pPr>
        <w:pStyle w:val="ListParagraph"/>
        <w:numPr>
          <w:ilvl w:val="0"/>
          <w:numId w:val="12"/>
        </w:numPr>
      </w:pPr>
      <w:r>
        <w:t xml:space="preserve">☐ Integration user created with API Enabled</w:t>
      </w:r>
    </w:p>
    <w:p>
      <w:pPr>
        <w:pStyle w:val="ListParagraph"/>
        <w:numPr>
          <w:ilvl w:val="0"/>
          <w:numId w:val="12"/>
        </w:numPr>
      </w:pPr>
      <w:r>
        <w:t xml:space="preserve">☐ Permission set grants Read on the Platform Event</w:t>
      </w:r>
    </w:p>
    <w:p>
      <w:pPr>
        <w:pStyle w:val="ListParagraph"/>
        <w:numPr>
          <w:ilvl w:val="0"/>
          <w:numId w:val="12"/>
        </w:numPr>
      </w:pPr>
      <w:r>
        <w:t xml:space="preserve">☐ External Client App created with OAuth enabled and </w:t>
      </w:r>
      <w:r>
        <w:rPr>
          <w:rStyle w:val="CodeChar"/>
        </w:rPr>
        <w:t xml:space="preserve">api</w:t>
      </w:r>
      <w:r>
        <w:t xml:space="preserve"> scope</w:t>
      </w:r>
    </w:p>
    <w:p>
      <w:pPr>
        <w:pStyle w:val="ListParagraph"/>
        <w:numPr>
          <w:ilvl w:val="0"/>
          <w:numId w:val="12"/>
        </w:numPr>
      </w:pPr>
      <w:r>
        <w:t xml:space="preserve">☐ Client Credentials Flow enabled in app settings and in Policies</w:t>
      </w:r>
    </w:p>
    <w:p>
      <w:pPr>
        <w:pStyle w:val="ListParagraph"/>
        <w:numPr>
          <w:ilvl w:val="0"/>
          <w:numId w:val="12"/>
        </w:numPr>
      </w:pPr>
      <w:r>
        <w:t xml:space="preserve">☐ Run As user set</w:t>
      </w:r>
    </w:p>
    <w:p>
      <w:pPr>
        <w:pStyle w:val="ListParagraph"/>
        <w:numPr>
          <w:ilvl w:val="0"/>
          <w:numId w:val="12"/>
        </w:numPr>
      </w:pPr>
      <w:r>
        <w:t xml:space="preserve">☐ Consumer Key and Secret copied</w:t>
      </w:r>
    </w:p>
    <w:p>
      <w:pPr>
        <w:pStyle w:val="ListParagraph"/>
        <w:numPr>
          <w:ilvl w:val="0"/>
          <w:numId w:val="12"/>
        </w:numPr>
      </w:pPr>
      <w:r>
        <w:t xml:space="preserve">☐ My Domain URL noted</w:t>
      </w:r>
    </w:p>
    <w:p>
      <w:pPr>
        <w:pStyle w:val="ListParagraph"/>
        <w:numPr>
          <w:ilvl w:val="0"/>
          <w:numId w:val="12"/>
        </w:numPr>
      </w:pPr>
      <w:r>
        <w:t xml:space="preserve">☐ curl token test returns an </w:t>
      </w:r>
      <w:r>
        <w:rPr>
          <w:rStyle w:val="CodeChar"/>
        </w:rPr>
        <w:t xml:space="preserve">access_token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appsettings.json</w:t>
      </w:r>
      <w:r>
        <w:t xml:space="preserve"> updated in the .NET project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Salesforce External Client App Setup Guide</dc:title>
  <dc:description>Claude Docs node/84417e53-9d52@1 docx-w7</dc:description>
  <cp:revision>1</cp:revision>
</cp:coreProperties>
</file>