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04. Modelo Entidad Relación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04. Modelo Entidad Relación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Modelo de datos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Propósito</w:t>
      </w:r>
    </w:p>
    <w:p/>
    <w:p>
      <w:r>
        <w:t xml:space="preserve">El modelo entidad-relación organiza la información crítica de Escuela Pass en dominios</w:t>
      </w:r>
    </w:p>
    <w:p>
      <w:r>
        <w:t xml:space="preserve">institucionales, académicos, financieros, de seguridad y comunicación. La fuente primaria es</w:t>
      </w:r>
    </w:p>
    <w:p>
      <w:r>
        <w:t xml:space="preserve">src/database/entities/ y la cadena de migraciones TypeORM.</w:t>
      </w:r>
    </w:p>
    <w:p/>
    <w:p>
      <w:pPr>
        <w:pStyle w:val="Heading1"/>
      </w:pPr>
      <w:r>
        <w:rPr>
          <w:b/>
        </w:rPr>
        <w:t xml:space="preserve">2. Agrupación De Entidades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Dominio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Entidades principales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Finalidad</w:t>
            </w:r>
          </w:p>
        </w:tc>
      </w:tr>
      <w:tr>
        <w:tc>
          <w:tcPr>
            <w:tcW w:w="2400" w:type="dxa"/>
          </w:tcPr>
          <w:p>
            <w:r>
              <w:t xml:space="preserve">Identidad</w:t>
            </w:r>
          </w:p>
        </w:tc>
        <w:tc>
          <w:tcPr>
            <w:tcW w:w="2400" w:type="dxa"/>
          </w:tcPr>
          <w:p>
            <w:r>
              <w:t xml:space="preserve">users, refresh_tokens, privacy_policies, user_privacy_acceptances, audit_logs</w:t>
            </w:r>
          </w:p>
        </w:tc>
        <w:tc>
          <w:tcPr>
            <w:tcW w:w="2400" w:type="dxa"/>
          </w:tcPr>
          <w:p>
            <w:r>
              <w:t xml:space="preserve">Autenticación, privacidad y trazabilidad</w:t>
            </w:r>
          </w:p>
        </w:tc>
      </w:tr>
      <w:tr>
        <w:tc>
          <w:tcPr>
            <w:tcW w:w="2400" w:type="dxa"/>
          </w:tcPr>
          <w:p>
            <w:r>
              <w:t xml:space="preserve">Institución</w:t>
            </w:r>
          </w:p>
        </w:tc>
        <w:tc>
          <w:tcPr>
            <w:tcW w:w="2400" w:type="dxa"/>
          </w:tcPr>
          <w:p>
            <w:r>
              <w:t xml:space="preserve">schools, institution_settings, administrative_staff</w:t>
            </w:r>
          </w:p>
        </w:tc>
        <w:tc>
          <w:tcPr>
            <w:tcW w:w="2400" w:type="dxa"/>
          </w:tcPr>
          <w:p>
            <w:r>
              <w:t xml:space="preserve">Multiinstitución y perfil</w:t>
            </w:r>
          </w:p>
        </w:tc>
      </w:tr>
      <w:tr>
        <w:tc>
          <w:tcPr>
            <w:tcW w:w="2400" w:type="dxa"/>
          </w:tcPr>
          <w:p>
            <w:r>
              <w:t xml:space="preserve">Académico núcleo</w:t>
            </w:r>
          </w:p>
        </w:tc>
        <w:tc>
          <w:tcPr>
            <w:tcW w:w="2400" w:type="dxa"/>
          </w:tcPr>
          <w:p>
            <w:r>
              <w:t xml:space="preserve">groups, subjects, students, teachers, student_parents, teacher_groups</w:t>
            </w:r>
          </w:p>
        </w:tc>
        <w:tc>
          <w:tcPr>
            <w:tcW w:w="2400" w:type="dxa"/>
          </w:tcPr>
          <w:p>
            <w:r>
              <w:t xml:space="preserve">Gestión escolar</w:t>
            </w:r>
          </w:p>
        </w:tc>
      </w:tr>
      <w:tr>
        <w:tc>
          <w:tcPr>
            <w:tcW w:w="2400" w:type="dxa"/>
          </w:tcPr>
          <w:p>
            <w:r>
              <w:t xml:space="preserve">Asistencia</w:t>
            </w:r>
          </w:p>
        </w:tc>
        <w:tc>
          <w:tcPr>
            <w:tcW w:w="2400" w:type="dxa"/>
          </w:tcPr>
          <w:p>
            <w:r>
              <w:t xml:space="preserve">attendance_records, school_non_instructional_days</w:t>
            </w:r>
          </w:p>
        </w:tc>
        <w:tc>
          <w:tcPr>
            <w:tcW w:w="2400" w:type="dxa"/>
          </w:tcPr>
          <w:p>
            <w:r>
              <w:t xml:space="preserve">Asistencia y calendario</w:t>
            </w:r>
          </w:p>
        </w:tc>
      </w:tr>
      <w:tr>
        <w:tc>
          <w:tcPr>
            <w:tcW w:w="2400" w:type="dxa"/>
          </w:tcPr>
          <w:p>
            <w:r>
              <w:t xml:space="preserve">Evaluación</w:t>
            </w:r>
          </w:p>
        </w:tc>
        <w:tc>
          <w:tcPr>
            <w:tcW w:w="2400" w:type="dxa"/>
          </w:tcPr>
          <w:p>
            <w:r>
              <w:t xml:space="preserve">academic_periods, activities, activity_grades, report_cards, report_card_subjects</w:t>
            </w:r>
          </w:p>
        </w:tc>
        <w:tc>
          <w:tcPr>
            <w:tcW w:w="2400" w:type="dxa"/>
          </w:tcPr>
          <w:p>
            <w:r>
              <w:t xml:space="preserve">Calificaciones y boletines</w:t>
            </w:r>
          </w:p>
        </w:tc>
      </w:tr>
      <w:tr>
        <w:tc>
          <w:tcPr>
            <w:tcW w:w="2400" w:type="dxa"/>
          </w:tcPr>
          <w:p>
            <w:r>
              <w:t xml:space="preserve">Circuito</w:t>
            </w:r>
          </w:p>
        </w:tc>
        <w:tc>
          <w:tcPr>
            <w:tcW w:w="2400" w:type="dxa"/>
          </w:tcPr>
          <w:p>
            <w:r>
              <w:t xml:space="preserve">circuit_requests, vehicles, student_departure_consents</w:t>
            </w:r>
          </w:p>
        </w:tc>
        <w:tc>
          <w:tcPr>
            <w:tcW w:w="2400" w:type="dxa"/>
          </w:tcPr>
          <w:p>
            <w:r>
              <w:t xml:space="preserve">Recogida y permisos</w:t>
            </w:r>
          </w:p>
        </w:tc>
      </w:tr>
      <w:tr>
        <w:tc>
          <w:tcPr>
            <w:tcW w:w="2400" w:type="dxa"/>
          </w:tcPr>
          <w:p>
            <w:r>
              <w:t xml:space="preserve">Finanzas</w:t>
            </w:r>
          </w:p>
        </w:tc>
        <w:tc>
          <w:tcPr>
            <w:tcW w:w="2400" w:type="dxa"/>
          </w:tcPr>
          <w:p>
            <w:r>
              <w:t xml:space="preserve">payment_concepts, debts, payment_records, debt_adjustments</w:t>
            </w:r>
          </w:p>
        </w:tc>
        <w:tc>
          <w:tcPr>
            <w:tcW w:w="2400" w:type="dxa"/>
          </w:tcPr>
          <w:p>
            <w:r>
              <w:t xml:space="preserve">Cartera y comprobantes</w:t>
            </w:r>
          </w:p>
        </w:tc>
      </w:tr>
      <w:tr>
        <w:tc>
          <w:tcPr>
            <w:tcW w:w="2400" w:type="dxa"/>
          </w:tcPr>
          <w:p>
            <w:r>
              <w:t xml:space="preserve">Comunicación</w:t>
            </w:r>
          </w:p>
        </w:tc>
        <w:tc>
          <w:tcPr>
            <w:tcW w:w="2400" w:type="dxa"/>
          </w:tcPr>
          <w:p>
            <w:r>
              <w:t xml:space="preserve">notices, notifications, user_fcm_tokens, admin_reports, admin_report_comments</w:t>
            </w:r>
          </w:p>
        </w:tc>
        <w:tc>
          <w:tcPr>
            <w:tcW w:w="2400" w:type="dxa"/>
          </w:tcPr>
          <w:p>
            <w:r>
              <w:t xml:space="preserve">Avisos, push e informes</w:t>
            </w:r>
          </w:p>
        </w:tc>
      </w:tr>
      <w:tr>
        <w:tc>
          <w:tcPr>
            <w:tcW w:w="2400" w:type="dxa"/>
          </w:tcPr>
          <w:p>
            <w:r>
              <w:t xml:space="preserve">Agenda</w:t>
            </w:r>
          </w:p>
        </w:tc>
        <w:tc>
          <w:tcPr>
            <w:tcW w:w="2400" w:type="dxa"/>
          </w:tcPr>
          <w:p>
            <w:r>
              <w:t xml:space="preserve">meetings, meeting_participants, external_visits, external_visit_students, external_visit_groups</w:t>
            </w:r>
          </w:p>
        </w:tc>
        <w:tc>
          <w:tcPr>
            <w:tcW w:w="2400" w:type="dxa"/>
          </w:tcPr>
          <w:p>
            <w:r>
              <w:t xml:space="preserve">Reuniones y visitas</w:t>
            </w:r>
          </w:p>
        </w:tc>
      </w:tr>
      <w:tr>
        <w:tc>
          <w:tcPr>
            <w:tcW w:w="2400" w:type="dxa"/>
          </w:tcPr>
          <w:p>
            <w:r>
              <w:t xml:space="preserve">Horarios</w:t>
            </w:r>
          </w:p>
        </w:tc>
        <w:tc>
          <w:tcPr>
            <w:tcW w:w="2400" w:type="dxa"/>
          </w:tcPr>
          <w:p>
            <w:r>
              <w:t xml:space="preserve">class_sessions, class_schedule_slots</w:t>
            </w:r>
          </w:p>
        </w:tc>
        <w:tc>
          <w:tcPr>
            <w:tcW w:w="2400" w:type="dxa"/>
          </w:tcPr>
          <w:p>
            <w:r>
              <w:t xml:space="preserve">Sesiones y horario por grupo</w:t>
            </w:r>
          </w:p>
        </w:tc>
      </w:tr>
    </w:tbl>
    <w:p/>
    <w:p>
      <w:pPr>
        <w:pStyle w:val="Heading1"/>
      </w:pPr>
      <w:r>
        <w:rPr>
          <w:b/>
        </w:rPr>
        <w:t xml:space="preserve">3. Relaciones Clave</w:t>
      </w:r>
    </w:p>
    <w:p/>
    <w:p>
      <w:r>
        <w:t xml:space="preserve">• Una escuela tiene usuarios, grupos, asignaturas, estudiantes, docentes, personal administrativo y configuraciones.</w:t>
      </w:r>
    </w:p>
    <w:p>
      <w:r>
        <w:t xml:space="preserve">• Un estudiante pertenece a una escuela y grupo; puede vincularse a uno o más padres/tutores.</w:t>
      </w:r>
    </w:p>
    <w:p>
      <w:r>
        <w:t xml:space="preserve">• Un docente se asigna a grupos y asignaturas por teacher_groups/especialidades.</w:t>
      </w:r>
    </w:p>
    <w:p>
      <w:r>
        <w:t xml:space="preserve">• Las asistencias se registran por estudiante y fecha, considerando días no lectivos.</w:t>
      </w:r>
    </w:p>
    <w:p>
      <w:r>
        <w:t xml:space="preserve">• Las actividades se vinculan a grupo, periodo y materia; las notas alimentan reportes académicos.</w:t>
      </w:r>
    </w:p>
    <w:p>
      <w:r>
        <w:t xml:space="preserve">• Las deudas se asocian a estudiantes y conceptos; los pagos/comprobantes modifican su estado.</w:t>
      </w:r>
    </w:p>
    <w:p>
      <w:r>
        <w:t xml:space="preserve">• Las solicitudes de circuito se asocian a estudiante, padre solicitante, estado y datos de ubicación.</w:t>
      </w:r>
    </w:p>
    <w:p>
      <w:r>
        <w:t xml:space="preserve">• Las notificaciones se generan para usuarios específicos y pueden vincularse con FCM.</w:t>
      </w:r>
    </w:p>
    <w:p/>
    <w:p>
      <w:r>
        <w:t xml:space="preserve">[Figura 1. Modelo ER núcleo multiinstitución centrado]</w:t>
      </w:r>
    </w:p>
    <w:p/>
    <w:p>
      <w:r>
        <w:t xml:space="preserve">[Figura 2. Modelo ER extendido académico, finanzas, circuito y comunicación centrado]</w:t>
      </w:r>
    </w:p>
    <w:p/>
    <w:p>
      <w:pPr>
        <w:pStyle w:val="Heading1"/>
      </w:pPr>
      <w:r>
        <w:rPr>
          <w:b/>
        </w:rPr>
        <w:t xml:space="preserve">4. Observaciones Técnicas</w:t>
      </w:r>
    </w:p>
    <w:p/>
    <w:p>
      <w:r>
        <w:t xml:space="preserve">• pickup_authorizations aparece en SQL/seed históricos, mientras la cadena de migraciones actual reduce el alcance hacia relaciones padre-estudiante y consentimiento de salida. En el TDG se debe aclarar que el modelo vigente para autorización de recogida se documenta desde student_parents, parents, students, vehicles y student_departure_consents.</w:t>
      </w:r>
    </w:p>
    <w:p>
      <w:r>
        <w:t xml:space="preserve">• El SQL v4 y las migraciones deben mantenerse alineados para que el modelo académico coincida con el despliegue real.</w:t>
      </w:r>
    </w:p>
    <w:p>
      <w:r>
        <w:t xml:space="preserve">• El diagrama final debe generarse desde las entidades actuales del repositorio o desde el Mermaid incluido en este documento; no se debe depender de rutas de diagramas que no existan en el repositorio.</w:t>
      </w:r>
    </w:p>
    <w:p/>
    <w:p>
      <w:pPr>
        <w:pStyle w:val="Heading1"/>
      </w:pPr>
      <w:r>
        <w:rPr>
          <w:b/>
        </w:rPr>
        <w:t xml:space="preserve">5. Diagrama ER Resumido En Mermaid</w:t>
      </w:r>
    </w:p>
    <w:p/>
    <w:p>
      <w:r>
        <w:rPr>
          <w:i/>
        </w:rPr>
        <w:t xml:space="preserve">Figura. Modelo entidad-relación núcleo (exportado desde Mermaid; detalle completo en anexo y entidades TypeORM)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0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b/>
        </w:rPr>
        <w:t xml:space="preserve">6. Prompt Para Lucidchart</w:t>
      </w:r>
    </w:p>
    <w:p/>
    <w:p>
      <w:r>
        <w:t xml:space="preserve">Crear un diagrama entidad-relación profesional para Escuela Pass con agrupación visual por dominios:</w:t>
      </w:r>
    </w:p>
    <w:p>
      <w:r>
        <w:t xml:space="preserve">Identidad, Institución, Académico, Circuito, Finanzas, Comunicación, Agenda y Cumplimiento. Incluir</w:t>
      </w:r>
    </w:p>
    <w:p>
      <w:r>
        <w:t xml:space="preserve">las entidades principales listadas en la sección 2, usar relaciones uno a muchos y muchos a muchos</w:t>
      </w:r>
    </w:p>
    <w:p>
      <w:r>
        <w:t xml:space="preserve">mediante tablas puente (student_parents, teacher_groups, meeting_participants). Resaltar como</w:t>
      </w:r>
    </w:p>
    <w:p>
      <w:r>
        <w:t xml:space="preserve">entidades críticas users, schools, students, parents, teachers, groups, attendance_records,</w:t>
      </w:r>
    </w:p>
    <w:p>
      <w:r>
        <w:t xml:space="preserve">activities, report_cards, debts, circuit_requests, notifications, privacy_policies y</w:t>
      </w:r>
    </w:p>
    <w:p>
      <w:r>
        <w:t xml:space="preserve">audit_logs. Mantener el diagrama legible, con colores suaves por dominio, sin cruzar excesivamente</w:t>
      </w:r>
    </w:p>
    <w:p>
      <w:r>
        <w:t xml:space="preserve">líneas y con leyenda de dominios.</w:t>
      </w:r>
    </w:p>
    <w:p/>
    <w:p>
      <w:pPr>
        <w:pStyle w:val="Heading1"/>
      </w:pPr>
      <w:r>
        <w:rPr>
          <w:b/>
        </w:rPr>
        <w:t xml:space="preserve">7. Reglas De Lectura Del Modelo</w:t>
      </w:r>
    </w:p>
    <w:p/>
    <w:p>
      <w:r>
        <w:t xml:space="preserve">El modelo se debe interpretar como multiinstitución: la escuela define el alcance institucional y las</w:t>
      </w:r>
    </w:p>
    <w:p>
      <w:r>
        <w:t xml:space="preserve">relaciones padre-estudiante, docente-grupo y usuario-escuela determinan permisos. Las entidades de</w:t>
      </w:r>
    </w:p>
    <w:p>
      <w:r>
        <w:t xml:space="preserve">auditoría y privacidad no son accesorias; respaldan el tratamiento responsable de datos personales,</w:t>
      </w:r>
    </w:p>
    <w:p>
      <w:r>
        <w:t xml:space="preserve">especialmente por la presencia de menores de edad.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2" Type="http://schemas.openxmlformats.org/officeDocument/2006/relationships/image" Target="media/tdg_diagram_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