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Interval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755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Screen-Detected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1,185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95% CI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diagnosis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62.32 (6.80)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61.61 (6.38)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Time from recruitment to diagnosis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7.19 (3.69)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6.42 (3.58)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0.021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 of 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2004-2008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96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2009-2013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255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496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2014-2018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404 (54)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507 (43)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&gt;0.9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DCIS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708 (94)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924 (78)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0.080</w:t>
            </w:r>
          </w:p>
        </w:tc>
      </w:tr>
      <w:tr>
        <w:trPr>
          <w:trHeight w:val="57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88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250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335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477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264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187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1.72, 3.53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271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Morphology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Ductal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549 (73)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698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Lobular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95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 (3.3)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 (3.6)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0.53, 1.58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64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0.57, 1.47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Node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304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601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234 (31)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194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390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Tumour size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336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21-50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225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1.55, 2.65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 (4.1)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1.43, 5.73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525 (70)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791 (67)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93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283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375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175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154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297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524 (69)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body41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129 (17)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368 (31)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CI = Confidence Interval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p-value from logistic regression multivariate model of all listed variables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2025-07-04T16:32:41Z</dcterms:modified>
  <cp:category/>
</cp:coreProperties>
</file>