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Derived Detection Mode</w:t>
            </w:r>
          </w:p>
        </w:tc>
      </w:tr>
      <w:tr>
        <w:trPr>
          <w:trHeight w:val="614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Registry Detection Mode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Other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Interval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501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397 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898 (34%)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Screen-Detected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33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852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119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1,004 (38%)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17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56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79 (3.0%)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50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522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634 (24%)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613 (23%)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908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1,094 (42%)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2,615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2025-07-02T10:52:34Z</dcterms:modified>
  <cp:category/>
</cp:coreProperties>
</file>